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95"/>
        <w:gridCol w:w="4620"/>
        <w:gridCol w:w="2430"/>
      </w:tblGrid>
      <w:tr w:rsidR="7497A4A4" w14:paraId="692AF4E3" w14:textId="77777777" w:rsidTr="7497A4A4">
        <w:trPr>
          <w:trHeight w:val="300"/>
        </w:trPr>
        <w:tc>
          <w:tcPr>
            <w:tcW w:w="2295" w:type="dxa"/>
            <w:tcBorders>
              <w:top w:val="nil"/>
              <w:left w:val="nil"/>
              <w:bottom w:val="nil"/>
              <w:right w:val="nil"/>
            </w:tcBorders>
            <w:tcMar>
              <w:left w:w="105" w:type="dxa"/>
              <w:right w:w="105" w:type="dxa"/>
            </w:tcMar>
          </w:tcPr>
          <w:p w14:paraId="004AEC48" w14:textId="0C0BB350" w:rsidR="7497A4A4" w:rsidRDefault="7497A4A4" w:rsidP="7497A4A4">
            <w:pPr>
              <w:jc w:val="center"/>
              <w:rPr>
                <w:rFonts w:ascii="Segoe UI" w:eastAsia="Segoe UI" w:hAnsi="Segoe UI" w:cs="Segoe UI"/>
                <w:color w:val="808080" w:themeColor="background1" w:themeShade="80"/>
                <w:sz w:val="16"/>
                <w:szCs w:val="16"/>
              </w:rPr>
            </w:pPr>
            <w:r w:rsidRPr="7497A4A4">
              <w:rPr>
                <w:rFonts w:ascii="Segoe UI" w:eastAsia="Segoe UI" w:hAnsi="Segoe UI" w:cs="Segoe UI"/>
                <w:color w:val="808080" w:themeColor="background1" w:themeShade="80"/>
                <w:sz w:val="16"/>
                <w:szCs w:val="16"/>
              </w:rPr>
              <w:t>Brian Kemp</w:t>
            </w:r>
          </w:p>
          <w:p w14:paraId="757A9C5F" w14:textId="0DC95412" w:rsidR="7497A4A4" w:rsidRDefault="7497A4A4" w:rsidP="7497A4A4">
            <w:pPr>
              <w:jc w:val="center"/>
              <w:rPr>
                <w:rFonts w:ascii="Segoe UI" w:eastAsia="Segoe UI" w:hAnsi="Segoe UI" w:cs="Segoe UI"/>
                <w:color w:val="808080" w:themeColor="background1" w:themeShade="80"/>
                <w:sz w:val="16"/>
                <w:szCs w:val="16"/>
              </w:rPr>
            </w:pPr>
            <w:r w:rsidRPr="7497A4A4">
              <w:rPr>
                <w:rFonts w:ascii="Segoe UI" w:eastAsia="Segoe UI" w:hAnsi="Segoe UI" w:cs="Segoe UI"/>
                <w:color w:val="808080" w:themeColor="background1" w:themeShade="80"/>
                <w:sz w:val="16"/>
                <w:szCs w:val="16"/>
              </w:rPr>
              <w:t>Governor</w:t>
            </w:r>
          </w:p>
        </w:tc>
        <w:tc>
          <w:tcPr>
            <w:tcW w:w="4620" w:type="dxa"/>
            <w:tcBorders>
              <w:top w:val="nil"/>
              <w:left w:val="nil"/>
              <w:bottom w:val="nil"/>
              <w:right w:val="nil"/>
            </w:tcBorders>
            <w:tcMar>
              <w:left w:w="105" w:type="dxa"/>
              <w:right w:w="105" w:type="dxa"/>
            </w:tcMar>
          </w:tcPr>
          <w:p w14:paraId="71D58A19" w14:textId="24AEDC40" w:rsidR="7497A4A4" w:rsidRDefault="7497A4A4" w:rsidP="7497A4A4">
            <w:pPr>
              <w:jc w:val="center"/>
              <w:rPr>
                <w:rFonts w:ascii="Segoe UI" w:eastAsia="Segoe UI" w:hAnsi="Segoe UI" w:cs="Segoe UI"/>
                <w:color w:val="404040" w:themeColor="text1" w:themeTint="BF"/>
                <w:sz w:val="40"/>
                <w:szCs w:val="40"/>
              </w:rPr>
            </w:pPr>
            <w:r>
              <w:rPr>
                <w:noProof/>
              </w:rPr>
              <w:drawing>
                <wp:inline distT="0" distB="0" distL="0" distR="0" wp14:anchorId="0E8ED56E" wp14:editId="065C2F37">
                  <wp:extent cx="2800350" cy="723900"/>
                  <wp:effectExtent l="0" t="0" r="0" b="0"/>
                  <wp:docPr id="1977320870" name="Picture 197732087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00350" cy="723900"/>
                          </a:xfrm>
                          <a:prstGeom prst="rect">
                            <a:avLst/>
                          </a:prstGeom>
                        </pic:spPr>
                      </pic:pic>
                    </a:graphicData>
                  </a:graphic>
                </wp:inline>
              </w:drawing>
            </w:r>
          </w:p>
        </w:tc>
        <w:tc>
          <w:tcPr>
            <w:tcW w:w="2430" w:type="dxa"/>
            <w:tcBorders>
              <w:top w:val="nil"/>
              <w:left w:val="nil"/>
              <w:bottom w:val="nil"/>
              <w:right w:val="nil"/>
            </w:tcBorders>
            <w:tcMar>
              <w:left w:w="105" w:type="dxa"/>
              <w:right w:w="105" w:type="dxa"/>
            </w:tcMar>
          </w:tcPr>
          <w:p w14:paraId="55D71CF6" w14:textId="072CB2BA" w:rsidR="7497A4A4" w:rsidRDefault="7497A4A4" w:rsidP="7497A4A4">
            <w:pPr>
              <w:jc w:val="center"/>
              <w:rPr>
                <w:rFonts w:ascii="Segoe UI" w:eastAsia="Segoe UI" w:hAnsi="Segoe UI" w:cs="Segoe UI"/>
                <w:color w:val="808080" w:themeColor="background1" w:themeShade="80"/>
                <w:sz w:val="16"/>
                <w:szCs w:val="16"/>
              </w:rPr>
            </w:pPr>
            <w:r w:rsidRPr="7497A4A4">
              <w:rPr>
                <w:rFonts w:ascii="Segoe UI" w:eastAsia="Segoe UI" w:hAnsi="Segoe UI" w:cs="Segoe UI"/>
                <w:color w:val="808080" w:themeColor="background1" w:themeShade="80"/>
                <w:sz w:val="16"/>
                <w:szCs w:val="16"/>
              </w:rPr>
              <w:t>Christopher Nunn</w:t>
            </w:r>
          </w:p>
          <w:p w14:paraId="47276CAF" w14:textId="0A8D1886" w:rsidR="7497A4A4" w:rsidRDefault="7497A4A4" w:rsidP="7497A4A4">
            <w:pPr>
              <w:jc w:val="center"/>
              <w:rPr>
                <w:rFonts w:ascii="Segoe UI" w:eastAsia="Segoe UI" w:hAnsi="Segoe UI" w:cs="Segoe UI"/>
                <w:color w:val="808080" w:themeColor="background1" w:themeShade="80"/>
                <w:sz w:val="16"/>
                <w:szCs w:val="16"/>
              </w:rPr>
            </w:pPr>
            <w:r w:rsidRPr="7497A4A4">
              <w:rPr>
                <w:rFonts w:ascii="Segoe UI" w:eastAsia="Segoe UI" w:hAnsi="Segoe UI" w:cs="Segoe UI"/>
                <w:color w:val="808080" w:themeColor="background1" w:themeShade="80"/>
                <w:sz w:val="16"/>
                <w:szCs w:val="16"/>
              </w:rPr>
              <w:t>Commissioner</w:t>
            </w:r>
          </w:p>
        </w:tc>
      </w:tr>
    </w:tbl>
    <w:p w14:paraId="2E8A747E" w14:textId="77777777" w:rsidR="00D650DE" w:rsidRPr="00D650DE" w:rsidRDefault="00D650DE" w:rsidP="21484317">
      <w:pPr>
        <w:spacing w:line="240" w:lineRule="auto"/>
        <w:jc w:val="center"/>
        <w:rPr>
          <w:rFonts w:ascii="Segoe UI" w:eastAsia="Segoe UI" w:hAnsi="Segoe UI" w:cs="Segoe UI"/>
          <w:b/>
          <w:color w:val="404040" w:themeColor="text1" w:themeTint="BF"/>
        </w:rPr>
      </w:pPr>
    </w:p>
    <w:p w14:paraId="60F9F864" w14:textId="02F93C49" w:rsidR="37DA0139" w:rsidRDefault="37DA0139" w:rsidP="21484317">
      <w:pPr>
        <w:spacing w:line="240" w:lineRule="auto"/>
        <w:jc w:val="center"/>
        <w:rPr>
          <w:rFonts w:ascii="Segoe UI" w:eastAsia="Segoe UI" w:hAnsi="Segoe UI" w:cs="Segoe UI"/>
          <w:b/>
          <w:color w:val="404040" w:themeColor="text1" w:themeTint="BF"/>
          <w:sz w:val="40"/>
          <w:szCs w:val="40"/>
        </w:rPr>
      </w:pPr>
      <w:r w:rsidRPr="7497A4A4">
        <w:rPr>
          <w:rFonts w:ascii="Segoe UI" w:eastAsia="Segoe UI" w:hAnsi="Segoe UI" w:cs="Segoe UI"/>
          <w:b/>
          <w:color w:val="404040" w:themeColor="text1" w:themeTint="BF"/>
          <w:sz w:val="40"/>
          <w:szCs w:val="40"/>
        </w:rPr>
        <w:t>Memorandum of Understanding (MOU) Guide</w:t>
      </w:r>
    </w:p>
    <w:p w14:paraId="698DE52A" w14:textId="2C5CBB98" w:rsidR="456FA272" w:rsidRDefault="456FA272" w:rsidP="21484317">
      <w:pPr>
        <w:spacing w:line="240" w:lineRule="auto"/>
        <w:jc w:val="center"/>
        <w:rPr>
          <w:rFonts w:ascii="Segoe UI" w:eastAsia="Segoe UI" w:hAnsi="Segoe UI" w:cs="Segoe UI"/>
          <w:b/>
          <w:color w:val="404040" w:themeColor="text1" w:themeTint="BF"/>
          <w:sz w:val="28"/>
          <w:szCs w:val="28"/>
        </w:rPr>
      </w:pPr>
      <w:r w:rsidRPr="7497A4A4">
        <w:rPr>
          <w:rFonts w:ascii="Segoe UI" w:eastAsia="Segoe UI" w:hAnsi="Segoe UI" w:cs="Segoe UI"/>
          <w:b/>
          <w:color w:val="404040" w:themeColor="text1" w:themeTint="BF"/>
          <w:sz w:val="28"/>
          <w:szCs w:val="28"/>
        </w:rPr>
        <w:t>2024-2025 Georgia Qualified Allocation Plan</w:t>
      </w:r>
    </w:p>
    <w:p w14:paraId="757C6BF1" w14:textId="7DFC9B41" w:rsidR="00E07D79" w:rsidRDefault="00E07D79" w:rsidP="21484317">
      <w:pPr>
        <w:rPr>
          <w:rFonts w:ascii="Segoe UI" w:eastAsia="Segoe UI" w:hAnsi="Segoe UI" w:cs="Segoe UI"/>
          <w:i/>
          <w:color w:val="404040" w:themeColor="text1" w:themeTint="BF"/>
          <w:sz w:val="21"/>
          <w:szCs w:val="21"/>
        </w:rPr>
      </w:pPr>
      <w:r w:rsidRPr="7497A4A4">
        <w:rPr>
          <w:rFonts w:ascii="Segoe UI" w:eastAsia="Segoe UI" w:hAnsi="Segoe UI" w:cs="Segoe UI"/>
          <w:i/>
          <w:color w:val="404040" w:themeColor="text1" w:themeTint="BF"/>
          <w:sz w:val="21"/>
          <w:szCs w:val="21"/>
        </w:rPr>
        <w:t>This Memorandum of Understanding (MOU)</w:t>
      </w:r>
      <w:r w:rsidR="2167850E" w:rsidRPr="7497A4A4">
        <w:rPr>
          <w:rFonts w:ascii="Segoe UI" w:eastAsia="Segoe UI" w:hAnsi="Segoe UI" w:cs="Segoe UI"/>
          <w:i/>
          <w:color w:val="404040" w:themeColor="text1" w:themeTint="BF"/>
          <w:sz w:val="21"/>
          <w:szCs w:val="21"/>
        </w:rPr>
        <w:t xml:space="preserve"> </w:t>
      </w:r>
      <w:r w:rsidR="4ED14D40" w:rsidRPr="7497A4A4">
        <w:rPr>
          <w:rFonts w:ascii="Segoe UI" w:eastAsia="Segoe UI" w:hAnsi="Segoe UI" w:cs="Segoe UI"/>
          <w:i/>
          <w:iCs/>
          <w:color w:val="404040" w:themeColor="text1" w:themeTint="BF"/>
          <w:sz w:val="21"/>
          <w:szCs w:val="21"/>
        </w:rPr>
        <w:t>G</w:t>
      </w:r>
      <w:r w:rsidR="11C11D6F" w:rsidRPr="7497A4A4">
        <w:rPr>
          <w:rFonts w:ascii="Segoe UI" w:eastAsia="Segoe UI" w:hAnsi="Segoe UI" w:cs="Segoe UI"/>
          <w:i/>
          <w:iCs/>
          <w:color w:val="404040" w:themeColor="text1" w:themeTint="BF"/>
          <w:sz w:val="21"/>
          <w:szCs w:val="21"/>
        </w:rPr>
        <w:t>uide</w:t>
      </w:r>
      <w:r w:rsidRPr="7497A4A4">
        <w:rPr>
          <w:rFonts w:ascii="Segoe UI" w:eastAsia="Segoe UI" w:hAnsi="Segoe UI" w:cs="Segoe UI"/>
          <w:i/>
          <w:color w:val="404040" w:themeColor="text1" w:themeTint="BF"/>
          <w:sz w:val="21"/>
          <w:szCs w:val="21"/>
        </w:rPr>
        <w:t xml:space="preserve"> is designed to offer </w:t>
      </w:r>
      <w:r w:rsidR="1210D0A7" w:rsidRPr="7497A4A4">
        <w:rPr>
          <w:rFonts w:ascii="Segoe UI" w:eastAsia="Segoe UI" w:hAnsi="Segoe UI" w:cs="Segoe UI"/>
          <w:i/>
          <w:color w:val="404040" w:themeColor="text1" w:themeTint="BF"/>
          <w:sz w:val="21"/>
          <w:szCs w:val="21"/>
        </w:rPr>
        <w:t>guidance</w:t>
      </w:r>
      <w:r w:rsidRPr="7497A4A4">
        <w:rPr>
          <w:rFonts w:ascii="Segoe UI" w:eastAsia="Segoe UI" w:hAnsi="Segoe UI" w:cs="Segoe UI"/>
          <w:i/>
          <w:color w:val="404040" w:themeColor="text1" w:themeTint="BF"/>
          <w:sz w:val="21"/>
          <w:szCs w:val="21"/>
        </w:rPr>
        <w:t xml:space="preserve"> </w:t>
      </w:r>
      <w:r w:rsidR="002D35AF" w:rsidRPr="7497A4A4">
        <w:rPr>
          <w:rFonts w:ascii="Segoe UI" w:eastAsia="Segoe UI" w:hAnsi="Segoe UI" w:cs="Segoe UI"/>
          <w:i/>
          <w:color w:val="404040" w:themeColor="text1" w:themeTint="BF"/>
          <w:sz w:val="21"/>
          <w:szCs w:val="21"/>
        </w:rPr>
        <w:t xml:space="preserve">in preparing the Memorandum of Understanding (MOU) between </w:t>
      </w:r>
      <w:r w:rsidR="009C790D" w:rsidRPr="7497A4A4">
        <w:rPr>
          <w:rFonts w:ascii="Segoe UI" w:eastAsia="Segoe UI" w:hAnsi="Segoe UI" w:cs="Segoe UI"/>
          <w:i/>
          <w:color w:val="404040" w:themeColor="text1" w:themeTint="BF"/>
          <w:sz w:val="21"/>
          <w:szCs w:val="21"/>
        </w:rPr>
        <w:t xml:space="preserve">the </w:t>
      </w:r>
      <w:r w:rsidR="7715B60E" w:rsidRPr="7497A4A4">
        <w:rPr>
          <w:rFonts w:ascii="Segoe UI" w:eastAsia="Segoe UI" w:hAnsi="Segoe UI" w:cs="Segoe UI"/>
          <w:i/>
          <w:iCs/>
          <w:color w:val="404040" w:themeColor="text1" w:themeTint="BF"/>
          <w:sz w:val="21"/>
          <w:szCs w:val="21"/>
        </w:rPr>
        <w:t>P</w:t>
      </w:r>
      <w:r w:rsidR="7A95EA03" w:rsidRPr="7497A4A4">
        <w:rPr>
          <w:rFonts w:ascii="Segoe UI" w:eastAsia="Segoe UI" w:hAnsi="Segoe UI" w:cs="Segoe UI"/>
          <w:i/>
          <w:iCs/>
          <w:color w:val="404040" w:themeColor="text1" w:themeTint="BF"/>
          <w:sz w:val="21"/>
          <w:szCs w:val="21"/>
        </w:rPr>
        <w:t xml:space="preserve">roperty </w:t>
      </w:r>
      <w:r w:rsidR="28396938" w:rsidRPr="7497A4A4">
        <w:rPr>
          <w:rFonts w:ascii="Segoe UI" w:eastAsia="Segoe UI" w:hAnsi="Segoe UI" w:cs="Segoe UI"/>
          <w:i/>
          <w:iCs/>
          <w:color w:val="404040" w:themeColor="text1" w:themeTint="BF"/>
          <w:sz w:val="21"/>
          <w:szCs w:val="21"/>
        </w:rPr>
        <w:t>O</w:t>
      </w:r>
      <w:r w:rsidR="7A95EA03" w:rsidRPr="7497A4A4">
        <w:rPr>
          <w:rFonts w:ascii="Segoe UI" w:eastAsia="Segoe UI" w:hAnsi="Segoe UI" w:cs="Segoe UI"/>
          <w:i/>
          <w:iCs/>
          <w:color w:val="404040" w:themeColor="text1" w:themeTint="BF"/>
          <w:sz w:val="21"/>
          <w:szCs w:val="21"/>
        </w:rPr>
        <w:t>wner</w:t>
      </w:r>
      <w:r w:rsidR="009C790D" w:rsidRPr="7497A4A4">
        <w:rPr>
          <w:rFonts w:ascii="Segoe UI" w:eastAsia="Segoe UI" w:hAnsi="Segoe UI" w:cs="Segoe UI"/>
          <w:i/>
          <w:color w:val="404040" w:themeColor="text1" w:themeTint="BF"/>
          <w:sz w:val="21"/>
          <w:szCs w:val="21"/>
        </w:rPr>
        <w:t xml:space="preserve"> and </w:t>
      </w:r>
      <w:r w:rsidR="36546443" w:rsidRPr="7497A4A4">
        <w:rPr>
          <w:rFonts w:ascii="Segoe UI" w:eastAsia="Segoe UI" w:hAnsi="Segoe UI" w:cs="Segoe UI"/>
          <w:i/>
          <w:iCs/>
          <w:color w:val="404040" w:themeColor="text1" w:themeTint="BF"/>
          <w:sz w:val="21"/>
          <w:szCs w:val="21"/>
        </w:rPr>
        <w:t>R</w:t>
      </w:r>
      <w:r w:rsidR="7A95EA03" w:rsidRPr="7497A4A4">
        <w:rPr>
          <w:rFonts w:ascii="Segoe UI" w:eastAsia="Segoe UI" w:hAnsi="Segoe UI" w:cs="Segoe UI"/>
          <w:i/>
          <w:iCs/>
          <w:color w:val="404040" w:themeColor="text1" w:themeTint="BF"/>
          <w:sz w:val="21"/>
          <w:szCs w:val="21"/>
        </w:rPr>
        <w:t xml:space="preserve">eferring </w:t>
      </w:r>
      <w:r w:rsidR="34293F85" w:rsidRPr="7497A4A4">
        <w:rPr>
          <w:rFonts w:ascii="Segoe UI" w:eastAsia="Segoe UI" w:hAnsi="Segoe UI" w:cs="Segoe UI"/>
          <w:i/>
          <w:iCs/>
          <w:color w:val="404040" w:themeColor="text1" w:themeTint="BF"/>
          <w:sz w:val="21"/>
          <w:szCs w:val="21"/>
        </w:rPr>
        <w:t>E</w:t>
      </w:r>
      <w:r w:rsidR="7A95EA03" w:rsidRPr="7497A4A4">
        <w:rPr>
          <w:rFonts w:ascii="Segoe UI" w:eastAsia="Segoe UI" w:hAnsi="Segoe UI" w:cs="Segoe UI"/>
          <w:i/>
          <w:iCs/>
          <w:color w:val="404040" w:themeColor="text1" w:themeTint="BF"/>
          <w:sz w:val="21"/>
          <w:szCs w:val="21"/>
        </w:rPr>
        <w:t>ntity</w:t>
      </w:r>
      <w:r w:rsidR="009C790D" w:rsidRPr="7497A4A4">
        <w:rPr>
          <w:rFonts w:ascii="Segoe UI" w:eastAsia="Segoe UI" w:hAnsi="Segoe UI" w:cs="Segoe UI"/>
          <w:i/>
          <w:color w:val="404040" w:themeColor="text1" w:themeTint="BF"/>
          <w:sz w:val="21"/>
          <w:szCs w:val="21"/>
        </w:rPr>
        <w:t xml:space="preserve"> </w:t>
      </w:r>
      <w:r w:rsidRPr="7497A4A4">
        <w:rPr>
          <w:rFonts w:ascii="Segoe UI" w:eastAsia="Segoe UI" w:hAnsi="Segoe UI" w:cs="Segoe UI"/>
          <w:i/>
          <w:color w:val="404040" w:themeColor="text1" w:themeTint="BF"/>
          <w:sz w:val="21"/>
          <w:szCs w:val="21"/>
        </w:rPr>
        <w:t xml:space="preserve">in conjunction with commitments made by Applicants under the </w:t>
      </w:r>
      <w:r w:rsidR="1EB17565" w:rsidRPr="7497A4A4">
        <w:rPr>
          <w:rFonts w:ascii="Segoe UI" w:eastAsia="Segoe UI" w:hAnsi="Segoe UI" w:cs="Segoe UI"/>
          <w:i/>
          <w:color w:val="404040" w:themeColor="text1" w:themeTint="BF"/>
          <w:sz w:val="21"/>
          <w:szCs w:val="21"/>
        </w:rPr>
        <w:t xml:space="preserve">2024-2025 </w:t>
      </w:r>
      <w:r w:rsidRPr="7497A4A4">
        <w:rPr>
          <w:rFonts w:ascii="Segoe UI" w:eastAsia="Segoe UI" w:hAnsi="Segoe UI" w:cs="Segoe UI"/>
          <w:i/>
          <w:color w:val="404040" w:themeColor="text1" w:themeTint="BF"/>
          <w:sz w:val="21"/>
          <w:szCs w:val="21"/>
        </w:rPr>
        <w:t>Qualified Allocation Plan (QAP), (Scoring) Integrated Supportive Housing, Subsection A.</w:t>
      </w:r>
      <w:r w:rsidR="00564434" w:rsidRPr="7497A4A4">
        <w:rPr>
          <w:rFonts w:ascii="Segoe UI" w:eastAsia="Segoe UI" w:hAnsi="Segoe UI" w:cs="Segoe UI"/>
          <w:i/>
          <w:color w:val="404040" w:themeColor="text1" w:themeTint="BF"/>
          <w:sz w:val="21"/>
          <w:szCs w:val="21"/>
        </w:rPr>
        <w:t xml:space="preserve"> Supportive Housing Referrals.</w:t>
      </w:r>
      <w:r w:rsidRPr="7497A4A4">
        <w:rPr>
          <w:rFonts w:ascii="Segoe UI" w:eastAsia="Segoe UI" w:hAnsi="Segoe UI" w:cs="Segoe UI"/>
          <w:i/>
          <w:color w:val="404040" w:themeColor="text1" w:themeTint="BF"/>
          <w:sz w:val="21"/>
          <w:szCs w:val="21"/>
        </w:rPr>
        <w:t xml:space="preserve"> This </w:t>
      </w:r>
      <w:r w:rsidR="5D716D2F" w:rsidRPr="7497A4A4">
        <w:rPr>
          <w:rFonts w:ascii="Segoe UI" w:eastAsia="Segoe UI" w:hAnsi="Segoe UI" w:cs="Segoe UI"/>
          <w:i/>
          <w:iCs/>
          <w:color w:val="404040" w:themeColor="text1" w:themeTint="BF"/>
          <w:sz w:val="21"/>
          <w:szCs w:val="21"/>
        </w:rPr>
        <w:t>G</w:t>
      </w:r>
      <w:r w:rsidR="39E286BD" w:rsidRPr="7497A4A4">
        <w:rPr>
          <w:rFonts w:ascii="Segoe UI" w:eastAsia="Segoe UI" w:hAnsi="Segoe UI" w:cs="Segoe UI"/>
          <w:i/>
          <w:iCs/>
          <w:color w:val="404040" w:themeColor="text1" w:themeTint="BF"/>
          <w:sz w:val="21"/>
          <w:szCs w:val="21"/>
        </w:rPr>
        <w:t>uide</w:t>
      </w:r>
      <w:r w:rsidRPr="7497A4A4">
        <w:rPr>
          <w:rFonts w:ascii="Segoe UI" w:eastAsia="Segoe UI" w:hAnsi="Segoe UI" w:cs="Segoe UI"/>
          <w:i/>
          <w:color w:val="404040" w:themeColor="text1" w:themeTint="BF"/>
          <w:sz w:val="21"/>
          <w:szCs w:val="21"/>
        </w:rPr>
        <w:t xml:space="preserve"> includes the minimum components that </w:t>
      </w:r>
      <w:r w:rsidR="325730C9" w:rsidRPr="7497A4A4">
        <w:rPr>
          <w:rFonts w:ascii="Segoe UI" w:eastAsia="Segoe UI" w:hAnsi="Segoe UI" w:cs="Segoe UI"/>
          <w:i/>
          <w:iCs/>
          <w:color w:val="404040" w:themeColor="text1" w:themeTint="BF"/>
          <w:sz w:val="21"/>
          <w:szCs w:val="21"/>
        </w:rPr>
        <w:t>should</w:t>
      </w:r>
      <w:r w:rsidR="5565E5B0" w:rsidRPr="7497A4A4">
        <w:rPr>
          <w:rFonts w:ascii="Segoe UI" w:eastAsia="Segoe UI" w:hAnsi="Segoe UI" w:cs="Segoe UI"/>
          <w:i/>
          <w:color w:val="404040" w:themeColor="text1" w:themeTint="BF"/>
          <w:sz w:val="21"/>
          <w:szCs w:val="21"/>
        </w:rPr>
        <w:t xml:space="preserve"> be incorporated</w:t>
      </w:r>
      <w:r w:rsidRPr="7497A4A4" w:rsidDel="00E07D79">
        <w:rPr>
          <w:rFonts w:ascii="Segoe UI" w:eastAsia="Segoe UI" w:hAnsi="Segoe UI" w:cs="Segoe UI"/>
          <w:i/>
          <w:color w:val="404040" w:themeColor="text1" w:themeTint="BF"/>
          <w:sz w:val="21"/>
          <w:szCs w:val="21"/>
        </w:rPr>
        <w:t xml:space="preserve"> </w:t>
      </w:r>
      <w:r w:rsidRPr="7497A4A4">
        <w:rPr>
          <w:rFonts w:ascii="Segoe UI" w:eastAsia="Segoe UI" w:hAnsi="Segoe UI" w:cs="Segoe UI"/>
          <w:i/>
          <w:color w:val="404040" w:themeColor="text1" w:themeTint="BF"/>
          <w:sz w:val="21"/>
          <w:szCs w:val="21"/>
        </w:rPr>
        <w:t>into all MOUs</w:t>
      </w:r>
      <w:r w:rsidR="3F17DC9D" w:rsidRPr="7497A4A4">
        <w:rPr>
          <w:rFonts w:ascii="Segoe UI" w:eastAsia="Segoe UI" w:hAnsi="Segoe UI" w:cs="Segoe UI"/>
          <w:i/>
          <w:color w:val="404040" w:themeColor="text1" w:themeTint="BF"/>
          <w:sz w:val="21"/>
          <w:szCs w:val="21"/>
        </w:rPr>
        <w:t>. Parties may include additional components as needed</w:t>
      </w:r>
      <w:r w:rsidRPr="7497A4A4">
        <w:rPr>
          <w:rFonts w:ascii="Segoe UI" w:eastAsia="Segoe UI" w:hAnsi="Segoe UI" w:cs="Segoe UI"/>
          <w:i/>
          <w:color w:val="404040" w:themeColor="text1" w:themeTint="BF"/>
          <w:sz w:val="21"/>
          <w:szCs w:val="21"/>
        </w:rPr>
        <w:t>.</w:t>
      </w:r>
    </w:p>
    <w:p w14:paraId="227C61F7" w14:textId="7DA9C695" w:rsidR="00E07D79" w:rsidRPr="002C03E4" w:rsidRDefault="00E07D79" w:rsidP="002D62A0">
      <w:pPr>
        <w:pStyle w:val="ListParagraph"/>
        <w:numPr>
          <w:ilvl w:val="0"/>
          <w:numId w:val="1"/>
        </w:numPr>
        <w:rPr>
          <w:rFonts w:ascii="Segoe UI" w:eastAsia="Segoe UI" w:hAnsi="Segoe UI" w:cs="Segoe UI"/>
          <w:b/>
          <w:color w:val="538135" w:themeColor="accent6" w:themeShade="BF"/>
          <w:sz w:val="32"/>
          <w:szCs w:val="32"/>
        </w:rPr>
      </w:pPr>
      <w:r w:rsidRPr="7497A4A4">
        <w:rPr>
          <w:rFonts w:ascii="Segoe UI" w:eastAsia="Segoe UI" w:hAnsi="Segoe UI" w:cs="Segoe UI"/>
          <w:b/>
          <w:color w:val="538135" w:themeColor="accent6" w:themeShade="BF"/>
          <w:sz w:val="32"/>
          <w:szCs w:val="32"/>
        </w:rPr>
        <w:t>Background</w:t>
      </w:r>
    </w:p>
    <w:p w14:paraId="18C705BE" w14:textId="40ED8A03" w:rsidR="00E07D79" w:rsidRDefault="00EF3659" w:rsidP="00E07D79">
      <w:p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The</w:t>
      </w:r>
      <w:r w:rsidR="00E07D79" w:rsidRPr="7497A4A4">
        <w:rPr>
          <w:rFonts w:ascii="Segoe UI" w:eastAsia="Segoe UI" w:hAnsi="Segoe UI" w:cs="Segoe UI"/>
          <w:color w:val="404040" w:themeColor="text1" w:themeTint="BF"/>
          <w:sz w:val="21"/>
          <w:szCs w:val="21"/>
        </w:rPr>
        <w:t xml:space="preserve"> 2024-2025 </w:t>
      </w:r>
      <w:r w:rsidR="00D660C0">
        <w:rPr>
          <w:rFonts w:ascii="Segoe UI" w:eastAsia="Segoe UI" w:hAnsi="Segoe UI" w:cs="Segoe UI"/>
          <w:color w:val="404040" w:themeColor="text1" w:themeTint="BF"/>
          <w:sz w:val="21"/>
          <w:szCs w:val="21"/>
        </w:rPr>
        <w:t>Qualified Allocation Plan (</w:t>
      </w:r>
      <w:r w:rsidR="00E07D79" w:rsidRPr="7497A4A4">
        <w:rPr>
          <w:rFonts w:ascii="Segoe UI" w:eastAsia="Segoe UI" w:hAnsi="Segoe UI" w:cs="Segoe UI"/>
          <w:color w:val="404040" w:themeColor="text1" w:themeTint="BF"/>
          <w:sz w:val="21"/>
          <w:szCs w:val="21"/>
        </w:rPr>
        <w:t>QAP</w:t>
      </w:r>
      <w:r w:rsidR="00D660C0">
        <w:rPr>
          <w:rFonts w:ascii="Segoe UI" w:eastAsia="Segoe UI" w:hAnsi="Segoe UI" w:cs="Segoe UI"/>
          <w:color w:val="404040" w:themeColor="text1" w:themeTint="BF"/>
          <w:sz w:val="21"/>
          <w:szCs w:val="21"/>
        </w:rPr>
        <w:t>)</w:t>
      </w:r>
      <w:r w:rsidR="00E07D79" w:rsidRPr="7497A4A4">
        <w:rPr>
          <w:rFonts w:ascii="Segoe UI" w:eastAsia="Segoe UI" w:hAnsi="Segoe UI" w:cs="Segoe UI"/>
          <w:color w:val="404040" w:themeColor="text1" w:themeTint="BF"/>
          <w:sz w:val="21"/>
          <w:szCs w:val="21"/>
        </w:rPr>
        <w:t xml:space="preserve"> allows </w:t>
      </w:r>
      <w:r w:rsidR="006150F6" w:rsidRPr="7497A4A4">
        <w:rPr>
          <w:rFonts w:ascii="Segoe UI" w:eastAsia="Segoe UI" w:hAnsi="Segoe UI" w:cs="Segoe UI"/>
          <w:color w:val="404040" w:themeColor="text1" w:themeTint="BF"/>
          <w:sz w:val="21"/>
          <w:szCs w:val="21"/>
        </w:rPr>
        <w:t>A</w:t>
      </w:r>
      <w:r w:rsidR="00E07D79" w:rsidRPr="7497A4A4">
        <w:rPr>
          <w:rFonts w:ascii="Segoe UI" w:eastAsia="Segoe UI" w:hAnsi="Segoe UI" w:cs="Segoe UI"/>
          <w:color w:val="404040" w:themeColor="text1" w:themeTint="BF"/>
          <w:sz w:val="21"/>
          <w:szCs w:val="21"/>
        </w:rPr>
        <w:t>pplicants</w:t>
      </w:r>
      <w:r w:rsidR="006150F6" w:rsidRPr="7497A4A4">
        <w:rPr>
          <w:rFonts w:ascii="Segoe UI" w:eastAsia="Segoe UI" w:hAnsi="Segoe UI" w:cs="Segoe UI"/>
          <w:color w:val="404040" w:themeColor="text1" w:themeTint="BF"/>
          <w:sz w:val="21"/>
          <w:szCs w:val="21"/>
        </w:rPr>
        <w:t xml:space="preserve"> under Competitive Rounds</w:t>
      </w:r>
      <w:r w:rsidR="00E07D79" w:rsidRPr="7497A4A4">
        <w:rPr>
          <w:rFonts w:ascii="Segoe UI" w:eastAsia="Segoe UI" w:hAnsi="Segoe UI" w:cs="Segoe UI"/>
          <w:color w:val="404040" w:themeColor="text1" w:themeTint="BF"/>
          <w:sz w:val="21"/>
          <w:szCs w:val="21"/>
        </w:rPr>
        <w:t xml:space="preserve"> </w:t>
      </w:r>
      <w:r w:rsidR="006150F6" w:rsidRPr="7497A4A4">
        <w:rPr>
          <w:rFonts w:ascii="Segoe UI" w:eastAsia="Segoe UI" w:hAnsi="Segoe UI" w:cs="Segoe UI"/>
          <w:color w:val="404040" w:themeColor="text1" w:themeTint="BF"/>
          <w:sz w:val="21"/>
          <w:szCs w:val="21"/>
        </w:rPr>
        <w:t xml:space="preserve">for the Housing Tax Credit program </w:t>
      </w:r>
      <w:r w:rsidR="00E07D79" w:rsidRPr="7497A4A4">
        <w:rPr>
          <w:rFonts w:ascii="Segoe UI" w:eastAsia="Segoe UI" w:hAnsi="Segoe UI" w:cs="Segoe UI"/>
          <w:color w:val="404040" w:themeColor="text1" w:themeTint="BF"/>
          <w:sz w:val="21"/>
          <w:szCs w:val="21"/>
        </w:rPr>
        <w:t xml:space="preserve">to claim up to 3 points </w:t>
      </w:r>
      <w:r w:rsidR="00E07D79" w:rsidRPr="00EF68B7">
        <w:rPr>
          <w:rFonts w:ascii="Segoe UI" w:eastAsia="Segoe UI" w:hAnsi="Segoe UI" w:cs="Segoe UI"/>
          <w:color w:val="404040" w:themeColor="text1" w:themeTint="BF"/>
          <w:sz w:val="21"/>
          <w:szCs w:val="21"/>
        </w:rPr>
        <w:t xml:space="preserve">for </w:t>
      </w:r>
      <w:r w:rsidR="00EF68B7" w:rsidRPr="00EF68B7">
        <w:rPr>
          <w:rFonts w:ascii="Segoe UI" w:eastAsia="Segoe UI" w:hAnsi="Segoe UI" w:cs="Segoe UI"/>
          <w:color w:val="404040" w:themeColor="text1" w:themeTint="BF"/>
          <w:sz w:val="21"/>
          <w:szCs w:val="21"/>
        </w:rPr>
        <w:t>Scoring section “</w:t>
      </w:r>
      <w:r w:rsidR="00E07D79" w:rsidRPr="00EF68B7">
        <w:rPr>
          <w:rFonts w:ascii="Segoe UI" w:eastAsia="Segoe UI" w:hAnsi="Segoe UI" w:cs="Segoe UI"/>
          <w:color w:val="404040" w:themeColor="text1" w:themeTint="BF"/>
          <w:sz w:val="21"/>
          <w:szCs w:val="21"/>
        </w:rPr>
        <w:t>Integrated Supportive Housing</w:t>
      </w:r>
      <w:r w:rsidR="00EF68B7" w:rsidRPr="00EF68B7">
        <w:rPr>
          <w:rFonts w:ascii="Segoe UI" w:eastAsia="Segoe UI" w:hAnsi="Segoe UI" w:cs="Segoe UI"/>
          <w:color w:val="404040" w:themeColor="text1" w:themeTint="BF"/>
          <w:sz w:val="21"/>
          <w:szCs w:val="21"/>
        </w:rPr>
        <w:t>”</w:t>
      </w:r>
      <w:r w:rsidR="00E07D79" w:rsidRPr="00EF68B7">
        <w:rPr>
          <w:rFonts w:ascii="Segoe UI" w:eastAsia="Segoe UI" w:hAnsi="Segoe UI" w:cs="Segoe UI"/>
          <w:color w:val="404040" w:themeColor="text1" w:themeTint="BF"/>
          <w:sz w:val="21"/>
          <w:szCs w:val="21"/>
        </w:rPr>
        <w:t xml:space="preserve"> </w:t>
      </w:r>
      <w:r w:rsidR="002C03E4" w:rsidRPr="00EF68B7">
        <w:rPr>
          <w:rFonts w:ascii="Segoe UI" w:eastAsia="Segoe UI" w:hAnsi="Segoe UI" w:cs="Segoe UI"/>
          <w:color w:val="404040" w:themeColor="text1" w:themeTint="BF"/>
          <w:sz w:val="21"/>
          <w:szCs w:val="21"/>
        </w:rPr>
        <w:t xml:space="preserve">under Subsection A. </w:t>
      </w:r>
      <w:r w:rsidR="00EF68B7" w:rsidRPr="00EF68B7">
        <w:rPr>
          <w:rFonts w:ascii="Segoe UI" w:eastAsia="Segoe UI" w:hAnsi="Segoe UI" w:cs="Segoe UI"/>
          <w:color w:val="404040" w:themeColor="text1" w:themeTint="BF"/>
          <w:sz w:val="21"/>
          <w:szCs w:val="21"/>
        </w:rPr>
        <w:t>“</w:t>
      </w:r>
      <w:r w:rsidR="002C03E4" w:rsidRPr="00EF68B7">
        <w:rPr>
          <w:rFonts w:ascii="Segoe UI" w:eastAsia="Segoe UI" w:hAnsi="Segoe UI" w:cs="Segoe UI"/>
          <w:color w:val="404040" w:themeColor="text1" w:themeTint="BF"/>
          <w:sz w:val="21"/>
          <w:szCs w:val="21"/>
        </w:rPr>
        <w:t>Supportive Housing Referrals</w:t>
      </w:r>
      <w:r w:rsidR="00E07D79" w:rsidRPr="00EF68B7">
        <w:rPr>
          <w:rFonts w:ascii="Segoe UI" w:eastAsia="Segoe UI" w:hAnsi="Segoe UI" w:cs="Segoe UI"/>
          <w:color w:val="404040" w:themeColor="text1" w:themeTint="BF"/>
          <w:sz w:val="21"/>
          <w:szCs w:val="21"/>
        </w:rPr>
        <w:t>.</w:t>
      </w:r>
      <w:r w:rsidR="00EF68B7" w:rsidRPr="00EF68B7">
        <w:rPr>
          <w:rFonts w:ascii="Segoe UI" w:eastAsia="Segoe UI" w:hAnsi="Segoe UI" w:cs="Segoe UI"/>
          <w:color w:val="404040" w:themeColor="text1" w:themeTint="BF"/>
          <w:sz w:val="21"/>
          <w:szCs w:val="21"/>
        </w:rPr>
        <w:t>”</w:t>
      </w:r>
      <w:r w:rsidR="00E07D79" w:rsidRPr="7497A4A4">
        <w:rPr>
          <w:rFonts w:ascii="Segoe UI" w:eastAsia="Segoe UI" w:hAnsi="Segoe UI" w:cs="Segoe UI"/>
          <w:color w:val="404040" w:themeColor="text1" w:themeTint="BF"/>
          <w:sz w:val="21"/>
          <w:szCs w:val="21"/>
        </w:rPr>
        <w:t xml:space="preserve"> </w:t>
      </w:r>
    </w:p>
    <w:p w14:paraId="263408AA" w14:textId="2A368206" w:rsidR="00E07D79" w:rsidRDefault="00E07D79" w:rsidP="00E07D79">
      <w:p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 xml:space="preserve">Points are awarded to Applicants for projects that will reserve at least 10% of total units to prioritize </w:t>
      </w:r>
      <w:r w:rsidR="608504BA" w:rsidRPr="7497A4A4">
        <w:rPr>
          <w:rFonts w:ascii="Segoe UI" w:eastAsia="Segoe UI" w:hAnsi="Segoe UI" w:cs="Segoe UI"/>
          <w:color w:val="404040" w:themeColor="text1" w:themeTint="BF"/>
          <w:sz w:val="21"/>
          <w:szCs w:val="21"/>
        </w:rPr>
        <w:t>supportive housing</w:t>
      </w:r>
      <w:r w:rsidR="7F31F491" w:rsidRPr="7497A4A4">
        <w:rPr>
          <w:rFonts w:ascii="Segoe UI" w:eastAsia="Segoe UI" w:hAnsi="Segoe UI" w:cs="Segoe UI"/>
          <w:color w:val="404040" w:themeColor="text1" w:themeTint="BF"/>
          <w:sz w:val="21"/>
          <w:szCs w:val="21"/>
        </w:rPr>
        <w:t xml:space="preserve"> </w:t>
      </w:r>
      <w:r w:rsidRPr="7497A4A4">
        <w:rPr>
          <w:rFonts w:ascii="Segoe UI" w:eastAsia="Segoe UI" w:hAnsi="Segoe UI" w:cs="Segoe UI"/>
          <w:color w:val="404040" w:themeColor="text1" w:themeTint="BF"/>
          <w:sz w:val="21"/>
          <w:szCs w:val="21"/>
        </w:rPr>
        <w:t>referrals from DCA-approved entities that serve the</w:t>
      </w:r>
      <w:r w:rsidR="005B3D1E" w:rsidRPr="7497A4A4">
        <w:rPr>
          <w:rFonts w:ascii="Segoe UI" w:eastAsia="Segoe UI" w:hAnsi="Segoe UI" w:cs="Segoe UI"/>
          <w:color w:val="404040" w:themeColor="text1" w:themeTint="BF"/>
          <w:sz w:val="21"/>
          <w:szCs w:val="21"/>
        </w:rPr>
        <w:t xml:space="preserve"> </w:t>
      </w:r>
      <w:r w:rsidR="77DC318B" w:rsidRPr="7497A4A4">
        <w:rPr>
          <w:rFonts w:ascii="Segoe UI" w:eastAsia="Segoe UI" w:hAnsi="Segoe UI" w:cs="Segoe UI"/>
          <w:color w:val="404040" w:themeColor="text1" w:themeTint="BF"/>
          <w:sz w:val="21"/>
          <w:szCs w:val="21"/>
        </w:rPr>
        <w:t xml:space="preserve">development </w:t>
      </w:r>
      <w:r w:rsidR="7C49BDA0" w:rsidRPr="7497A4A4">
        <w:rPr>
          <w:rFonts w:ascii="Segoe UI" w:eastAsia="Segoe UI" w:hAnsi="Segoe UI" w:cs="Segoe UI"/>
          <w:color w:val="404040" w:themeColor="text1" w:themeTint="BF"/>
          <w:sz w:val="21"/>
          <w:szCs w:val="21"/>
        </w:rPr>
        <w:t>area.</w:t>
      </w:r>
      <w:r w:rsidRPr="7497A4A4">
        <w:rPr>
          <w:rFonts w:ascii="Segoe UI" w:eastAsia="Segoe UI" w:hAnsi="Segoe UI" w:cs="Segoe UI"/>
          <w:color w:val="404040" w:themeColor="text1" w:themeTint="BF"/>
          <w:sz w:val="21"/>
          <w:szCs w:val="21"/>
        </w:rPr>
        <w:t xml:space="preserve"> Projects must document these commitments in a Tenant Selection Plan that conforms with DCA requirements and applicable federal guidelines, as well as MOUs with the referring entities.</w:t>
      </w:r>
    </w:p>
    <w:p w14:paraId="34CC726B" w14:textId="0CB7BD7C" w:rsidR="002D62A0" w:rsidRPr="002D62A0" w:rsidRDefault="002D62A0" w:rsidP="002D62A0">
      <w:pPr>
        <w:pStyle w:val="ListParagraph"/>
        <w:numPr>
          <w:ilvl w:val="0"/>
          <w:numId w:val="1"/>
        </w:numPr>
        <w:rPr>
          <w:rFonts w:ascii="Segoe UI" w:eastAsia="Segoe UI" w:hAnsi="Segoe UI" w:cs="Segoe UI"/>
          <w:b/>
          <w:color w:val="538135" w:themeColor="accent6" w:themeShade="BF"/>
          <w:sz w:val="32"/>
          <w:szCs w:val="32"/>
        </w:rPr>
      </w:pPr>
      <w:r w:rsidRPr="7497A4A4">
        <w:rPr>
          <w:rFonts w:ascii="Segoe UI" w:eastAsia="Segoe UI" w:hAnsi="Segoe UI" w:cs="Segoe UI"/>
          <w:b/>
          <w:color w:val="538135" w:themeColor="accent6" w:themeShade="BF"/>
          <w:sz w:val="32"/>
          <w:szCs w:val="32"/>
        </w:rPr>
        <w:t>Parties</w:t>
      </w:r>
    </w:p>
    <w:p w14:paraId="3C4E5D66" w14:textId="4A3865AA" w:rsidR="005B3D1E" w:rsidRDefault="002D62A0" w:rsidP="002D62A0">
      <w:p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Th</w:t>
      </w:r>
      <w:r w:rsidR="00C836D3" w:rsidRPr="7497A4A4">
        <w:rPr>
          <w:rFonts w:ascii="Segoe UI" w:eastAsia="Segoe UI" w:hAnsi="Segoe UI" w:cs="Segoe UI"/>
          <w:color w:val="404040" w:themeColor="text1" w:themeTint="BF"/>
          <w:sz w:val="21"/>
          <w:szCs w:val="21"/>
        </w:rPr>
        <w:t>e</w:t>
      </w:r>
      <w:r w:rsidRPr="7497A4A4">
        <w:rPr>
          <w:rFonts w:ascii="Segoe UI" w:eastAsia="Segoe UI" w:hAnsi="Segoe UI" w:cs="Segoe UI"/>
          <w:color w:val="404040" w:themeColor="text1" w:themeTint="BF"/>
          <w:sz w:val="21"/>
          <w:szCs w:val="21"/>
        </w:rPr>
        <w:t xml:space="preserve"> MOU is </w:t>
      </w:r>
      <w:r w:rsidR="00C836D3" w:rsidRPr="7497A4A4">
        <w:rPr>
          <w:rFonts w:ascii="Segoe UI" w:eastAsia="Segoe UI" w:hAnsi="Segoe UI" w:cs="Segoe UI"/>
          <w:color w:val="404040" w:themeColor="text1" w:themeTint="BF"/>
          <w:sz w:val="21"/>
          <w:szCs w:val="21"/>
        </w:rPr>
        <w:t xml:space="preserve">to be </w:t>
      </w:r>
      <w:r w:rsidRPr="7497A4A4">
        <w:rPr>
          <w:rFonts w:ascii="Segoe UI" w:eastAsia="Segoe UI" w:hAnsi="Segoe UI" w:cs="Segoe UI"/>
          <w:color w:val="404040" w:themeColor="text1" w:themeTint="BF"/>
          <w:sz w:val="21"/>
          <w:szCs w:val="21"/>
        </w:rPr>
        <w:t xml:space="preserve">executed between the Property Owner </w:t>
      </w:r>
      <w:r w:rsidR="2B0E7D8F" w:rsidRPr="7497A4A4">
        <w:rPr>
          <w:rFonts w:ascii="Segoe UI" w:eastAsia="Segoe UI" w:hAnsi="Segoe UI" w:cs="Segoe UI"/>
          <w:color w:val="404040" w:themeColor="text1" w:themeTint="BF"/>
          <w:sz w:val="21"/>
          <w:szCs w:val="21"/>
        </w:rPr>
        <w:t>(“</w:t>
      </w:r>
      <w:r w:rsidRPr="7497A4A4">
        <w:rPr>
          <w:rFonts w:ascii="Segoe UI" w:eastAsia="Segoe UI" w:hAnsi="Segoe UI" w:cs="Segoe UI"/>
          <w:color w:val="404040" w:themeColor="text1" w:themeTint="BF"/>
          <w:sz w:val="21"/>
          <w:szCs w:val="21"/>
        </w:rPr>
        <w:t>Owner</w:t>
      </w:r>
      <w:r w:rsidR="1EFD7DDB" w:rsidRPr="7497A4A4">
        <w:rPr>
          <w:rFonts w:ascii="Segoe UI" w:eastAsia="Segoe UI" w:hAnsi="Segoe UI" w:cs="Segoe UI"/>
          <w:color w:val="404040" w:themeColor="text1" w:themeTint="BF"/>
          <w:sz w:val="21"/>
          <w:szCs w:val="21"/>
        </w:rPr>
        <w:t>”</w:t>
      </w:r>
      <w:r w:rsidR="5E37200F" w:rsidRPr="7497A4A4">
        <w:rPr>
          <w:rFonts w:ascii="Segoe UI" w:eastAsia="Segoe UI" w:hAnsi="Segoe UI" w:cs="Segoe UI"/>
          <w:color w:val="404040" w:themeColor="text1" w:themeTint="BF"/>
          <w:sz w:val="21"/>
          <w:szCs w:val="21"/>
        </w:rPr>
        <w:t>)</w:t>
      </w:r>
      <w:r w:rsidR="357B5965" w:rsidRPr="7497A4A4">
        <w:rPr>
          <w:rFonts w:ascii="Segoe UI" w:eastAsia="Segoe UI" w:hAnsi="Segoe UI" w:cs="Segoe UI"/>
          <w:color w:val="404040" w:themeColor="text1" w:themeTint="BF"/>
          <w:sz w:val="21"/>
          <w:szCs w:val="21"/>
        </w:rPr>
        <w:t>,</w:t>
      </w:r>
      <w:r w:rsidRPr="7497A4A4">
        <w:rPr>
          <w:rFonts w:ascii="Segoe UI" w:eastAsia="Segoe UI" w:hAnsi="Segoe UI" w:cs="Segoe UI"/>
          <w:color w:val="404040" w:themeColor="text1" w:themeTint="BF"/>
          <w:sz w:val="21"/>
          <w:szCs w:val="21"/>
        </w:rPr>
        <w:t xml:space="preserve"> and the Referring Entity</w:t>
      </w:r>
      <w:r w:rsidR="005B3D1E" w:rsidRPr="7497A4A4">
        <w:rPr>
          <w:rFonts w:ascii="Segoe UI" w:eastAsia="Segoe UI" w:hAnsi="Segoe UI" w:cs="Segoe UI"/>
          <w:color w:val="404040" w:themeColor="text1" w:themeTint="BF"/>
          <w:sz w:val="21"/>
          <w:szCs w:val="21"/>
        </w:rPr>
        <w:t>. T</w:t>
      </w:r>
      <w:r w:rsidRPr="7497A4A4">
        <w:rPr>
          <w:rFonts w:ascii="Segoe UI" w:eastAsia="Segoe UI" w:hAnsi="Segoe UI" w:cs="Segoe UI"/>
          <w:color w:val="404040" w:themeColor="text1" w:themeTint="BF"/>
          <w:sz w:val="21"/>
          <w:szCs w:val="21"/>
        </w:rPr>
        <w:t xml:space="preserve">ogether, the Owner and </w:t>
      </w:r>
      <w:r w:rsidR="0D10F6AA" w:rsidRPr="7497A4A4">
        <w:rPr>
          <w:rFonts w:ascii="Segoe UI" w:eastAsia="Segoe UI" w:hAnsi="Segoe UI" w:cs="Segoe UI"/>
          <w:color w:val="404040" w:themeColor="text1" w:themeTint="BF"/>
          <w:sz w:val="21"/>
          <w:szCs w:val="21"/>
        </w:rPr>
        <w:t xml:space="preserve">Referring </w:t>
      </w:r>
      <w:r w:rsidRPr="7497A4A4">
        <w:rPr>
          <w:rFonts w:ascii="Segoe UI" w:eastAsia="Segoe UI" w:hAnsi="Segoe UI" w:cs="Segoe UI"/>
          <w:color w:val="404040" w:themeColor="text1" w:themeTint="BF"/>
          <w:sz w:val="21"/>
          <w:szCs w:val="21"/>
        </w:rPr>
        <w:t>Entity are the Parties. The Parties agree to work together to fill vacancies for those housing units reserved by the Owner for Integrated Supportive Housing under the Georgia Department of Community Affairs’ 2024-</w:t>
      </w:r>
      <w:r w:rsidR="1335AD8A" w:rsidRPr="7497A4A4">
        <w:rPr>
          <w:rFonts w:ascii="Segoe UI" w:eastAsia="Segoe UI" w:hAnsi="Segoe UI" w:cs="Segoe UI"/>
          <w:color w:val="404040" w:themeColor="text1" w:themeTint="BF"/>
          <w:sz w:val="21"/>
          <w:szCs w:val="21"/>
        </w:rPr>
        <w:t>20</w:t>
      </w:r>
      <w:r w:rsidRPr="7497A4A4">
        <w:rPr>
          <w:rFonts w:ascii="Segoe UI" w:eastAsia="Segoe UI" w:hAnsi="Segoe UI" w:cs="Segoe UI"/>
          <w:color w:val="404040" w:themeColor="text1" w:themeTint="BF"/>
          <w:sz w:val="21"/>
          <w:szCs w:val="21"/>
        </w:rPr>
        <w:t xml:space="preserve">25 Qualified Allocation Plan (QAP), and to provide ongoing housing support to residents and resident applicants according to the terms outlined below. DCA reserves the right to require the removal of a </w:t>
      </w:r>
      <w:r w:rsidR="53AE3CFD" w:rsidRPr="7497A4A4">
        <w:rPr>
          <w:rFonts w:ascii="Segoe UI" w:eastAsia="Segoe UI" w:hAnsi="Segoe UI" w:cs="Segoe UI"/>
          <w:color w:val="404040" w:themeColor="text1" w:themeTint="BF"/>
          <w:sz w:val="21"/>
          <w:szCs w:val="21"/>
        </w:rPr>
        <w:t>Referring E</w:t>
      </w:r>
      <w:r w:rsidR="5E37200F" w:rsidRPr="7497A4A4">
        <w:rPr>
          <w:rFonts w:ascii="Segoe UI" w:eastAsia="Segoe UI" w:hAnsi="Segoe UI" w:cs="Segoe UI"/>
          <w:color w:val="404040" w:themeColor="text1" w:themeTint="BF"/>
          <w:sz w:val="21"/>
          <w:szCs w:val="21"/>
        </w:rPr>
        <w:t>ntity</w:t>
      </w:r>
      <w:r w:rsidRPr="7497A4A4">
        <w:rPr>
          <w:rFonts w:ascii="Segoe UI" w:eastAsia="Segoe UI" w:hAnsi="Segoe UI" w:cs="Segoe UI"/>
          <w:color w:val="404040" w:themeColor="text1" w:themeTint="BF"/>
          <w:sz w:val="21"/>
          <w:szCs w:val="21"/>
        </w:rPr>
        <w:t xml:space="preserve"> from the MOU or the addition of a </w:t>
      </w:r>
      <w:r w:rsidR="0D190DB0" w:rsidRPr="7497A4A4">
        <w:rPr>
          <w:rFonts w:ascii="Segoe UI" w:eastAsia="Segoe UI" w:hAnsi="Segoe UI" w:cs="Segoe UI"/>
          <w:color w:val="404040" w:themeColor="text1" w:themeTint="BF"/>
          <w:sz w:val="21"/>
          <w:szCs w:val="21"/>
        </w:rPr>
        <w:t>Referring E</w:t>
      </w:r>
      <w:r w:rsidR="5E37200F" w:rsidRPr="7497A4A4">
        <w:rPr>
          <w:rFonts w:ascii="Segoe UI" w:eastAsia="Segoe UI" w:hAnsi="Segoe UI" w:cs="Segoe UI"/>
          <w:color w:val="404040" w:themeColor="text1" w:themeTint="BF"/>
          <w:sz w:val="21"/>
          <w:szCs w:val="21"/>
        </w:rPr>
        <w:t>ntity</w:t>
      </w:r>
      <w:r w:rsidRPr="7497A4A4">
        <w:rPr>
          <w:rFonts w:ascii="Segoe UI" w:eastAsia="Segoe UI" w:hAnsi="Segoe UI" w:cs="Segoe UI"/>
          <w:color w:val="404040" w:themeColor="text1" w:themeTint="BF"/>
          <w:sz w:val="21"/>
          <w:szCs w:val="21"/>
        </w:rPr>
        <w:t xml:space="preserve"> into </w:t>
      </w:r>
      <w:r w:rsidR="64286C49" w:rsidRPr="7497A4A4">
        <w:rPr>
          <w:rFonts w:ascii="Segoe UI" w:eastAsia="Segoe UI" w:hAnsi="Segoe UI" w:cs="Segoe UI"/>
          <w:color w:val="404040" w:themeColor="text1" w:themeTint="BF"/>
          <w:sz w:val="21"/>
          <w:szCs w:val="21"/>
        </w:rPr>
        <w:t>an</w:t>
      </w:r>
      <w:r w:rsidRPr="7497A4A4">
        <w:rPr>
          <w:rFonts w:ascii="Segoe UI" w:eastAsia="Segoe UI" w:hAnsi="Segoe UI" w:cs="Segoe UI"/>
          <w:color w:val="404040" w:themeColor="text1" w:themeTint="BF"/>
          <w:sz w:val="21"/>
          <w:szCs w:val="21"/>
        </w:rPr>
        <w:t xml:space="preserve"> MOU at any time.</w:t>
      </w:r>
    </w:p>
    <w:p w14:paraId="0570D9E2" w14:textId="65EA83A3" w:rsidR="005B3D1E" w:rsidRDefault="005B3D1E" w:rsidP="00EA2E92">
      <w:pPr>
        <w:pStyle w:val="ListParagraph"/>
        <w:numPr>
          <w:ilvl w:val="0"/>
          <w:numId w:val="1"/>
        </w:numPr>
        <w:rPr>
          <w:rFonts w:ascii="Segoe UI" w:eastAsia="Segoe UI" w:hAnsi="Segoe UI" w:cs="Segoe UI"/>
          <w:b/>
          <w:color w:val="538135" w:themeColor="accent6" w:themeShade="BF"/>
          <w:sz w:val="32"/>
          <w:szCs w:val="32"/>
        </w:rPr>
      </w:pPr>
      <w:r w:rsidRPr="7497A4A4">
        <w:rPr>
          <w:rFonts w:ascii="Segoe UI" w:eastAsia="Segoe UI" w:hAnsi="Segoe UI" w:cs="Segoe UI"/>
          <w:b/>
          <w:color w:val="538135" w:themeColor="accent6" w:themeShade="BF"/>
          <w:sz w:val="32"/>
          <w:szCs w:val="32"/>
        </w:rPr>
        <w:t xml:space="preserve">Unit Descriptions </w:t>
      </w:r>
    </w:p>
    <w:p w14:paraId="55635EC9" w14:textId="6D2BA23B" w:rsidR="005B3D1E" w:rsidRPr="00A23AB8" w:rsidRDefault="005B3D1E" w:rsidP="005B3D1E">
      <w:p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The Owner</w:t>
      </w:r>
      <w:r w:rsidR="369E8212" w:rsidRPr="7497A4A4">
        <w:rPr>
          <w:rFonts w:ascii="Segoe UI" w:eastAsia="Segoe UI" w:hAnsi="Segoe UI" w:cs="Segoe UI"/>
          <w:color w:val="404040" w:themeColor="text1" w:themeTint="BF"/>
          <w:sz w:val="21"/>
          <w:szCs w:val="21"/>
        </w:rPr>
        <w:t xml:space="preserve"> should include in the MOU the number of property unit</w:t>
      </w:r>
      <w:r w:rsidR="01E6D089" w:rsidRPr="7497A4A4">
        <w:rPr>
          <w:rFonts w:ascii="Segoe UI" w:eastAsia="Segoe UI" w:hAnsi="Segoe UI" w:cs="Segoe UI"/>
          <w:color w:val="404040" w:themeColor="text1" w:themeTint="BF"/>
          <w:sz w:val="21"/>
          <w:szCs w:val="21"/>
        </w:rPr>
        <w:t>s that fall under</w:t>
      </w:r>
      <w:r w:rsidRPr="7497A4A4" w:rsidDel="005B3D1E">
        <w:rPr>
          <w:rFonts w:ascii="Segoe UI" w:eastAsia="Segoe UI" w:hAnsi="Segoe UI" w:cs="Segoe UI"/>
          <w:color w:val="404040" w:themeColor="text1" w:themeTint="BF"/>
          <w:sz w:val="21"/>
          <w:szCs w:val="21"/>
        </w:rPr>
        <w:t xml:space="preserve"> </w:t>
      </w:r>
      <w:r w:rsidR="56B32D35" w:rsidRPr="7497A4A4">
        <w:rPr>
          <w:rFonts w:ascii="Segoe UI" w:eastAsia="Segoe UI" w:hAnsi="Segoe UI" w:cs="Segoe UI"/>
          <w:color w:val="404040" w:themeColor="text1" w:themeTint="BF"/>
          <w:sz w:val="21"/>
          <w:szCs w:val="21"/>
        </w:rPr>
        <w:t xml:space="preserve">each of the categories indicated below. </w:t>
      </w:r>
    </w:p>
    <w:p w14:paraId="4D770506" w14:textId="66944C5B" w:rsidR="7497A4A4" w:rsidRDefault="7497A4A4" w:rsidP="7497A4A4">
      <w:pPr>
        <w:rPr>
          <w:rFonts w:ascii="Segoe UI" w:eastAsia="Segoe UI" w:hAnsi="Segoe UI" w:cs="Segoe UI"/>
          <w:color w:val="404040" w:themeColor="text1" w:themeTint="BF"/>
          <w:sz w:val="21"/>
          <w:szCs w:val="21"/>
        </w:rPr>
      </w:pPr>
    </w:p>
    <w:p w14:paraId="6BD1CF1B" w14:textId="77777777" w:rsidR="00BE6D96" w:rsidRDefault="00BE6D96" w:rsidP="7497A4A4">
      <w:pPr>
        <w:rPr>
          <w:rFonts w:ascii="Segoe UI" w:eastAsia="Segoe UI" w:hAnsi="Segoe UI" w:cs="Segoe UI"/>
          <w:color w:val="404040" w:themeColor="text1" w:themeTint="BF"/>
          <w:sz w:val="21"/>
          <w:szCs w:val="21"/>
        </w:rPr>
      </w:pPr>
    </w:p>
    <w:tbl>
      <w:tblPr>
        <w:tblStyle w:val="TableGrid"/>
        <w:tblW w:w="9360" w:type="dxa"/>
        <w:tblLook w:val="04A0" w:firstRow="1" w:lastRow="0" w:firstColumn="1" w:lastColumn="0" w:noHBand="0" w:noVBand="1"/>
      </w:tblPr>
      <w:tblGrid>
        <w:gridCol w:w="2612"/>
        <w:gridCol w:w="1687"/>
        <w:gridCol w:w="1687"/>
        <w:gridCol w:w="1687"/>
        <w:gridCol w:w="1687"/>
      </w:tblGrid>
      <w:tr w:rsidR="1C5A0977" w14:paraId="407EF354" w14:textId="0027D562" w:rsidTr="23CC33A1">
        <w:trPr>
          <w:trHeight w:val="300"/>
        </w:trPr>
        <w:tc>
          <w:tcPr>
            <w:tcW w:w="2612" w:type="dxa"/>
          </w:tcPr>
          <w:p w14:paraId="5B8E4814" w14:textId="662E62FB" w:rsidR="1C5A0977" w:rsidRDefault="1C5A0977" w:rsidP="1C5A0977">
            <w:pPr>
              <w:pStyle w:val="ListParagraph"/>
              <w:rPr>
                <w:rFonts w:ascii="Segoe UI" w:eastAsia="Segoe UI" w:hAnsi="Segoe UI" w:cs="Segoe UI"/>
                <w:color w:val="404040" w:themeColor="text1" w:themeTint="BF"/>
                <w:sz w:val="21"/>
                <w:szCs w:val="21"/>
              </w:rPr>
            </w:pPr>
          </w:p>
        </w:tc>
        <w:tc>
          <w:tcPr>
            <w:tcW w:w="1687" w:type="dxa"/>
          </w:tcPr>
          <w:p w14:paraId="1B27037D" w14:textId="316605C5" w:rsidR="00656D60" w:rsidRDefault="481D811F" w:rsidP="23CC33A1">
            <w:pPr>
              <w:pStyle w:val="ListParagraph"/>
              <w:ind w:left="0"/>
              <w:jc w:val="cente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Total</w:t>
            </w:r>
            <w:r w:rsidR="00656D60" w:rsidRPr="7497A4A4">
              <w:rPr>
                <w:rFonts w:ascii="Segoe UI" w:eastAsia="Segoe UI" w:hAnsi="Segoe UI" w:cs="Segoe UI"/>
                <w:color w:val="404040" w:themeColor="text1" w:themeTint="BF"/>
                <w:sz w:val="21"/>
                <w:szCs w:val="21"/>
              </w:rPr>
              <w:t xml:space="preserve"> Units</w:t>
            </w:r>
          </w:p>
        </w:tc>
        <w:tc>
          <w:tcPr>
            <w:tcW w:w="1687" w:type="dxa"/>
          </w:tcPr>
          <w:p w14:paraId="5BC023EB" w14:textId="0C9D00DF" w:rsidR="31B8E109" w:rsidRDefault="31B8E109" w:rsidP="23CC33A1">
            <w:pPr>
              <w:pStyle w:val="ListParagraph"/>
              <w:ind w:left="0"/>
              <w:jc w:val="cente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1</w:t>
            </w:r>
            <w:r w:rsidR="728E6431" w:rsidRPr="7497A4A4">
              <w:rPr>
                <w:rFonts w:ascii="Segoe UI" w:eastAsia="Segoe UI" w:hAnsi="Segoe UI" w:cs="Segoe UI"/>
                <w:color w:val="404040" w:themeColor="text1" w:themeTint="BF"/>
                <w:sz w:val="21"/>
                <w:szCs w:val="21"/>
              </w:rPr>
              <w:t>-</w:t>
            </w:r>
            <w:r w:rsidRPr="7497A4A4">
              <w:rPr>
                <w:rFonts w:ascii="Segoe UI" w:eastAsia="Segoe UI" w:hAnsi="Segoe UI" w:cs="Segoe UI"/>
                <w:color w:val="404040" w:themeColor="text1" w:themeTint="BF"/>
                <w:sz w:val="21"/>
                <w:szCs w:val="21"/>
              </w:rPr>
              <w:t>Bedroom</w:t>
            </w:r>
            <w:r w:rsidR="2ABA77CE" w:rsidRPr="7497A4A4">
              <w:rPr>
                <w:rFonts w:ascii="Segoe UI" w:eastAsia="Segoe UI" w:hAnsi="Segoe UI" w:cs="Segoe UI"/>
                <w:color w:val="404040" w:themeColor="text1" w:themeTint="BF"/>
                <w:sz w:val="21"/>
                <w:szCs w:val="21"/>
              </w:rPr>
              <w:t xml:space="preserve"> Units</w:t>
            </w:r>
          </w:p>
        </w:tc>
        <w:tc>
          <w:tcPr>
            <w:tcW w:w="1687" w:type="dxa"/>
          </w:tcPr>
          <w:p w14:paraId="5397AF63" w14:textId="44B2B43B" w:rsidR="31B8E109" w:rsidRDefault="31B8E109" w:rsidP="23CC33A1">
            <w:pPr>
              <w:pStyle w:val="ListParagraph"/>
              <w:ind w:left="0"/>
              <w:jc w:val="cente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2</w:t>
            </w:r>
            <w:r w:rsidR="0B1C1BCA" w:rsidRPr="7497A4A4">
              <w:rPr>
                <w:rFonts w:ascii="Segoe UI" w:eastAsia="Segoe UI" w:hAnsi="Segoe UI" w:cs="Segoe UI"/>
                <w:color w:val="404040" w:themeColor="text1" w:themeTint="BF"/>
                <w:sz w:val="21"/>
                <w:szCs w:val="21"/>
              </w:rPr>
              <w:t>-</w:t>
            </w:r>
            <w:r w:rsidRPr="7497A4A4">
              <w:rPr>
                <w:rFonts w:ascii="Segoe UI" w:eastAsia="Segoe UI" w:hAnsi="Segoe UI" w:cs="Segoe UI"/>
                <w:color w:val="404040" w:themeColor="text1" w:themeTint="BF"/>
                <w:sz w:val="21"/>
                <w:szCs w:val="21"/>
              </w:rPr>
              <w:t>Bedroom</w:t>
            </w:r>
            <w:r w:rsidR="1DB971A3" w:rsidRPr="7497A4A4">
              <w:rPr>
                <w:rFonts w:ascii="Segoe UI" w:eastAsia="Segoe UI" w:hAnsi="Segoe UI" w:cs="Segoe UI"/>
                <w:color w:val="404040" w:themeColor="text1" w:themeTint="BF"/>
                <w:sz w:val="21"/>
                <w:szCs w:val="21"/>
              </w:rPr>
              <w:t xml:space="preserve"> Units</w:t>
            </w:r>
          </w:p>
        </w:tc>
        <w:tc>
          <w:tcPr>
            <w:tcW w:w="1687" w:type="dxa"/>
          </w:tcPr>
          <w:p w14:paraId="7339F186" w14:textId="6C970F8A" w:rsidR="31B8E109" w:rsidRDefault="31B8E109" w:rsidP="23CC33A1">
            <w:pPr>
              <w:pStyle w:val="ListParagraph"/>
              <w:ind w:left="0"/>
              <w:jc w:val="cente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3</w:t>
            </w:r>
            <w:r w:rsidR="00566852" w:rsidRPr="7497A4A4">
              <w:rPr>
                <w:rFonts w:ascii="Segoe UI" w:eastAsia="Segoe UI" w:hAnsi="Segoe UI" w:cs="Segoe UI"/>
                <w:color w:val="404040" w:themeColor="text1" w:themeTint="BF"/>
                <w:sz w:val="21"/>
                <w:szCs w:val="21"/>
              </w:rPr>
              <w:t>-</w:t>
            </w:r>
            <w:r w:rsidRPr="7497A4A4">
              <w:rPr>
                <w:rFonts w:ascii="Segoe UI" w:eastAsia="Segoe UI" w:hAnsi="Segoe UI" w:cs="Segoe UI"/>
                <w:color w:val="404040" w:themeColor="text1" w:themeTint="BF"/>
                <w:sz w:val="21"/>
                <w:szCs w:val="21"/>
              </w:rPr>
              <w:t>Bedroom</w:t>
            </w:r>
            <w:r w:rsidR="6DB91278" w:rsidRPr="7497A4A4">
              <w:rPr>
                <w:rFonts w:ascii="Segoe UI" w:eastAsia="Segoe UI" w:hAnsi="Segoe UI" w:cs="Segoe UI"/>
                <w:color w:val="404040" w:themeColor="text1" w:themeTint="BF"/>
                <w:sz w:val="21"/>
                <w:szCs w:val="21"/>
              </w:rPr>
              <w:t xml:space="preserve"> Units</w:t>
            </w:r>
          </w:p>
        </w:tc>
      </w:tr>
      <w:tr w:rsidR="005B3D1E" w14:paraId="29A8317A" w14:textId="7C715975" w:rsidTr="23CC33A1">
        <w:trPr>
          <w:trHeight w:val="300"/>
        </w:trPr>
        <w:tc>
          <w:tcPr>
            <w:tcW w:w="2612" w:type="dxa"/>
          </w:tcPr>
          <w:p w14:paraId="0761038C" w14:textId="77777777" w:rsidR="005B3D1E" w:rsidRDefault="005B3D1E" w:rsidP="1C5A0977">
            <w:pPr>
              <w:pStyle w:val="ListParagraph"/>
              <w:ind w:left="0"/>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Total Property Units</w:t>
            </w:r>
          </w:p>
        </w:tc>
        <w:tc>
          <w:tcPr>
            <w:tcW w:w="1687" w:type="dxa"/>
          </w:tcPr>
          <w:p w14:paraId="2FD1CC88" w14:textId="77777777" w:rsidR="005B3D1E" w:rsidRDefault="005B3D1E" w:rsidP="0083074D">
            <w:pPr>
              <w:pStyle w:val="ListParagraph"/>
              <w:ind w:left="0"/>
              <w:rPr>
                <w:rFonts w:ascii="Segoe UI" w:eastAsia="Segoe UI" w:hAnsi="Segoe UI" w:cs="Segoe UI"/>
                <w:b/>
                <w:color w:val="404040" w:themeColor="text1" w:themeTint="BF"/>
                <w:sz w:val="21"/>
                <w:szCs w:val="21"/>
              </w:rPr>
            </w:pPr>
          </w:p>
        </w:tc>
        <w:tc>
          <w:tcPr>
            <w:tcW w:w="1687" w:type="dxa"/>
          </w:tcPr>
          <w:p w14:paraId="422198B6" w14:textId="7E14A724" w:rsidR="23CC33A1" w:rsidRDefault="23CC33A1" w:rsidP="23CC33A1">
            <w:pPr>
              <w:pStyle w:val="ListParagraph"/>
              <w:rPr>
                <w:rFonts w:ascii="Segoe UI" w:eastAsia="Segoe UI" w:hAnsi="Segoe UI" w:cs="Segoe UI"/>
                <w:b/>
                <w:color w:val="404040" w:themeColor="text1" w:themeTint="BF"/>
                <w:sz w:val="21"/>
                <w:szCs w:val="21"/>
              </w:rPr>
            </w:pPr>
          </w:p>
        </w:tc>
        <w:tc>
          <w:tcPr>
            <w:tcW w:w="1687" w:type="dxa"/>
          </w:tcPr>
          <w:p w14:paraId="43408915" w14:textId="617C63D9" w:rsidR="23CC33A1" w:rsidRDefault="23CC33A1" w:rsidP="23CC33A1">
            <w:pPr>
              <w:pStyle w:val="ListParagraph"/>
              <w:rPr>
                <w:rFonts w:ascii="Segoe UI" w:eastAsia="Segoe UI" w:hAnsi="Segoe UI" w:cs="Segoe UI"/>
                <w:b/>
                <w:color w:val="404040" w:themeColor="text1" w:themeTint="BF"/>
                <w:sz w:val="21"/>
                <w:szCs w:val="21"/>
              </w:rPr>
            </w:pPr>
          </w:p>
        </w:tc>
        <w:tc>
          <w:tcPr>
            <w:tcW w:w="1687" w:type="dxa"/>
          </w:tcPr>
          <w:p w14:paraId="03C4BCFF" w14:textId="1DB4D5ED" w:rsidR="23CC33A1" w:rsidRDefault="23CC33A1" w:rsidP="23CC33A1">
            <w:pPr>
              <w:pStyle w:val="ListParagraph"/>
              <w:rPr>
                <w:rFonts w:ascii="Segoe UI" w:eastAsia="Segoe UI" w:hAnsi="Segoe UI" w:cs="Segoe UI"/>
                <w:b/>
                <w:color w:val="404040" w:themeColor="text1" w:themeTint="BF"/>
                <w:sz w:val="21"/>
                <w:szCs w:val="21"/>
              </w:rPr>
            </w:pPr>
          </w:p>
        </w:tc>
      </w:tr>
      <w:tr w:rsidR="005B3D1E" w14:paraId="613ED6D6" w14:textId="53F11C80" w:rsidTr="23CC33A1">
        <w:trPr>
          <w:trHeight w:val="300"/>
        </w:trPr>
        <w:tc>
          <w:tcPr>
            <w:tcW w:w="2612" w:type="dxa"/>
          </w:tcPr>
          <w:p w14:paraId="347EDA8E" w14:textId="1A5B44DF" w:rsidR="005B3D1E" w:rsidRDefault="005B3D1E" w:rsidP="1C5A0977">
            <w:pPr>
              <w:pStyle w:val="ListParagraph"/>
              <w:ind w:left="0"/>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Reserved I</w:t>
            </w:r>
            <w:r w:rsidR="0E04FE94" w:rsidRPr="7497A4A4">
              <w:rPr>
                <w:rFonts w:ascii="Segoe UI" w:eastAsia="Segoe UI" w:hAnsi="Segoe UI" w:cs="Segoe UI"/>
                <w:color w:val="404040" w:themeColor="text1" w:themeTint="BF"/>
                <w:sz w:val="21"/>
                <w:szCs w:val="21"/>
              </w:rPr>
              <w:t>ntegrated Supportive Housing</w:t>
            </w:r>
            <w:r w:rsidRPr="7497A4A4">
              <w:rPr>
                <w:rFonts w:ascii="Segoe UI" w:eastAsia="Segoe UI" w:hAnsi="Segoe UI" w:cs="Segoe UI"/>
                <w:color w:val="404040" w:themeColor="text1" w:themeTint="BF"/>
                <w:sz w:val="21"/>
                <w:szCs w:val="21"/>
              </w:rPr>
              <w:t xml:space="preserve"> Units</w:t>
            </w:r>
          </w:p>
        </w:tc>
        <w:tc>
          <w:tcPr>
            <w:tcW w:w="1687" w:type="dxa"/>
          </w:tcPr>
          <w:p w14:paraId="01934D23" w14:textId="77777777" w:rsidR="005B3D1E" w:rsidRDefault="005B3D1E" w:rsidP="0083074D">
            <w:pPr>
              <w:pStyle w:val="ListParagraph"/>
              <w:ind w:left="0"/>
              <w:rPr>
                <w:rFonts w:ascii="Segoe UI" w:eastAsia="Segoe UI" w:hAnsi="Segoe UI" w:cs="Segoe UI"/>
                <w:b/>
                <w:color w:val="404040" w:themeColor="text1" w:themeTint="BF"/>
                <w:sz w:val="21"/>
                <w:szCs w:val="21"/>
              </w:rPr>
            </w:pPr>
          </w:p>
        </w:tc>
        <w:tc>
          <w:tcPr>
            <w:tcW w:w="1687" w:type="dxa"/>
          </w:tcPr>
          <w:p w14:paraId="59FCE15B" w14:textId="5D7A7D1C" w:rsidR="23CC33A1" w:rsidRDefault="23CC33A1" w:rsidP="23CC33A1">
            <w:pPr>
              <w:pStyle w:val="ListParagraph"/>
              <w:rPr>
                <w:rFonts w:ascii="Segoe UI" w:eastAsia="Segoe UI" w:hAnsi="Segoe UI" w:cs="Segoe UI"/>
                <w:b/>
                <w:color w:val="404040" w:themeColor="text1" w:themeTint="BF"/>
                <w:sz w:val="21"/>
                <w:szCs w:val="21"/>
              </w:rPr>
            </w:pPr>
          </w:p>
        </w:tc>
        <w:tc>
          <w:tcPr>
            <w:tcW w:w="1687" w:type="dxa"/>
          </w:tcPr>
          <w:p w14:paraId="01BA366B" w14:textId="6C829771" w:rsidR="23CC33A1" w:rsidRDefault="23CC33A1" w:rsidP="23CC33A1">
            <w:pPr>
              <w:pStyle w:val="ListParagraph"/>
              <w:rPr>
                <w:rFonts w:ascii="Segoe UI" w:eastAsia="Segoe UI" w:hAnsi="Segoe UI" w:cs="Segoe UI"/>
                <w:b/>
                <w:color w:val="404040" w:themeColor="text1" w:themeTint="BF"/>
                <w:sz w:val="21"/>
                <w:szCs w:val="21"/>
              </w:rPr>
            </w:pPr>
          </w:p>
        </w:tc>
        <w:tc>
          <w:tcPr>
            <w:tcW w:w="1687" w:type="dxa"/>
          </w:tcPr>
          <w:p w14:paraId="0894CD82" w14:textId="4046313B" w:rsidR="23CC33A1" w:rsidRDefault="23CC33A1" w:rsidP="23CC33A1">
            <w:pPr>
              <w:pStyle w:val="ListParagraph"/>
              <w:rPr>
                <w:rFonts w:ascii="Segoe UI" w:eastAsia="Segoe UI" w:hAnsi="Segoe UI" w:cs="Segoe UI"/>
                <w:b/>
                <w:color w:val="404040" w:themeColor="text1" w:themeTint="BF"/>
                <w:sz w:val="21"/>
                <w:szCs w:val="21"/>
              </w:rPr>
            </w:pPr>
          </w:p>
        </w:tc>
      </w:tr>
    </w:tbl>
    <w:p w14:paraId="4414A480" w14:textId="0DE891CC" w:rsidR="005B3D1E" w:rsidRDefault="005B3D1E" w:rsidP="7497A4A4">
      <w:pPr>
        <w:pStyle w:val="ListParagraph"/>
        <w:rPr>
          <w:rFonts w:ascii="Segoe UI" w:eastAsia="Segoe UI" w:hAnsi="Segoe UI" w:cs="Segoe UI"/>
          <w:color w:val="404040" w:themeColor="text1" w:themeTint="BF"/>
          <w:sz w:val="21"/>
          <w:szCs w:val="21"/>
        </w:rPr>
      </w:pPr>
    </w:p>
    <w:p w14:paraId="343F9247" w14:textId="74B51D5B" w:rsidR="52D8DBEB" w:rsidRDefault="5D50752C" w:rsidP="52D8DBEB">
      <w:pPr>
        <w:pStyle w:val="ListParagraph"/>
        <w:ind w:left="0"/>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The Owner should indicate whether there is a commitment of Project-Based Rental Assistance (PBRA)</w:t>
      </w:r>
      <w:r w:rsidR="005B3D1E" w:rsidRPr="7497A4A4">
        <w:rPr>
          <w:rStyle w:val="FootnoteReference"/>
          <w:rFonts w:ascii="Segoe UI" w:eastAsia="Segoe UI" w:hAnsi="Segoe UI" w:cs="Segoe UI"/>
          <w:color w:val="404040" w:themeColor="text1" w:themeTint="BF"/>
          <w:sz w:val="21"/>
          <w:szCs w:val="21"/>
        </w:rPr>
        <w:footnoteReference w:id="2"/>
      </w:r>
      <w:r w:rsidRPr="7497A4A4">
        <w:rPr>
          <w:rFonts w:ascii="Segoe UI" w:eastAsia="Segoe UI" w:hAnsi="Segoe UI" w:cs="Segoe UI"/>
          <w:color w:val="404040" w:themeColor="text1" w:themeTint="BF"/>
          <w:sz w:val="21"/>
          <w:szCs w:val="21"/>
        </w:rPr>
        <w:t xml:space="preserve"> </w:t>
      </w:r>
      <w:r w:rsidR="0E2E65AB" w:rsidRPr="7497A4A4">
        <w:rPr>
          <w:rFonts w:ascii="Segoe UI" w:eastAsia="Segoe UI" w:hAnsi="Segoe UI" w:cs="Segoe UI"/>
          <w:color w:val="404040" w:themeColor="text1" w:themeTint="BF"/>
          <w:sz w:val="21"/>
          <w:szCs w:val="21"/>
        </w:rPr>
        <w:t xml:space="preserve">for the Integrated Supportive Housing units, as well as the source of the PBRA. </w:t>
      </w:r>
    </w:p>
    <w:p w14:paraId="4BA22A92" w14:textId="13FA59F8" w:rsidR="005B3D1E" w:rsidRDefault="005B3D1E" w:rsidP="005B3D1E">
      <w:pPr>
        <w:pStyle w:val="ListParagraph"/>
        <w:ind w:left="0"/>
        <w:rPr>
          <w:rFonts w:ascii="Segoe UI" w:eastAsia="Segoe UI" w:hAnsi="Segoe UI" w:cs="Segoe UI"/>
          <w:color w:val="404040" w:themeColor="text1" w:themeTint="BF"/>
          <w:sz w:val="21"/>
          <w:szCs w:val="21"/>
        </w:rPr>
      </w:pPr>
    </w:p>
    <w:p w14:paraId="27481070" w14:textId="3EB10DCB" w:rsidR="005B3D1E" w:rsidRDefault="005B3D1E" w:rsidP="005B3D1E">
      <w:pPr>
        <w:pStyle w:val="ListParagraph"/>
        <w:ind w:left="0"/>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If there are any other funding resources or subsidies that may impact tenant eligibility, please describe</w:t>
      </w:r>
      <w:r w:rsidR="00B96BE9" w:rsidRPr="7497A4A4">
        <w:rPr>
          <w:rFonts w:ascii="Segoe UI" w:eastAsia="Segoe UI" w:hAnsi="Segoe UI" w:cs="Segoe UI"/>
          <w:color w:val="404040" w:themeColor="text1" w:themeTint="BF"/>
          <w:sz w:val="21"/>
          <w:szCs w:val="21"/>
        </w:rPr>
        <w:t>.</w:t>
      </w:r>
    </w:p>
    <w:p w14:paraId="4B75B79E" w14:textId="3C80CA17" w:rsidR="007B425C" w:rsidRDefault="007B425C" w:rsidP="005B3D1E">
      <w:pPr>
        <w:pStyle w:val="ListParagraph"/>
        <w:ind w:left="0"/>
        <w:rPr>
          <w:rFonts w:ascii="Segoe UI" w:eastAsia="Segoe UI" w:hAnsi="Segoe UI" w:cs="Segoe UI"/>
          <w:color w:val="404040" w:themeColor="text1" w:themeTint="BF"/>
          <w:sz w:val="21"/>
          <w:szCs w:val="21"/>
        </w:rPr>
      </w:pPr>
    </w:p>
    <w:p w14:paraId="2501C2F0" w14:textId="798E4F5E" w:rsidR="007B425C" w:rsidRPr="00EA2E92" w:rsidRDefault="007B425C" w:rsidP="00EA2E92">
      <w:pPr>
        <w:pStyle w:val="ListParagraph"/>
        <w:numPr>
          <w:ilvl w:val="0"/>
          <w:numId w:val="1"/>
        </w:numPr>
        <w:rPr>
          <w:rFonts w:ascii="Segoe UI" w:eastAsia="Segoe UI" w:hAnsi="Segoe UI" w:cs="Segoe UI"/>
          <w:b/>
          <w:color w:val="538135" w:themeColor="accent6" w:themeShade="BF"/>
          <w:sz w:val="32"/>
          <w:szCs w:val="32"/>
        </w:rPr>
      </w:pPr>
      <w:r w:rsidRPr="7497A4A4">
        <w:rPr>
          <w:rFonts w:ascii="Segoe UI" w:eastAsia="Segoe UI" w:hAnsi="Segoe UI" w:cs="Segoe UI"/>
          <w:b/>
          <w:color w:val="538135" w:themeColor="accent6" w:themeShade="BF"/>
          <w:sz w:val="32"/>
          <w:szCs w:val="32"/>
        </w:rPr>
        <w:t>Roles and Responsibilities</w:t>
      </w:r>
    </w:p>
    <w:p w14:paraId="4FA02ABB" w14:textId="2F4AFED1" w:rsidR="007B425C" w:rsidRDefault="00D94468" w:rsidP="007B425C">
      <w:p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 xml:space="preserve">The </w:t>
      </w:r>
      <w:r w:rsidR="0CE71D31" w:rsidRPr="7497A4A4">
        <w:rPr>
          <w:rFonts w:ascii="Segoe UI" w:eastAsia="Segoe UI" w:hAnsi="Segoe UI" w:cs="Segoe UI"/>
          <w:color w:val="404040" w:themeColor="text1" w:themeTint="BF"/>
          <w:sz w:val="21"/>
          <w:szCs w:val="21"/>
        </w:rPr>
        <w:t>P</w:t>
      </w:r>
      <w:r w:rsidRPr="7497A4A4">
        <w:rPr>
          <w:rFonts w:ascii="Segoe UI" w:eastAsia="Segoe UI" w:hAnsi="Segoe UI" w:cs="Segoe UI"/>
          <w:color w:val="404040" w:themeColor="text1" w:themeTint="BF"/>
          <w:sz w:val="21"/>
          <w:szCs w:val="21"/>
        </w:rPr>
        <w:t>arties to the MOU should provide a brief description of their roles</w:t>
      </w:r>
      <w:r w:rsidR="315F73A6" w:rsidRPr="7497A4A4">
        <w:rPr>
          <w:rFonts w:ascii="Segoe UI" w:eastAsia="Segoe UI" w:hAnsi="Segoe UI" w:cs="Segoe UI"/>
          <w:color w:val="404040" w:themeColor="text1" w:themeTint="BF"/>
          <w:sz w:val="21"/>
          <w:szCs w:val="21"/>
        </w:rPr>
        <w:t xml:space="preserve"> and responsibilities, which should include, at minimum, the items listed below, as well as additional items as needed.</w:t>
      </w:r>
      <w:r w:rsidRPr="7497A4A4">
        <w:rPr>
          <w:rFonts w:ascii="Segoe UI" w:eastAsia="Segoe UI" w:hAnsi="Segoe UI" w:cs="Segoe UI"/>
          <w:color w:val="404040" w:themeColor="text1" w:themeTint="BF"/>
          <w:sz w:val="21"/>
          <w:szCs w:val="21"/>
        </w:rPr>
        <w:t xml:space="preserve"> </w:t>
      </w:r>
    </w:p>
    <w:p w14:paraId="58E77ADD" w14:textId="45DD71B1" w:rsidR="00D94468" w:rsidRDefault="00D94468" w:rsidP="007B425C">
      <w:pPr>
        <w:rPr>
          <w:rFonts w:ascii="Segoe UI" w:eastAsia="Segoe UI" w:hAnsi="Segoe UI" w:cs="Segoe UI"/>
          <w:b/>
          <w:color w:val="ED7D31" w:themeColor="accent2"/>
          <w:sz w:val="24"/>
          <w:szCs w:val="24"/>
        </w:rPr>
      </w:pPr>
      <w:r w:rsidRPr="7497A4A4">
        <w:rPr>
          <w:rFonts w:ascii="Segoe UI" w:eastAsia="Segoe UI" w:hAnsi="Segoe UI" w:cs="Segoe UI"/>
          <w:b/>
          <w:color w:val="ED7D31" w:themeColor="accent2"/>
          <w:sz w:val="24"/>
          <w:szCs w:val="24"/>
        </w:rPr>
        <w:t>Owner:</w:t>
      </w:r>
    </w:p>
    <w:p w14:paraId="26511CCC" w14:textId="47579CA3" w:rsidR="00D94468" w:rsidRDefault="611201B7" w:rsidP="00D94468">
      <w:pPr>
        <w:pStyle w:val="ListParagraph"/>
        <w:numPr>
          <w:ilvl w:val="0"/>
          <w:numId w:val="2"/>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 xml:space="preserve">Owner is responsible for </w:t>
      </w:r>
      <w:r w:rsidR="3F481940" w:rsidRPr="7497A4A4">
        <w:rPr>
          <w:rFonts w:ascii="Segoe UI" w:eastAsia="Segoe UI" w:hAnsi="Segoe UI" w:cs="Segoe UI"/>
          <w:color w:val="404040" w:themeColor="text1" w:themeTint="BF"/>
          <w:sz w:val="21"/>
          <w:szCs w:val="21"/>
        </w:rPr>
        <w:t xml:space="preserve">ensuring the designated property management </w:t>
      </w:r>
      <w:r w:rsidR="2F041574" w:rsidRPr="7497A4A4">
        <w:rPr>
          <w:rFonts w:ascii="Segoe UI" w:eastAsia="Segoe UI" w:hAnsi="Segoe UI" w:cs="Segoe UI"/>
          <w:color w:val="404040" w:themeColor="text1" w:themeTint="BF"/>
          <w:sz w:val="21"/>
          <w:szCs w:val="21"/>
        </w:rPr>
        <w:t xml:space="preserve">company complies with all agreements in this MOU. Owner should designate the property management company in this MOU. </w:t>
      </w:r>
    </w:p>
    <w:p w14:paraId="5F6F3732" w14:textId="29EA2C1D" w:rsidR="1100A36A" w:rsidRDefault="1100A36A" w:rsidP="21484317">
      <w:pPr>
        <w:pStyle w:val="ListParagraph"/>
        <w:numPr>
          <w:ilvl w:val="0"/>
          <w:numId w:val="2"/>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Prior to stabilized occupancy:</w:t>
      </w:r>
    </w:p>
    <w:p w14:paraId="111D315F" w14:textId="55335DBB" w:rsidR="1100A36A" w:rsidRDefault="1100A36A" w:rsidP="21484317">
      <w:pPr>
        <w:pStyle w:val="ListParagraph"/>
        <w:numPr>
          <w:ilvl w:val="1"/>
          <w:numId w:val="2"/>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 xml:space="preserve">Owner or property management company will notify the </w:t>
      </w:r>
      <w:r w:rsidR="1C0003C3" w:rsidRPr="7497A4A4">
        <w:rPr>
          <w:rFonts w:ascii="Segoe UI" w:eastAsia="Segoe UI" w:hAnsi="Segoe UI" w:cs="Segoe UI"/>
          <w:color w:val="404040" w:themeColor="text1" w:themeTint="BF"/>
          <w:sz w:val="21"/>
          <w:szCs w:val="21"/>
        </w:rPr>
        <w:t>R</w:t>
      </w:r>
      <w:r w:rsidRPr="7497A4A4">
        <w:rPr>
          <w:rFonts w:ascii="Segoe UI" w:eastAsia="Segoe UI" w:hAnsi="Segoe UI" w:cs="Segoe UI"/>
          <w:color w:val="404040" w:themeColor="text1" w:themeTint="BF"/>
          <w:sz w:val="21"/>
          <w:szCs w:val="21"/>
        </w:rPr>
        <w:t xml:space="preserve">eferring </w:t>
      </w:r>
      <w:r w:rsidR="6E3D1625" w:rsidRPr="7497A4A4">
        <w:rPr>
          <w:rFonts w:ascii="Segoe UI" w:eastAsia="Segoe UI" w:hAnsi="Segoe UI" w:cs="Segoe UI"/>
          <w:color w:val="404040" w:themeColor="text1" w:themeTint="BF"/>
          <w:sz w:val="21"/>
          <w:szCs w:val="21"/>
        </w:rPr>
        <w:t>En</w:t>
      </w:r>
      <w:r w:rsidRPr="7497A4A4">
        <w:rPr>
          <w:rFonts w:ascii="Segoe UI" w:eastAsia="Segoe UI" w:hAnsi="Segoe UI" w:cs="Segoe UI"/>
          <w:color w:val="404040" w:themeColor="text1" w:themeTint="BF"/>
          <w:sz w:val="21"/>
          <w:szCs w:val="21"/>
        </w:rPr>
        <w:t xml:space="preserve">tity at least 120 days prior to anticipated availability of units for occupancy </w:t>
      </w:r>
      <w:proofErr w:type="gramStart"/>
      <w:r w:rsidRPr="7497A4A4">
        <w:rPr>
          <w:rFonts w:ascii="Segoe UI" w:eastAsia="Segoe UI" w:hAnsi="Segoe UI" w:cs="Segoe UI"/>
          <w:color w:val="404040" w:themeColor="text1" w:themeTint="BF"/>
          <w:sz w:val="21"/>
          <w:szCs w:val="21"/>
        </w:rPr>
        <w:t>in order to</w:t>
      </w:r>
      <w:proofErr w:type="gramEnd"/>
      <w:r w:rsidRPr="7497A4A4">
        <w:rPr>
          <w:rFonts w:ascii="Segoe UI" w:eastAsia="Segoe UI" w:hAnsi="Segoe UI" w:cs="Segoe UI"/>
          <w:color w:val="404040" w:themeColor="text1" w:themeTint="BF"/>
          <w:sz w:val="21"/>
          <w:szCs w:val="21"/>
        </w:rPr>
        <w:t xml:space="preserve"> coordinate referral and application processing.</w:t>
      </w:r>
    </w:p>
    <w:p w14:paraId="2D5AB3A7" w14:textId="77777777" w:rsidR="005C07B2" w:rsidRDefault="736E2601" w:rsidP="7497A4A4">
      <w:pPr>
        <w:pStyle w:val="ListParagraph"/>
        <w:numPr>
          <w:ilvl w:val="1"/>
          <w:numId w:val="2"/>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 xml:space="preserve">For a minimum period of 90 days </w:t>
      </w:r>
      <w:proofErr w:type="gramStart"/>
      <w:r w:rsidRPr="7497A4A4">
        <w:rPr>
          <w:rFonts w:ascii="Segoe UI" w:eastAsia="Segoe UI" w:hAnsi="Segoe UI" w:cs="Segoe UI"/>
          <w:color w:val="404040" w:themeColor="text1" w:themeTint="BF"/>
          <w:sz w:val="21"/>
          <w:szCs w:val="21"/>
        </w:rPr>
        <w:t>subsequent to</w:t>
      </w:r>
      <w:proofErr w:type="gramEnd"/>
      <w:r w:rsidRPr="7497A4A4">
        <w:rPr>
          <w:rFonts w:ascii="Segoe UI" w:eastAsia="Segoe UI" w:hAnsi="Segoe UI" w:cs="Segoe UI"/>
          <w:color w:val="404040" w:themeColor="text1" w:themeTint="BF"/>
          <w:sz w:val="21"/>
          <w:szCs w:val="21"/>
        </w:rPr>
        <w:t xml:space="preserve"> the date of Certificate of Occupancy (CO), the Owner and property management company must hold an adequate number of units to meet the percentage of units agreed to</w:t>
      </w:r>
      <w:r w:rsidR="3DF0C7DB" w:rsidRPr="7497A4A4">
        <w:rPr>
          <w:rFonts w:ascii="Segoe UI" w:eastAsia="Segoe UI" w:hAnsi="Segoe UI" w:cs="Segoe UI"/>
          <w:color w:val="404040" w:themeColor="text1" w:themeTint="BF"/>
          <w:sz w:val="21"/>
          <w:szCs w:val="21"/>
        </w:rPr>
        <w:t xml:space="preserve"> in the MOU.  </w:t>
      </w:r>
    </w:p>
    <w:p w14:paraId="5E68E5B1" w14:textId="525FECD9" w:rsidR="1100A36A" w:rsidRDefault="365F829E" w:rsidP="21484317">
      <w:pPr>
        <w:pStyle w:val="ListParagraph"/>
        <w:numPr>
          <w:ilvl w:val="1"/>
          <w:numId w:val="2"/>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O</w:t>
      </w:r>
      <w:r w:rsidR="736E2601" w:rsidRPr="7497A4A4">
        <w:rPr>
          <w:rFonts w:ascii="Segoe UI" w:eastAsia="Segoe UI" w:hAnsi="Segoe UI" w:cs="Segoe UI"/>
          <w:color w:val="404040" w:themeColor="text1" w:themeTint="BF"/>
          <w:sz w:val="21"/>
          <w:szCs w:val="21"/>
        </w:rPr>
        <w:t>wner</w:t>
      </w:r>
      <w:r w:rsidR="1100A36A" w:rsidRPr="7497A4A4">
        <w:rPr>
          <w:rFonts w:ascii="Segoe UI" w:eastAsia="Segoe UI" w:hAnsi="Segoe UI" w:cs="Segoe UI"/>
          <w:color w:val="404040" w:themeColor="text1" w:themeTint="BF"/>
          <w:sz w:val="21"/>
          <w:szCs w:val="21"/>
        </w:rPr>
        <w:t xml:space="preserve"> and property management company must hold primarily one-bedroom units with and without a mix of accessibility features scattered throughout the property as much as feasible, or two-bedroom units with and without a mix of accessibility features if the property was built without one-bedroom units.</w:t>
      </w:r>
    </w:p>
    <w:p w14:paraId="47502930" w14:textId="11E9281D" w:rsidR="1100A36A" w:rsidRDefault="1100A36A" w:rsidP="21484317">
      <w:pPr>
        <w:pStyle w:val="ListParagraph"/>
        <w:numPr>
          <w:ilvl w:val="0"/>
          <w:numId w:val="2"/>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Following stabilized occupancy:</w:t>
      </w:r>
    </w:p>
    <w:p w14:paraId="49D2AEAF" w14:textId="345EDC26" w:rsidR="1100A36A" w:rsidRDefault="00877F8E" w:rsidP="21484317">
      <w:pPr>
        <w:pStyle w:val="ListParagraph"/>
        <w:numPr>
          <w:ilvl w:val="1"/>
          <w:numId w:val="2"/>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 xml:space="preserve">Upon unit turnover, a </w:t>
      </w:r>
      <w:r w:rsidR="1100A36A" w:rsidRPr="7497A4A4">
        <w:rPr>
          <w:rFonts w:ascii="Segoe UI" w:eastAsia="Segoe UI" w:hAnsi="Segoe UI" w:cs="Segoe UI"/>
          <w:color w:val="404040" w:themeColor="text1" w:themeTint="BF"/>
          <w:sz w:val="21"/>
          <w:szCs w:val="21"/>
        </w:rPr>
        <w:t>minimum 45-day hold period begins once the referring entity has been notified of the referral opportunity. This notice can be provided no earlier than the tenant issuing a Notice to Vacate.</w:t>
      </w:r>
    </w:p>
    <w:p w14:paraId="0EAA2024" w14:textId="1BC77216" w:rsidR="1100A36A" w:rsidRDefault="1100A36A" w:rsidP="21484317">
      <w:pPr>
        <w:pStyle w:val="ListParagraph"/>
        <w:numPr>
          <w:ilvl w:val="1"/>
          <w:numId w:val="2"/>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lastRenderedPageBreak/>
        <w:t xml:space="preserve">The Owner or property management company will communicate tenancy issues or concerns about referred tenants to the </w:t>
      </w:r>
      <w:r w:rsidR="36AD3DC3" w:rsidRPr="7497A4A4">
        <w:rPr>
          <w:rFonts w:ascii="Segoe UI" w:eastAsia="Segoe UI" w:hAnsi="Segoe UI" w:cs="Segoe UI"/>
          <w:color w:val="404040" w:themeColor="text1" w:themeTint="BF"/>
          <w:sz w:val="21"/>
          <w:szCs w:val="21"/>
        </w:rPr>
        <w:t>R</w:t>
      </w:r>
      <w:r w:rsidR="736E2601" w:rsidRPr="7497A4A4">
        <w:rPr>
          <w:rFonts w:ascii="Segoe UI" w:eastAsia="Segoe UI" w:hAnsi="Segoe UI" w:cs="Segoe UI"/>
          <w:color w:val="404040" w:themeColor="text1" w:themeTint="BF"/>
          <w:sz w:val="21"/>
          <w:szCs w:val="21"/>
        </w:rPr>
        <w:t xml:space="preserve">eferring </w:t>
      </w:r>
      <w:r w:rsidR="07E7AEF4" w:rsidRPr="7497A4A4">
        <w:rPr>
          <w:rFonts w:ascii="Segoe UI" w:eastAsia="Segoe UI" w:hAnsi="Segoe UI" w:cs="Segoe UI"/>
          <w:color w:val="404040" w:themeColor="text1" w:themeTint="BF"/>
          <w:sz w:val="21"/>
          <w:szCs w:val="21"/>
        </w:rPr>
        <w:t>E</w:t>
      </w:r>
      <w:r w:rsidR="736E2601" w:rsidRPr="7497A4A4">
        <w:rPr>
          <w:rFonts w:ascii="Segoe UI" w:eastAsia="Segoe UI" w:hAnsi="Segoe UI" w:cs="Segoe UI"/>
          <w:color w:val="404040" w:themeColor="text1" w:themeTint="BF"/>
          <w:sz w:val="21"/>
          <w:szCs w:val="21"/>
        </w:rPr>
        <w:t>ntit</w:t>
      </w:r>
      <w:r w:rsidR="21B46D26" w:rsidRPr="7497A4A4">
        <w:rPr>
          <w:rFonts w:ascii="Segoe UI" w:eastAsia="Segoe UI" w:hAnsi="Segoe UI" w:cs="Segoe UI"/>
          <w:color w:val="404040" w:themeColor="text1" w:themeTint="BF"/>
          <w:sz w:val="21"/>
          <w:szCs w:val="21"/>
        </w:rPr>
        <w:t>y</w:t>
      </w:r>
      <w:r w:rsidRPr="7497A4A4">
        <w:rPr>
          <w:rFonts w:ascii="Segoe UI" w:eastAsia="Segoe UI" w:hAnsi="Segoe UI" w:cs="Segoe UI"/>
          <w:color w:val="404040" w:themeColor="text1" w:themeTint="BF"/>
          <w:sz w:val="21"/>
          <w:szCs w:val="21"/>
        </w:rPr>
        <w:t xml:space="preserve"> promptly to keep the organizations aware of tenancy issues and other concerns.</w:t>
      </w:r>
    </w:p>
    <w:p w14:paraId="31ED3BA3" w14:textId="2D73A214" w:rsidR="7333AFF9" w:rsidRDefault="7333AFF9" w:rsidP="23CC33A1">
      <w:pPr>
        <w:pStyle w:val="ListParagraph"/>
        <w:numPr>
          <w:ilvl w:val="0"/>
          <w:numId w:val="2"/>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 xml:space="preserve">Owner or property management </w:t>
      </w:r>
      <w:r w:rsidR="00845DE3" w:rsidRPr="7497A4A4">
        <w:rPr>
          <w:rFonts w:ascii="Segoe UI" w:eastAsia="Segoe UI" w:hAnsi="Segoe UI" w:cs="Segoe UI"/>
          <w:color w:val="404040" w:themeColor="text1" w:themeTint="BF"/>
          <w:sz w:val="21"/>
          <w:szCs w:val="21"/>
        </w:rPr>
        <w:t xml:space="preserve">company </w:t>
      </w:r>
      <w:r w:rsidRPr="7497A4A4">
        <w:rPr>
          <w:rFonts w:ascii="Segoe UI" w:eastAsia="Segoe UI" w:hAnsi="Segoe UI" w:cs="Segoe UI"/>
          <w:color w:val="404040" w:themeColor="text1" w:themeTint="BF"/>
          <w:sz w:val="21"/>
          <w:szCs w:val="21"/>
        </w:rPr>
        <w:t xml:space="preserve">will notify all </w:t>
      </w:r>
      <w:r w:rsidR="00845DE3" w:rsidRPr="7497A4A4">
        <w:rPr>
          <w:rFonts w:ascii="Segoe UI" w:eastAsia="Segoe UI" w:hAnsi="Segoe UI" w:cs="Segoe UI"/>
          <w:color w:val="404040" w:themeColor="text1" w:themeTint="BF"/>
          <w:sz w:val="21"/>
          <w:szCs w:val="21"/>
        </w:rPr>
        <w:t>R</w:t>
      </w:r>
      <w:r w:rsidRPr="7497A4A4">
        <w:rPr>
          <w:rFonts w:ascii="Segoe UI" w:eastAsia="Segoe UI" w:hAnsi="Segoe UI" w:cs="Segoe UI"/>
          <w:color w:val="404040" w:themeColor="text1" w:themeTint="BF"/>
          <w:sz w:val="21"/>
          <w:szCs w:val="21"/>
        </w:rPr>
        <w:t xml:space="preserve">eferring </w:t>
      </w:r>
      <w:r w:rsidR="00845DE3" w:rsidRPr="7497A4A4">
        <w:rPr>
          <w:rFonts w:ascii="Segoe UI" w:eastAsia="Segoe UI" w:hAnsi="Segoe UI" w:cs="Segoe UI"/>
          <w:color w:val="404040" w:themeColor="text1" w:themeTint="BF"/>
          <w:sz w:val="21"/>
          <w:szCs w:val="21"/>
        </w:rPr>
        <w:t>E</w:t>
      </w:r>
      <w:r w:rsidRPr="7497A4A4">
        <w:rPr>
          <w:rFonts w:ascii="Segoe UI" w:eastAsia="Segoe UI" w:hAnsi="Segoe UI" w:cs="Segoe UI"/>
          <w:color w:val="404040" w:themeColor="text1" w:themeTint="BF"/>
          <w:sz w:val="21"/>
          <w:szCs w:val="21"/>
        </w:rPr>
        <w:t>ntities simultaneously of vacant units reserved for Integrated Supportive Housing.</w:t>
      </w:r>
    </w:p>
    <w:p w14:paraId="4E3B370E" w14:textId="1EF0ABF1" w:rsidR="7333AFF9" w:rsidRDefault="7333AFF9" w:rsidP="23CC33A1">
      <w:pPr>
        <w:pStyle w:val="ListParagraph"/>
        <w:numPr>
          <w:ilvl w:val="0"/>
          <w:numId w:val="2"/>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Notification will include information including but not limited to number of bedrooms, accessibility features, rent limits, and eligibility requirements.</w:t>
      </w:r>
    </w:p>
    <w:p w14:paraId="40228BB8" w14:textId="50AF4EAC" w:rsidR="00777CD3" w:rsidRDefault="00777CD3" w:rsidP="00777CD3">
      <w:pPr>
        <w:pStyle w:val="ListParagraph"/>
        <w:numPr>
          <w:ilvl w:val="0"/>
          <w:numId w:val="2"/>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 xml:space="preserve">Upon receipt of a rental application from an individual referred from the </w:t>
      </w:r>
      <w:r w:rsidR="00E853A2" w:rsidRPr="7497A4A4">
        <w:rPr>
          <w:rFonts w:ascii="Segoe UI" w:eastAsia="Segoe UI" w:hAnsi="Segoe UI" w:cs="Segoe UI"/>
          <w:color w:val="404040" w:themeColor="text1" w:themeTint="BF"/>
          <w:sz w:val="21"/>
          <w:szCs w:val="21"/>
        </w:rPr>
        <w:t xml:space="preserve">Referring </w:t>
      </w:r>
      <w:r w:rsidRPr="7497A4A4">
        <w:rPr>
          <w:rFonts w:ascii="Segoe UI" w:eastAsia="Segoe UI" w:hAnsi="Segoe UI" w:cs="Segoe UI"/>
          <w:color w:val="404040" w:themeColor="text1" w:themeTint="BF"/>
          <w:sz w:val="21"/>
          <w:szCs w:val="21"/>
        </w:rPr>
        <w:t xml:space="preserve">Entity, the Owner or </w:t>
      </w:r>
      <w:r w:rsidR="31CFDC2B" w:rsidRPr="7497A4A4">
        <w:rPr>
          <w:rFonts w:ascii="Segoe UI" w:eastAsia="Segoe UI" w:hAnsi="Segoe UI" w:cs="Segoe UI"/>
          <w:color w:val="404040" w:themeColor="text1" w:themeTint="BF"/>
          <w:sz w:val="21"/>
          <w:szCs w:val="21"/>
        </w:rPr>
        <w:t>property m</w:t>
      </w:r>
      <w:r w:rsidRPr="7497A4A4">
        <w:rPr>
          <w:rFonts w:ascii="Segoe UI" w:eastAsia="Segoe UI" w:hAnsi="Segoe UI" w:cs="Segoe UI"/>
          <w:color w:val="404040" w:themeColor="text1" w:themeTint="BF"/>
          <w:sz w:val="21"/>
          <w:szCs w:val="21"/>
        </w:rPr>
        <w:t xml:space="preserve">anagement </w:t>
      </w:r>
      <w:r w:rsidR="00E853A2" w:rsidRPr="7497A4A4">
        <w:rPr>
          <w:rFonts w:ascii="Segoe UI" w:eastAsia="Segoe UI" w:hAnsi="Segoe UI" w:cs="Segoe UI"/>
          <w:color w:val="404040" w:themeColor="text1" w:themeTint="BF"/>
          <w:sz w:val="21"/>
          <w:szCs w:val="21"/>
        </w:rPr>
        <w:t>company</w:t>
      </w:r>
      <w:r w:rsidRPr="7497A4A4">
        <w:rPr>
          <w:rFonts w:ascii="Segoe UI" w:eastAsia="Segoe UI" w:hAnsi="Segoe UI" w:cs="Segoe UI"/>
          <w:color w:val="404040" w:themeColor="text1" w:themeTint="BF"/>
          <w:sz w:val="21"/>
          <w:szCs w:val="21"/>
        </w:rPr>
        <w:t xml:space="preserve"> will review the applications for housing eligibility and suitability in the order in which they were </w:t>
      </w:r>
      <w:proofErr w:type="gramStart"/>
      <w:r w:rsidRPr="7497A4A4">
        <w:rPr>
          <w:rFonts w:ascii="Segoe UI" w:eastAsia="Segoe UI" w:hAnsi="Segoe UI" w:cs="Segoe UI"/>
          <w:color w:val="404040" w:themeColor="text1" w:themeTint="BF"/>
          <w:sz w:val="21"/>
          <w:szCs w:val="21"/>
        </w:rPr>
        <w:t>received, and</w:t>
      </w:r>
      <w:proofErr w:type="gramEnd"/>
      <w:r w:rsidRPr="7497A4A4">
        <w:rPr>
          <w:rFonts w:ascii="Segoe UI" w:eastAsia="Segoe UI" w:hAnsi="Segoe UI" w:cs="Segoe UI"/>
          <w:color w:val="404040" w:themeColor="text1" w:themeTint="BF"/>
          <w:sz w:val="21"/>
          <w:szCs w:val="21"/>
        </w:rPr>
        <w:t xml:space="preserve"> will lease to tenants on a first-come, first-serve basis. </w:t>
      </w:r>
    </w:p>
    <w:p w14:paraId="721F7FD9" w14:textId="4F9D417C" w:rsidR="00777CD3" w:rsidRDefault="00777CD3" w:rsidP="00777CD3">
      <w:pPr>
        <w:pStyle w:val="ListParagraph"/>
        <w:numPr>
          <w:ilvl w:val="0"/>
          <w:numId w:val="2"/>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 xml:space="preserve">All </w:t>
      </w:r>
      <w:r w:rsidR="2F4091E1" w:rsidRPr="7497A4A4">
        <w:rPr>
          <w:rFonts w:ascii="Segoe UI" w:eastAsia="Segoe UI" w:hAnsi="Segoe UI" w:cs="Segoe UI"/>
          <w:color w:val="404040" w:themeColor="text1" w:themeTint="BF"/>
          <w:sz w:val="21"/>
          <w:szCs w:val="21"/>
        </w:rPr>
        <w:t xml:space="preserve">tenant </w:t>
      </w:r>
      <w:r w:rsidRPr="7497A4A4">
        <w:rPr>
          <w:rFonts w:ascii="Segoe UI" w:eastAsia="Segoe UI" w:hAnsi="Segoe UI" w:cs="Segoe UI"/>
          <w:color w:val="404040" w:themeColor="text1" w:themeTint="BF"/>
          <w:sz w:val="21"/>
          <w:szCs w:val="21"/>
        </w:rPr>
        <w:t xml:space="preserve">screening and selection practices must reflect and conform to the most </w:t>
      </w:r>
      <w:proofErr w:type="gramStart"/>
      <w:r w:rsidRPr="7497A4A4">
        <w:rPr>
          <w:rFonts w:ascii="Segoe UI" w:eastAsia="Segoe UI" w:hAnsi="Segoe UI" w:cs="Segoe UI"/>
          <w:color w:val="404040" w:themeColor="text1" w:themeTint="BF"/>
          <w:sz w:val="21"/>
          <w:szCs w:val="21"/>
        </w:rPr>
        <w:t>up-to-date</w:t>
      </w:r>
      <w:proofErr w:type="gramEnd"/>
      <w:r w:rsidRPr="7497A4A4">
        <w:rPr>
          <w:rFonts w:ascii="Segoe UI" w:eastAsia="Segoe UI" w:hAnsi="Segoe UI" w:cs="Segoe UI"/>
          <w:color w:val="404040" w:themeColor="text1" w:themeTint="BF"/>
          <w:sz w:val="21"/>
          <w:szCs w:val="21"/>
        </w:rPr>
        <w:t xml:space="preserve"> </w:t>
      </w:r>
      <w:bookmarkStart w:id="0" w:name="_Hlk160191634"/>
      <w:r w:rsidRPr="7497A4A4">
        <w:rPr>
          <w:rFonts w:ascii="Segoe UI" w:eastAsia="Segoe UI" w:hAnsi="Segoe UI" w:cs="Segoe UI"/>
          <w:color w:val="404040" w:themeColor="text1" w:themeTint="BF"/>
          <w:sz w:val="21"/>
          <w:szCs w:val="21"/>
        </w:rPr>
        <w:t xml:space="preserve">QAP and </w:t>
      </w:r>
      <w:bookmarkEnd w:id="0"/>
      <w:r w:rsidRPr="7497A4A4">
        <w:rPr>
          <w:rFonts w:ascii="Segoe UI" w:eastAsia="Segoe UI" w:hAnsi="Segoe UI" w:cs="Segoe UI"/>
          <w:color w:val="404040" w:themeColor="text1" w:themeTint="BF"/>
          <w:sz w:val="21"/>
          <w:szCs w:val="21"/>
        </w:rPr>
        <w:t>Compliance Manual, required Tenant Selection Plans (TSPs)</w:t>
      </w:r>
      <w:r w:rsidR="5B8BFC79" w:rsidRPr="7497A4A4">
        <w:rPr>
          <w:rFonts w:ascii="Segoe UI" w:eastAsia="Segoe UI" w:hAnsi="Segoe UI" w:cs="Segoe UI"/>
          <w:color w:val="404040" w:themeColor="text1" w:themeTint="BF"/>
          <w:sz w:val="21"/>
          <w:szCs w:val="21"/>
        </w:rPr>
        <w:t>,</w:t>
      </w:r>
      <w:r w:rsidRPr="7497A4A4">
        <w:rPr>
          <w:rFonts w:ascii="Segoe UI" w:eastAsia="Segoe UI" w:hAnsi="Segoe UI" w:cs="Segoe UI"/>
          <w:color w:val="404040" w:themeColor="text1" w:themeTint="BF"/>
          <w:sz w:val="21"/>
          <w:szCs w:val="21"/>
        </w:rPr>
        <w:t xml:space="preserve"> and commitment to DCA’s Federal Guidance Affirmation.</w:t>
      </w:r>
    </w:p>
    <w:p w14:paraId="34710043" w14:textId="695FDD8D" w:rsidR="4BEDD2DC" w:rsidRDefault="66F4C223" w:rsidP="00A7D869">
      <w:pPr>
        <w:pStyle w:val="ListParagraph"/>
        <w:numPr>
          <w:ilvl w:val="0"/>
          <w:numId w:val="2"/>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Owner or property management company will make reasonable accommodations</w:t>
      </w:r>
      <w:r w:rsidR="5DA00037" w:rsidRPr="7497A4A4">
        <w:rPr>
          <w:rFonts w:ascii="Segoe UI" w:eastAsia="Segoe UI" w:hAnsi="Segoe UI" w:cs="Segoe UI"/>
          <w:color w:val="404040" w:themeColor="text1" w:themeTint="BF"/>
          <w:sz w:val="21"/>
          <w:szCs w:val="21"/>
        </w:rPr>
        <w:t xml:space="preserve"> </w:t>
      </w:r>
      <w:r w:rsidR="1807C2E3" w:rsidRPr="7497A4A4">
        <w:rPr>
          <w:rFonts w:ascii="Segoe UI" w:eastAsia="Segoe UI" w:hAnsi="Segoe UI" w:cs="Segoe UI"/>
          <w:color w:val="404040" w:themeColor="text1" w:themeTint="BF"/>
          <w:sz w:val="21"/>
          <w:szCs w:val="21"/>
        </w:rPr>
        <w:t>to rules, policies, practices, or services when such accommodations may be necessary to afford persons with disabilities an equal opportunity to use and enjoy a dwelling and public and common use areas.</w:t>
      </w:r>
    </w:p>
    <w:p w14:paraId="7044048C" w14:textId="0C747C64" w:rsidR="73589F66" w:rsidRDefault="73589F66" w:rsidP="52FDC038">
      <w:pPr>
        <w:pStyle w:val="ListParagraph"/>
        <w:numPr>
          <w:ilvl w:val="0"/>
          <w:numId w:val="2"/>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 xml:space="preserve">Owner and property management must cooperate with referring </w:t>
      </w:r>
      <w:r w:rsidR="1DBAE5CF" w:rsidRPr="7497A4A4">
        <w:rPr>
          <w:rFonts w:ascii="Segoe UI" w:eastAsia="Segoe UI" w:hAnsi="Segoe UI" w:cs="Segoe UI"/>
          <w:color w:val="404040" w:themeColor="text1" w:themeTint="BF"/>
          <w:sz w:val="21"/>
          <w:szCs w:val="21"/>
        </w:rPr>
        <w:t>entit</w:t>
      </w:r>
      <w:r w:rsidR="3709C506" w:rsidRPr="7497A4A4">
        <w:rPr>
          <w:rFonts w:ascii="Segoe UI" w:eastAsia="Segoe UI" w:hAnsi="Segoe UI" w:cs="Segoe UI"/>
          <w:color w:val="404040" w:themeColor="text1" w:themeTint="BF"/>
          <w:sz w:val="21"/>
          <w:szCs w:val="21"/>
        </w:rPr>
        <w:t>y</w:t>
      </w:r>
      <w:r w:rsidRPr="7497A4A4">
        <w:rPr>
          <w:rFonts w:ascii="Segoe UI" w:eastAsia="Segoe UI" w:hAnsi="Segoe UI" w:cs="Segoe UI"/>
          <w:color w:val="404040" w:themeColor="text1" w:themeTint="BF"/>
          <w:sz w:val="21"/>
          <w:szCs w:val="21"/>
        </w:rPr>
        <w:t xml:space="preserve"> and service providers to allow access to the property as needed for resident services.</w:t>
      </w:r>
    </w:p>
    <w:p w14:paraId="207364D4" w14:textId="160DDFC0" w:rsidR="52FDC038" w:rsidRDefault="73589F66" w:rsidP="52FDC038">
      <w:pPr>
        <w:pStyle w:val="ListParagraph"/>
        <w:numPr>
          <w:ilvl w:val="0"/>
          <w:numId w:val="2"/>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Owner is not required to pay for services.</w:t>
      </w:r>
    </w:p>
    <w:p w14:paraId="7604F6AE" w14:textId="1D3AC620" w:rsidR="718BAEAC" w:rsidRDefault="47ABF11A" w:rsidP="7497A4A4">
      <w:pPr>
        <w:pStyle w:val="ListParagraph"/>
        <w:numPr>
          <w:ilvl w:val="0"/>
          <w:numId w:val="2"/>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Owner and property management will:</w:t>
      </w:r>
    </w:p>
    <w:p w14:paraId="1B5AC304" w14:textId="5E81BD6B" w:rsidR="718BAEAC" w:rsidRDefault="47ABF11A" w:rsidP="7497A4A4">
      <w:pPr>
        <w:pStyle w:val="ListParagraph"/>
        <w:numPr>
          <w:ilvl w:val="1"/>
          <w:numId w:val="2"/>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 xml:space="preserve">not ask referred applicants/residents for medical or other protected information unless and only to the extent legally necessary (e.g., processing reasonable accommodations) </w:t>
      </w:r>
    </w:p>
    <w:p w14:paraId="5EF40E42" w14:textId="507DA1AA" w:rsidR="718BAEAC" w:rsidRDefault="47ABF11A" w:rsidP="7497A4A4">
      <w:pPr>
        <w:pStyle w:val="ListParagraph"/>
        <w:numPr>
          <w:ilvl w:val="1"/>
          <w:numId w:val="2"/>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 xml:space="preserve">use standard leases with the same rights available to, and responsibilities expected of, households in Housing Credit properties </w:t>
      </w:r>
    </w:p>
    <w:p w14:paraId="7D17272E" w14:textId="68BC764C" w:rsidR="718BAEAC" w:rsidRDefault="47ABF11A" w:rsidP="7497A4A4">
      <w:pPr>
        <w:pStyle w:val="ListParagraph"/>
        <w:numPr>
          <w:ilvl w:val="1"/>
          <w:numId w:val="2"/>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 xml:space="preserve">not limit duration of tenancy (cannot be transitional) </w:t>
      </w:r>
    </w:p>
    <w:p w14:paraId="5BD61F58" w14:textId="5BD1D6D6" w:rsidR="718BAEAC" w:rsidRDefault="47ABF11A" w:rsidP="7497A4A4">
      <w:pPr>
        <w:pStyle w:val="ListParagraph"/>
        <w:numPr>
          <w:ilvl w:val="1"/>
          <w:numId w:val="2"/>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 xml:space="preserve">ensure participation in any supportive services is entirely voluntary (not a formal or implied condition of occupancy) </w:t>
      </w:r>
    </w:p>
    <w:p w14:paraId="276624F5" w14:textId="772D0FC5" w:rsidR="718BAEAC" w:rsidRDefault="47ABF11A" w:rsidP="7497A4A4">
      <w:pPr>
        <w:pStyle w:val="ListParagraph"/>
        <w:numPr>
          <w:ilvl w:val="0"/>
          <w:numId w:val="2"/>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 xml:space="preserve">Neither the </w:t>
      </w:r>
      <w:r w:rsidR="3308D994" w:rsidRPr="7497A4A4">
        <w:rPr>
          <w:rFonts w:ascii="Segoe UI" w:eastAsia="Segoe UI" w:hAnsi="Segoe UI" w:cs="Segoe UI"/>
          <w:color w:val="404040" w:themeColor="text1" w:themeTint="BF"/>
          <w:sz w:val="21"/>
          <w:szCs w:val="21"/>
        </w:rPr>
        <w:t>Owner</w:t>
      </w:r>
      <w:r w:rsidRPr="7497A4A4">
        <w:rPr>
          <w:rFonts w:ascii="Segoe UI" w:eastAsia="Segoe UI" w:hAnsi="Segoe UI" w:cs="Segoe UI"/>
          <w:color w:val="404040" w:themeColor="text1" w:themeTint="BF"/>
          <w:sz w:val="21"/>
          <w:szCs w:val="21"/>
        </w:rPr>
        <w:t xml:space="preserve"> nor the property management company(</w:t>
      </w:r>
      <w:proofErr w:type="spellStart"/>
      <w:r w:rsidRPr="7497A4A4">
        <w:rPr>
          <w:rFonts w:ascii="Segoe UI" w:eastAsia="Segoe UI" w:hAnsi="Segoe UI" w:cs="Segoe UI"/>
          <w:color w:val="404040" w:themeColor="text1" w:themeTint="BF"/>
          <w:sz w:val="21"/>
          <w:szCs w:val="21"/>
        </w:rPr>
        <w:t>ies</w:t>
      </w:r>
      <w:proofErr w:type="spellEnd"/>
      <w:r w:rsidRPr="7497A4A4">
        <w:rPr>
          <w:rFonts w:ascii="Segoe UI" w:eastAsia="Segoe UI" w:hAnsi="Segoe UI" w:cs="Segoe UI"/>
          <w:color w:val="404040" w:themeColor="text1" w:themeTint="BF"/>
          <w:sz w:val="21"/>
          <w:szCs w:val="21"/>
        </w:rPr>
        <w:t>) may engage in medical, therapeutic, or other activities regulated by the U.S. Centers for Medicare &amp; Medicaid Services with respect to the residents</w:t>
      </w:r>
    </w:p>
    <w:p w14:paraId="5AEA85E5" w14:textId="77777777" w:rsidR="00777CD3" w:rsidRDefault="00777CD3" w:rsidP="006E6822">
      <w:pPr>
        <w:pStyle w:val="ListParagraph"/>
        <w:rPr>
          <w:rFonts w:ascii="Segoe UI" w:eastAsia="Segoe UI" w:hAnsi="Segoe UI" w:cs="Segoe UI"/>
          <w:color w:val="404040" w:themeColor="text1" w:themeTint="BF"/>
          <w:sz w:val="21"/>
          <w:szCs w:val="21"/>
        </w:rPr>
      </w:pPr>
    </w:p>
    <w:p w14:paraId="33D59D56" w14:textId="1835326A" w:rsidR="007B425C" w:rsidRDefault="008C2420" w:rsidP="005B3D1E">
      <w:pPr>
        <w:pStyle w:val="ListParagraph"/>
        <w:ind w:left="0"/>
        <w:rPr>
          <w:rFonts w:ascii="Segoe UI" w:eastAsia="Segoe UI" w:hAnsi="Segoe UI" w:cs="Segoe UI"/>
          <w:b/>
          <w:color w:val="ED7D31" w:themeColor="accent2"/>
          <w:sz w:val="24"/>
          <w:szCs w:val="24"/>
        </w:rPr>
      </w:pPr>
      <w:r w:rsidRPr="7497A4A4">
        <w:rPr>
          <w:rFonts w:ascii="Segoe UI" w:eastAsia="Segoe UI" w:hAnsi="Segoe UI" w:cs="Segoe UI"/>
          <w:b/>
          <w:color w:val="ED7D31" w:themeColor="accent2"/>
          <w:sz w:val="24"/>
          <w:szCs w:val="24"/>
        </w:rPr>
        <w:t>Referring Entit</w:t>
      </w:r>
      <w:r w:rsidR="14F77C04" w:rsidRPr="7497A4A4">
        <w:rPr>
          <w:rFonts w:ascii="Segoe UI" w:eastAsia="Segoe UI" w:hAnsi="Segoe UI" w:cs="Segoe UI"/>
          <w:b/>
          <w:color w:val="ED7D31" w:themeColor="accent2"/>
          <w:sz w:val="24"/>
          <w:szCs w:val="24"/>
        </w:rPr>
        <w:t>ie</w:t>
      </w:r>
      <w:r w:rsidR="5800CB6A" w:rsidRPr="7497A4A4">
        <w:rPr>
          <w:rFonts w:ascii="Segoe UI" w:eastAsia="Segoe UI" w:hAnsi="Segoe UI" w:cs="Segoe UI"/>
          <w:b/>
          <w:color w:val="ED7D31" w:themeColor="accent2"/>
          <w:sz w:val="24"/>
          <w:szCs w:val="24"/>
        </w:rPr>
        <w:t>s</w:t>
      </w:r>
      <w:r w:rsidRPr="7497A4A4">
        <w:rPr>
          <w:rFonts w:ascii="Segoe UI" w:eastAsia="Segoe UI" w:hAnsi="Segoe UI" w:cs="Segoe UI"/>
          <w:b/>
          <w:color w:val="ED7D31" w:themeColor="accent2"/>
          <w:sz w:val="24"/>
          <w:szCs w:val="24"/>
        </w:rPr>
        <w:t>:</w:t>
      </w:r>
    </w:p>
    <w:p w14:paraId="468B3F63" w14:textId="72CD8BF4" w:rsidR="5980710D" w:rsidRDefault="63C8539F" w:rsidP="52FDC038">
      <w:pPr>
        <w:pStyle w:val="ListParagraph"/>
        <w:numPr>
          <w:ilvl w:val="0"/>
          <w:numId w:val="5"/>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 xml:space="preserve">If applicable, </w:t>
      </w:r>
      <w:r w:rsidR="5980710D" w:rsidRPr="7497A4A4">
        <w:rPr>
          <w:rFonts w:ascii="Segoe UI" w:eastAsia="Segoe UI" w:hAnsi="Segoe UI" w:cs="Segoe UI"/>
          <w:color w:val="404040" w:themeColor="text1" w:themeTint="BF"/>
          <w:sz w:val="21"/>
          <w:szCs w:val="21"/>
        </w:rPr>
        <w:t xml:space="preserve">Referring </w:t>
      </w:r>
      <w:r w:rsidR="0C5A7178" w:rsidRPr="7497A4A4">
        <w:rPr>
          <w:rFonts w:ascii="Segoe UI" w:eastAsia="Segoe UI" w:hAnsi="Segoe UI" w:cs="Segoe UI"/>
          <w:color w:val="404040" w:themeColor="text1" w:themeTint="BF"/>
          <w:sz w:val="21"/>
          <w:szCs w:val="21"/>
        </w:rPr>
        <w:t>E</w:t>
      </w:r>
      <w:r w:rsidR="5980710D" w:rsidRPr="7497A4A4">
        <w:rPr>
          <w:rFonts w:ascii="Segoe UI" w:eastAsia="Segoe UI" w:hAnsi="Segoe UI" w:cs="Segoe UI"/>
          <w:color w:val="404040" w:themeColor="text1" w:themeTint="BF"/>
          <w:sz w:val="21"/>
          <w:szCs w:val="21"/>
        </w:rPr>
        <w:t>ntit</w:t>
      </w:r>
      <w:r w:rsidR="5A809A34" w:rsidRPr="7497A4A4">
        <w:rPr>
          <w:rFonts w:ascii="Segoe UI" w:eastAsia="Segoe UI" w:hAnsi="Segoe UI" w:cs="Segoe UI"/>
          <w:color w:val="404040" w:themeColor="text1" w:themeTint="BF"/>
          <w:sz w:val="21"/>
          <w:szCs w:val="21"/>
        </w:rPr>
        <w:t>y is</w:t>
      </w:r>
      <w:r w:rsidR="5980710D" w:rsidRPr="7497A4A4">
        <w:rPr>
          <w:rFonts w:ascii="Segoe UI" w:eastAsia="Segoe UI" w:hAnsi="Segoe UI" w:cs="Segoe UI"/>
          <w:color w:val="404040" w:themeColor="text1" w:themeTint="BF"/>
          <w:sz w:val="21"/>
          <w:szCs w:val="21"/>
        </w:rPr>
        <w:t xml:space="preserve"> responsible for ensuring their</w:t>
      </w:r>
      <w:r w:rsidR="005F26D1" w:rsidRPr="7497A4A4">
        <w:rPr>
          <w:rFonts w:ascii="Segoe UI" w:eastAsia="Segoe UI" w:hAnsi="Segoe UI" w:cs="Segoe UI"/>
          <w:color w:val="404040" w:themeColor="text1" w:themeTint="BF"/>
          <w:sz w:val="21"/>
          <w:szCs w:val="21"/>
        </w:rPr>
        <w:t xml:space="preserve"> </w:t>
      </w:r>
      <w:r w:rsidR="5980710D" w:rsidRPr="7497A4A4">
        <w:rPr>
          <w:rFonts w:ascii="Segoe UI" w:eastAsia="Segoe UI" w:hAnsi="Segoe UI" w:cs="Segoe UI"/>
          <w:color w:val="404040" w:themeColor="text1" w:themeTint="BF"/>
          <w:sz w:val="21"/>
          <w:szCs w:val="21"/>
        </w:rPr>
        <w:t xml:space="preserve">contracted partners comply with all </w:t>
      </w:r>
      <w:r w:rsidR="1031F57F" w:rsidRPr="7497A4A4">
        <w:rPr>
          <w:rFonts w:ascii="Segoe UI" w:eastAsia="Segoe UI" w:hAnsi="Segoe UI" w:cs="Segoe UI"/>
          <w:color w:val="404040" w:themeColor="text1" w:themeTint="BF"/>
          <w:sz w:val="21"/>
          <w:szCs w:val="21"/>
        </w:rPr>
        <w:t xml:space="preserve">terms and </w:t>
      </w:r>
      <w:r w:rsidR="5980710D" w:rsidRPr="7497A4A4">
        <w:rPr>
          <w:rFonts w:ascii="Segoe UI" w:eastAsia="Segoe UI" w:hAnsi="Segoe UI" w:cs="Segoe UI"/>
          <w:color w:val="404040" w:themeColor="text1" w:themeTint="BF"/>
          <w:sz w:val="21"/>
          <w:szCs w:val="21"/>
        </w:rPr>
        <w:t>agreements in this MOU</w:t>
      </w:r>
      <w:r w:rsidR="064BE5EE" w:rsidRPr="7497A4A4">
        <w:rPr>
          <w:rFonts w:ascii="Segoe UI" w:eastAsia="Segoe UI" w:hAnsi="Segoe UI" w:cs="Segoe UI"/>
          <w:color w:val="404040" w:themeColor="text1" w:themeTint="BF"/>
          <w:sz w:val="21"/>
          <w:szCs w:val="21"/>
        </w:rPr>
        <w:t xml:space="preserve">, </w:t>
      </w:r>
      <w:r w:rsidR="190E2B95" w:rsidRPr="7497A4A4">
        <w:rPr>
          <w:rFonts w:ascii="Segoe UI" w:eastAsia="Segoe UI" w:hAnsi="Segoe UI" w:cs="Segoe UI"/>
          <w:color w:val="404040" w:themeColor="text1" w:themeTint="BF"/>
          <w:sz w:val="21"/>
          <w:szCs w:val="21"/>
        </w:rPr>
        <w:t xml:space="preserve">including ensuring </w:t>
      </w:r>
      <w:r w:rsidR="7186887D" w:rsidRPr="7497A4A4">
        <w:rPr>
          <w:rFonts w:ascii="Segoe UI" w:eastAsia="Segoe UI" w:hAnsi="Segoe UI" w:cs="Segoe UI"/>
          <w:color w:val="404040" w:themeColor="text1" w:themeTint="BF"/>
          <w:sz w:val="21"/>
          <w:szCs w:val="21"/>
        </w:rPr>
        <w:t xml:space="preserve">that </w:t>
      </w:r>
      <w:r w:rsidR="064BE5EE" w:rsidRPr="7497A4A4">
        <w:rPr>
          <w:rFonts w:ascii="Segoe UI" w:eastAsia="Segoe UI" w:hAnsi="Segoe UI" w:cs="Segoe UI"/>
          <w:color w:val="404040" w:themeColor="text1" w:themeTint="BF"/>
          <w:sz w:val="21"/>
          <w:szCs w:val="21"/>
        </w:rPr>
        <w:t xml:space="preserve">any contracted partner </w:t>
      </w:r>
      <w:r w:rsidR="5D65E40A" w:rsidRPr="7497A4A4">
        <w:rPr>
          <w:rFonts w:ascii="Segoe UI" w:eastAsia="Segoe UI" w:hAnsi="Segoe UI" w:cs="Segoe UI"/>
          <w:color w:val="404040" w:themeColor="text1" w:themeTint="BF"/>
          <w:sz w:val="21"/>
          <w:szCs w:val="21"/>
        </w:rPr>
        <w:t xml:space="preserve">properly </w:t>
      </w:r>
      <w:r w:rsidR="0C5A4DAE" w:rsidRPr="7497A4A4">
        <w:rPr>
          <w:rFonts w:ascii="Segoe UI" w:eastAsia="Segoe UI" w:hAnsi="Segoe UI" w:cs="Segoe UI"/>
          <w:color w:val="404040" w:themeColor="text1" w:themeTint="BF"/>
          <w:sz w:val="21"/>
          <w:szCs w:val="21"/>
        </w:rPr>
        <w:t>receives property and vacancy information</w:t>
      </w:r>
      <w:r w:rsidR="5B4B7DE8" w:rsidRPr="7497A4A4">
        <w:rPr>
          <w:rFonts w:ascii="Segoe UI" w:eastAsia="Segoe UI" w:hAnsi="Segoe UI" w:cs="Segoe UI"/>
          <w:color w:val="404040" w:themeColor="text1" w:themeTint="BF"/>
          <w:sz w:val="21"/>
          <w:szCs w:val="21"/>
        </w:rPr>
        <w:t>.</w:t>
      </w:r>
      <w:r w:rsidR="5980710D" w:rsidRPr="7497A4A4">
        <w:rPr>
          <w:rFonts w:ascii="Segoe UI" w:eastAsia="Segoe UI" w:hAnsi="Segoe UI" w:cs="Segoe UI"/>
          <w:color w:val="404040" w:themeColor="text1" w:themeTint="BF"/>
          <w:sz w:val="21"/>
          <w:szCs w:val="21"/>
        </w:rPr>
        <w:t xml:space="preserve"> Referring </w:t>
      </w:r>
      <w:r w:rsidR="6968FB7B" w:rsidRPr="7497A4A4">
        <w:rPr>
          <w:rFonts w:ascii="Segoe UI" w:eastAsia="Segoe UI" w:hAnsi="Segoe UI" w:cs="Segoe UI"/>
          <w:color w:val="404040" w:themeColor="text1" w:themeTint="BF"/>
          <w:sz w:val="21"/>
          <w:szCs w:val="21"/>
        </w:rPr>
        <w:t>Entity</w:t>
      </w:r>
      <w:r w:rsidR="5980710D" w:rsidRPr="7497A4A4">
        <w:rPr>
          <w:rFonts w:ascii="Segoe UI" w:eastAsia="Segoe UI" w:hAnsi="Segoe UI" w:cs="Segoe UI"/>
          <w:color w:val="404040" w:themeColor="text1" w:themeTint="BF"/>
          <w:sz w:val="21"/>
          <w:szCs w:val="21"/>
        </w:rPr>
        <w:t xml:space="preserve"> should </w:t>
      </w:r>
      <w:r w:rsidR="5B4B7DE8" w:rsidRPr="7497A4A4">
        <w:rPr>
          <w:rFonts w:ascii="Segoe UI" w:eastAsia="Segoe UI" w:hAnsi="Segoe UI" w:cs="Segoe UI"/>
          <w:color w:val="404040" w:themeColor="text1" w:themeTint="BF"/>
          <w:sz w:val="21"/>
          <w:szCs w:val="21"/>
        </w:rPr>
        <w:t>designate</w:t>
      </w:r>
      <w:r w:rsidR="5980710D" w:rsidRPr="7497A4A4">
        <w:rPr>
          <w:rFonts w:ascii="Segoe UI" w:eastAsia="Segoe UI" w:hAnsi="Segoe UI" w:cs="Segoe UI"/>
          <w:color w:val="404040" w:themeColor="text1" w:themeTint="BF"/>
          <w:sz w:val="21"/>
          <w:szCs w:val="21"/>
        </w:rPr>
        <w:t xml:space="preserve"> their contracted partners in this MOU.</w:t>
      </w:r>
    </w:p>
    <w:p w14:paraId="2578C6D0" w14:textId="04EC2039" w:rsidR="008C2420" w:rsidRDefault="00800C19" w:rsidP="008C2420">
      <w:pPr>
        <w:pStyle w:val="ListParagraph"/>
        <w:numPr>
          <w:ilvl w:val="0"/>
          <w:numId w:val="5"/>
        </w:numPr>
        <w:rPr>
          <w:rFonts w:ascii="Segoe UI" w:eastAsia="Segoe UI" w:hAnsi="Segoe UI" w:cs="Segoe UI"/>
          <w:color w:val="404040" w:themeColor="text1" w:themeTint="BF"/>
          <w:sz w:val="21"/>
          <w:szCs w:val="21"/>
          <w:lang w:val="en"/>
        </w:rPr>
      </w:pPr>
      <w:r w:rsidRPr="7497A4A4">
        <w:rPr>
          <w:rFonts w:ascii="Segoe UI" w:eastAsia="Segoe UI" w:hAnsi="Segoe UI" w:cs="Segoe UI"/>
          <w:color w:val="404040" w:themeColor="text1" w:themeTint="BF"/>
          <w:sz w:val="21"/>
          <w:szCs w:val="21"/>
          <w:lang w:val="en"/>
        </w:rPr>
        <w:t xml:space="preserve">Referring </w:t>
      </w:r>
      <w:r w:rsidR="567CFB2C" w:rsidRPr="7497A4A4">
        <w:rPr>
          <w:rFonts w:ascii="Segoe UI" w:eastAsia="Segoe UI" w:hAnsi="Segoe UI" w:cs="Segoe UI"/>
          <w:color w:val="404040" w:themeColor="text1" w:themeTint="BF"/>
          <w:sz w:val="21"/>
          <w:szCs w:val="21"/>
          <w:lang w:val="en"/>
        </w:rPr>
        <w:t>Entity</w:t>
      </w:r>
      <w:r w:rsidRPr="7497A4A4">
        <w:rPr>
          <w:rFonts w:ascii="Segoe UI" w:eastAsia="Segoe UI" w:hAnsi="Segoe UI" w:cs="Segoe UI"/>
          <w:color w:val="404040" w:themeColor="text1" w:themeTint="BF"/>
          <w:sz w:val="21"/>
          <w:szCs w:val="21"/>
          <w:lang w:val="en"/>
        </w:rPr>
        <w:t xml:space="preserve"> will d</w:t>
      </w:r>
      <w:r w:rsidR="008C2420" w:rsidRPr="7497A4A4">
        <w:rPr>
          <w:rFonts w:ascii="Segoe UI" w:eastAsia="Segoe UI" w:hAnsi="Segoe UI" w:cs="Segoe UI"/>
          <w:color w:val="404040" w:themeColor="text1" w:themeTint="BF"/>
          <w:sz w:val="21"/>
          <w:szCs w:val="21"/>
          <w:lang w:val="en"/>
        </w:rPr>
        <w:t>etermine that potential tenant applicants are population</w:t>
      </w:r>
      <w:r w:rsidR="077A2192" w:rsidRPr="7497A4A4">
        <w:rPr>
          <w:rFonts w:ascii="Segoe UI" w:eastAsia="Segoe UI" w:hAnsi="Segoe UI" w:cs="Segoe UI"/>
          <w:color w:val="404040" w:themeColor="text1" w:themeTint="BF"/>
          <w:sz w:val="21"/>
          <w:szCs w:val="21"/>
          <w:lang w:val="en"/>
        </w:rPr>
        <w:t>-</w:t>
      </w:r>
      <w:r w:rsidR="008C2420" w:rsidRPr="7497A4A4">
        <w:rPr>
          <w:rFonts w:ascii="Segoe UI" w:eastAsia="Segoe UI" w:hAnsi="Segoe UI" w:cs="Segoe UI"/>
          <w:color w:val="404040" w:themeColor="text1" w:themeTint="BF"/>
          <w:sz w:val="21"/>
          <w:szCs w:val="21"/>
          <w:lang w:val="en"/>
        </w:rPr>
        <w:t xml:space="preserve">eligible and eligible for supportive </w:t>
      </w:r>
      <w:proofErr w:type="gramStart"/>
      <w:r w:rsidR="008C2420" w:rsidRPr="7497A4A4">
        <w:rPr>
          <w:rFonts w:ascii="Segoe UI" w:eastAsia="Segoe UI" w:hAnsi="Segoe UI" w:cs="Segoe UI"/>
          <w:color w:val="404040" w:themeColor="text1" w:themeTint="BF"/>
          <w:sz w:val="21"/>
          <w:szCs w:val="21"/>
          <w:lang w:val="en"/>
        </w:rPr>
        <w:t xml:space="preserve">services, </w:t>
      </w:r>
      <w:bookmarkStart w:id="1" w:name="_Hlk160207142"/>
      <w:r w:rsidR="008C2420" w:rsidRPr="7497A4A4">
        <w:rPr>
          <w:rFonts w:ascii="Segoe UI" w:eastAsia="Segoe UI" w:hAnsi="Segoe UI" w:cs="Segoe UI"/>
          <w:color w:val="404040" w:themeColor="text1" w:themeTint="BF"/>
          <w:sz w:val="21"/>
          <w:szCs w:val="21"/>
          <w:lang w:val="en"/>
        </w:rPr>
        <w:t>and</w:t>
      </w:r>
      <w:proofErr w:type="gramEnd"/>
      <w:r w:rsidR="008C2420" w:rsidRPr="7497A4A4">
        <w:rPr>
          <w:rFonts w:ascii="Segoe UI" w:eastAsia="Segoe UI" w:hAnsi="Segoe UI" w:cs="Segoe UI"/>
          <w:color w:val="404040" w:themeColor="text1" w:themeTint="BF"/>
          <w:sz w:val="21"/>
          <w:szCs w:val="21"/>
          <w:lang w:val="en"/>
        </w:rPr>
        <w:t xml:space="preserve"> will maintain a waitlist or pipeline of applicants to refer to </w:t>
      </w:r>
      <w:r w:rsidR="003F5EC6" w:rsidRPr="7497A4A4">
        <w:rPr>
          <w:rFonts w:ascii="Segoe UI" w:eastAsia="Segoe UI" w:hAnsi="Segoe UI" w:cs="Segoe UI"/>
          <w:color w:val="404040" w:themeColor="text1" w:themeTint="BF"/>
          <w:sz w:val="21"/>
          <w:szCs w:val="21"/>
          <w:lang w:val="en"/>
        </w:rPr>
        <w:lastRenderedPageBreak/>
        <w:t xml:space="preserve">reserved </w:t>
      </w:r>
      <w:r w:rsidR="008C2420" w:rsidRPr="7497A4A4">
        <w:rPr>
          <w:rFonts w:ascii="Segoe UI" w:eastAsia="Segoe UI" w:hAnsi="Segoe UI" w:cs="Segoe UI"/>
          <w:color w:val="404040" w:themeColor="text1" w:themeTint="BF"/>
          <w:sz w:val="21"/>
          <w:szCs w:val="21"/>
          <w:lang w:val="en"/>
        </w:rPr>
        <w:t>units when they become available.</w:t>
      </w:r>
      <w:bookmarkEnd w:id="1"/>
      <w:r w:rsidR="008C2420" w:rsidRPr="7497A4A4">
        <w:rPr>
          <w:rFonts w:ascii="Segoe UI" w:eastAsia="Segoe UI" w:hAnsi="Segoe UI" w:cs="Segoe UI"/>
          <w:color w:val="404040" w:themeColor="text1" w:themeTint="BF"/>
          <w:sz w:val="21"/>
          <w:szCs w:val="21"/>
          <w:lang w:val="en"/>
        </w:rPr>
        <w:t xml:space="preserve"> </w:t>
      </w:r>
      <w:r w:rsidR="1F44041C" w:rsidRPr="7497A4A4">
        <w:rPr>
          <w:rFonts w:ascii="Segoe UI" w:eastAsia="Segoe UI" w:hAnsi="Segoe UI" w:cs="Segoe UI"/>
          <w:color w:val="404040" w:themeColor="text1" w:themeTint="BF"/>
          <w:sz w:val="21"/>
          <w:szCs w:val="21"/>
          <w:lang w:val="en"/>
        </w:rPr>
        <w:t xml:space="preserve">Referral prioritization is determined by the Referring Entity. </w:t>
      </w:r>
    </w:p>
    <w:p w14:paraId="51D9B399" w14:textId="19E9EF34" w:rsidR="008C2420" w:rsidRPr="001B2173" w:rsidRDefault="32177368" w:rsidP="7497A4A4">
      <w:pPr>
        <w:pStyle w:val="ListParagraph"/>
        <w:numPr>
          <w:ilvl w:val="0"/>
          <w:numId w:val="5"/>
        </w:num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lang w:val="en"/>
        </w:rPr>
        <w:t xml:space="preserve">Referring </w:t>
      </w:r>
      <w:r w:rsidR="21BC61D2" w:rsidRPr="7497A4A4">
        <w:rPr>
          <w:rFonts w:ascii="Segoe UI" w:eastAsia="Segoe UI" w:hAnsi="Segoe UI" w:cs="Segoe UI"/>
          <w:color w:val="404040" w:themeColor="text1" w:themeTint="BF"/>
          <w:sz w:val="21"/>
          <w:szCs w:val="21"/>
          <w:lang w:val="en"/>
        </w:rPr>
        <w:t>Entity</w:t>
      </w:r>
      <w:r w:rsidRPr="7497A4A4">
        <w:rPr>
          <w:rFonts w:ascii="Segoe UI" w:eastAsia="Segoe UI" w:hAnsi="Segoe UI" w:cs="Segoe UI"/>
          <w:color w:val="404040" w:themeColor="text1" w:themeTint="BF"/>
          <w:sz w:val="21"/>
          <w:szCs w:val="21"/>
          <w:lang w:val="en"/>
        </w:rPr>
        <w:t xml:space="preserve"> will, t</w:t>
      </w:r>
      <w:r w:rsidR="57CD2103" w:rsidRPr="7497A4A4">
        <w:rPr>
          <w:rFonts w:ascii="Segoe UI" w:eastAsia="Segoe UI" w:hAnsi="Segoe UI" w:cs="Segoe UI"/>
          <w:color w:val="404040" w:themeColor="text1" w:themeTint="BF"/>
          <w:sz w:val="21"/>
          <w:szCs w:val="21"/>
          <w:lang w:val="en"/>
        </w:rPr>
        <w:t xml:space="preserve">o the best of their ability, make </w:t>
      </w:r>
      <w:r w:rsidR="008C2420" w:rsidRPr="7497A4A4">
        <w:rPr>
          <w:rFonts w:ascii="Segoe UI" w:eastAsia="Segoe UI" w:hAnsi="Segoe UI" w:cs="Segoe UI"/>
          <w:color w:val="404040" w:themeColor="text1" w:themeTint="BF"/>
          <w:sz w:val="21"/>
          <w:szCs w:val="21"/>
          <w:lang w:val="en"/>
        </w:rPr>
        <w:t xml:space="preserve">timely referrals to Owner or </w:t>
      </w:r>
      <w:r w:rsidR="45CE86E4" w:rsidRPr="7497A4A4">
        <w:rPr>
          <w:rFonts w:ascii="Segoe UI" w:eastAsia="Segoe UI" w:hAnsi="Segoe UI" w:cs="Segoe UI"/>
          <w:color w:val="404040" w:themeColor="text1" w:themeTint="BF"/>
          <w:sz w:val="21"/>
          <w:szCs w:val="21"/>
          <w:lang w:val="en"/>
        </w:rPr>
        <w:t xml:space="preserve">property </w:t>
      </w:r>
      <w:r w:rsidR="008C2420" w:rsidRPr="7497A4A4">
        <w:rPr>
          <w:rFonts w:ascii="Segoe UI" w:eastAsia="Segoe UI" w:hAnsi="Segoe UI" w:cs="Segoe UI"/>
          <w:color w:val="404040" w:themeColor="text1" w:themeTint="BF"/>
          <w:sz w:val="21"/>
          <w:szCs w:val="21"/>
          <w:lang w:val="en"/>
        </w:rPr>
        <w:t xml:space="preserve">management </w:t>
      </w:r>
      <w:r w:rsidR="00797B56" w:rsidRPr="7497A4A4">
        <w:rPr>
          <w:rFonts w:ascii="Segoe UI" w:eastAsia="Segoe UI" w:hAnsi="Segoe UI" w:cs="Segoe UI"/>
          <w:color w:val="404040" w:themeColor="text1" w:themeTint="BF"/>
          <w:sz w:val="21"/>
          <w:szCs w:val="21"/>
          <w:lang w:val="en"/>
        </w:rPr>
        <w:t>company</w:t>
      </w:r>
      <w:r w:rsidR="008C2420" w:rsidRPr="7497A4A4">
        <w:rPr>
          <w:rFonts w:ascii="Segoe UI" w:eastAsia="Segoe UI" w:hAnsi="Segoe UI" w:cs="Segoe UI"/>
          <w:color w:val="404040" w:themeColor="text1" w:themeTint="BF"/>
          <w:sz w:val="21"/>
          <w:szCs w:val="21"/>
          <w:lang w:val="en"/>
        </w:rPr>
        <w:t xml:space="preserve"> </w:t>
      </w:r>
      <w:proofErr w:type="gramStart"/>
      <w:r w:rsidR="008C2420" w:rsidRPr="7497A4A4">
        <w:rPr>
          <w:rFonts w:ascii="Segoe UI" w:eastAsia="Segoe UI" w:hAnsi="Segoe UI" w:cs="Segoe UI"/>
          <w:color w:val="404040" w:themeColor="text1" w:themeTint="BF"/>
          <w:sz w:val="21"/>
          <w:szCs w:val="21"/>
          <w:lang w:val="en"/>
        </w:rPr>
        <w:t>in order to</w:t>
      </w:r>
      <w:proofErr w:type="gramEnd"/>
      <w:r w:rsidR="008C2420" w:rsidRPr="7497A4A4">
        <w:rPr>
          <w:rFonts w:ascii="Segoe UI" w:eastAsia="Segoe UI" w:hAnsi="Segoe UI" w:cs="Segoe UI"/>
          <w:color w:val="404040" w:themeColor="text1" w:themeTint="BF"/>
          <w:sz w:val="21"/>
          <w:szCs w:val="21"/>
          <w:lang w:val="en"/>
        </w:rPr>
        <w:t xml:space="preserve"> </w:t>
      </w:r>
      <w:r w:rsidR="008C2420" w:rsidRPr="7497A4A4">
        <w:rPr>
          <w:rFonts w:ascii="Segoe UI" w:eastAsia="Segoe UI" w:hAnsi="Segoe UI" w:cs="Segoe UI"/>
          <w:color w:val="404040" w:themeColor="text1" w:themeTint="BF"/>
          <w:sz w:val="21"/>
          <w:szCs w:val="21"/>
        </w:rPr>
        <w:t>fill the number of units agreed to in this MOU within the agreed upon hold periods outlined above.</w:t>
      </w:r>
    </w:p>
    <w:p w14:paraId="27CBE37A" w14:textId="4CEEFF90" w:rsidR="008C2420" w:rsidRPr="0034414E" w:rsidRDefault="78BEAD49" w:rsidP="52D8DBEB">
      <w:pPr>
        <w:pStyle w:val="ListParagraph"/>
        <w:numPr>
          <w:ilvl w:val="0"/>
          <w:numId w:val="5"/>
        </w:numPr>
        <w:rPr>
          <w:rFonts w:ascii="Segoe UI" w:eastAsia="Segoe UI" w:hAnsi="Segoe UI" w:cs="Segoe UI"/>
          <w:color w:val="404040" w:themeColor="text1" w:themeTint="BF"/>
          <w:sz w:val="21"/>
          <w:szCs w:val="21"/>
          <w:lang w:val="en"/>
        </w:rPr>
      </w:pPr>
      <w:r w:rsidRPr="7497A4A4">
        <w:rPr>
          <w:rFonts w:ascii="Segoe UI" w:eastAsia="Segoe UI" w:hAnsi="Segoe UI" w:cs="Segoe UI"/>
          <w:color w:val="404040" w:themeColor="text1" w:themeTint="BF"/>
          <w:sz w:val="21"/>
          <w:szCs w:val="21"/>
          <w:lang w:val="en"/>
        </w:rPr>
        <w:t xml:space="preserve">Referring </w:t>
      </w:r>
      <w:r w:rsidR="25262C61" w:rsidRPr="7497A4A4">
        <w:rPr>
          <w:rFonts w:ascii="Segoe UI" w:eastAsia="Segoe UI" w:hAnsi="Segoe UI" w:cs="Segoe UI"/>
          <w:color w:val="404040" w:themeColor="text1" w:themeTint="BF"/>
          <w:sz w:val="21"/>
          <w:szCs w:val="21"/>
          <w:lang w:val="en"/>
        </w:rPr>
        <w:t>Entity</w:t>
      </w:r>
      <w:r w:rsidR="42854534" w:rsidRPr="7497A4A4">
        <w:rPr>
          <w:rFonts w:ascii="Segoe UI" w:eastAsia="Segoe UI" w:hAnsi="Segoe UI" w:cs="Segoe UI"/>
          <w:color w:val="404040" w:themeColor="text1" w:themeTint="BF"/>
          <w:sz w:val="21"/>
          <w:szCs w:val="21"/>
          <w:lang w:val="en"/>
        </w:rPr>
        <w:t xml:space="preserve"> will a</w:t>
      </w:r>
      <w:r w:rsidR="008C2420" w:rsidRPr="7497A4A4">
        <w:rPr>
          <w:rFonts w:ascii="Segoe UI" w:eastAsia="Segoe UI" w:hAnsi="Segoe UI" w:cs="Segoe UI"/>
          <w:color w:val="404040" w:themeColor="text1" w:themeTint="BF"/>
          <w:sz w:val="21"/>
          <w:szCs w:val="21"/>
          <w:lang w:val="en"/>
        </w:rPr>
        <w:t xml:space="preserve">ssist </w:t>
      </w:r>
      <w:r w:rsidR="00CF5461">
        <w:rPr>
          <w:rFonts w:ascii="Segoe UI" w:eastAsia="Segoe UI" w:hAnsi="Segoe UI" w:cs="Segoe UI"/>
          <w:color w:val="404040" w:themeColor="text1" w:themeTint="BF"/>
          <w:sz w:val="21"/>
          <w:szCs w:val="21"/>
          <w:lang w:val="en"/>
        </w:rPr>
        <w:t xml:space="preserve">tenant applicants </w:t>
      </w:r>
      <w:r w:rsidR="00550328">
        <w:rPr>
          <w:rFonts w:ascii="Segoe UI" w:eastAsia="Segoe UI" w:hAnsi="Segoe UI" w:cs="Segoe UI"/>
          <w:color w:val="404040" w:themeColor="text1" w:themeTint="BF"/>
          <w:sz w:val="21"/>
          <w:szCs w:val="21"/>
          <w:lang w:val="en"/>
        </w:rPr>
        <w:t>in</w:t>
      </w:r>
      <w:r w:rsidR="008C2420" w:rsidRPr="7497A4A4">
        <w:rPr>
          <w:rFonts w:ascii="Segoe UI" w:eastAsia="Segoe UI" w:hAnsi="Segoe UI" w:cs="Segoe UI"/>
          <w:color w:val="404040" w:themeColor="text1" w:themeTint="BF"/>
          <w:sz w:val="21"/>
          <w:szCs w:val="21"/>
          <w:lang w:val="en"/>
        </w:rPr>
        <w:t xml:space="preserve"> </w:t>
      </w:r>
      <w:r w:rsidR="008C2420" w:rsidRPr="7497A4A4">
        <w:rPr>
          <w:rFonts w:ascii="Segoe UI" w:eastAsia="Segoe UI" w:hAnsi="Segoe UI" w:cs="Segoe UI"/>
          <w:color w:val="404040" w:themeColor="text1" w:themeTint="BF"/>
          <w:sz w:val="21"/>
          <w:szCs w:val="21"/>
        </w:rPr>
        <w:t>secur</w:t>
      </w:r>
      <w:r w:rsidR="00550328">
        <w:rPr>
          <w:rFonts w:ascii="Segoe UI" w:eastAsia="Segoe UI" w:hAnsi="Segoe UI" w:cs="Segoe UI"/>
          <w:color w:val="404040" w:themeColor="text1" w:themeTint="BF"/>
          <w:sz w:val="21"/>
          <w:szCs w:val="21"/>
        </w:rPr>
        <w:t>ing</w:t>
      </w:r>
      <w:r w:rsidR="008C2420" w:rsidRPr="7497A4A4">
        <w:rPr>
          <w:rFonts w:ascii="Segoe UI" w:eastAsia="Segoe UI" w:hAnsi="Segoe UI" w:cs="Segoe UI"/>
          <w:color w:val="404040" w:themeColor="text1" w:themeTint="BF"/>
          <w:sz w:val="21"/>
          <w:szCs w:val="21"/>
        </w:rPr>
        <w:t xml:space="preserve"> </w:t>
      </w:r>
      <w:r w:rsidR="3565E998" w:rsidRPr="7497A4A4">
        <w:rPr>
          <w:rFonts w:ascii="Segoe UI" w:eastAsia="Segoe UI" w:hAnsi="Segoe UI" w:cs="Segoe UI"/>
          <w:color w:val="404040" w:themeColor="text1" w:themeTint="BF"/>
          <w:sz w:val="21"/>
          <w:szCs w:val="21"/>
        </w:rPr>
        <w:t xml:space="preserve">needed </w:t>
      </w:r>
      <w:r w:rsidR="008C2420" w:rsidRPr="7497A4A4">
        <w:rPr>
          <w:rFonts w:ascii="Segoe UI" w:eastAsia="Segoe UI" w:hAnsi="Segoe UI" w:cs="Segoe UI"/>
          <w:color w:val="404040" w:themeColor="text1" w:themeTint="BF"/>
          <w:sz w:val="21"/>
          <w:szCs w:val="21"/>
        </w:rPr>
        <w:t>documentation</w:t>
      </w:r>
      <w:r w:rsidR="2DF1313E" w:rsidRPr="7497A4A4">
        <w:rPr>
          <w:rFonts w:ascii="Segoe UI" w:eastAsia="Segoe UI" w:hAnsi="Segoe UI" w:cs="Segoe UI"/>
          <w:color w:val="404040" w:themeColor="text1" w:themeTint="BF"/>
          <w:sz w:val="21"/>
          <w:szCs w:val="21"/>
        </w:rPr>
        <w:t>,</w:t>
      </w:r>
      <w:r w:rsidR="00550328">
        <w:rPr>
          <w:rFonts w:ascii="Segoe UI" w:eastAsia="Segoe UI" w:hAnsi="Segoe UI" w:cs="Segoe UI"/>
          <w:color w:val="404040" w:themeColor="text1" w:themeTint="BF"/>
          <w:sz w:val="21"/>
          <w:szCs w:val="21"/>
        </w:rPr>
        <w:t xml:space="preserve"> and</w:t>
      </w:r>
      <w:r w:rsidR="2DF1313E" w:rsidRPr="7497A4A4">
        <w:rPr>
          <w:rFonts w:ascii="Segoe UI" w:eastAsia="Segoe UI" w:hAnsi="Segoe UI" w:cs="Segoe UI"/>
          <w:color w:val="404040" w:themeColor="text1" w:themeTint="BF"/>
          <w:sz w:val="21"/>
          <w:szCs w:val="21"/>
        </w:rPr>
        <w:t xml:space="preserve"> complet</w:t>
      </w:r>
      <w:r w:rsidR="00550328">
        <w:rPr>
          <w:rFonts w:ascii="Segoe UI" w:eastAsia="Segoe UI" w:hAnsi="Segoe UI" w:cs="Segoe UI"/>
          <w:color w:val="404040" w:themeColor="text1" w:themeTint="BF"/>
          <w:sz w:val="21"/>
          <w:szCs w:val="21"/>
        </w:rPr>
        <w:t>ing</w:t>
      </w:r>
      <w:r w:rsidR="2DF1313E" w:rsidRPr="7497A4A4">
        <w:rPr>
          <w:rFonts w:ascii="Segoe UI" w:eastAsia="Segoe UI" w:hAnsi="Segoe UI" w:cs="Segoe UI"/>
          <w:color w:val="404040" w:themeColor="text1" w:themeTint="BF"/>
          <w:sz w:val="21"/>
          <w:szCs w:val="21"/>
        </w:rPr>
        <w:t xml:space="preserve"> and submit</w:t>
      </w:r>
      <w:r w:rsidR="00550328">
        <w:rPr>
          <w:rFonts w:ascii="Segoe UI" w:eastAsia="Segoe UI" w:hAnsi="Segoe UI" w:cs="Segoe UI"/>
          <w:color w:val="404040" w:themeColor="text1" w:themeTint="BF"/>
          <w:sz w:val="21"/>
          <w:szCs w:val="21"/>
        </w:rPr>
        <w:t>ting</w:t>
      </w:r>
      <w:r w:rsidR="2DF1313E" w:rsidRPr="7497A4A4">
        <w:rPr>
          <w:rFonts w:ascii="Segoe UI" w:eastAsia="Segoe UI" w:hAnsi="Segoe UI" w:cs="Segoe UI"/>
          <w:color w:val="404040" w:themeColor="text1" w:themeTint="BF"/>
          <w:sz w:val="21"/>
          <w:szCs w:val="21"/>
        </w:rPr>
        <w:t xml:space="preserve"> </w:t>
      </w:r>
      <w:r w:rsidR="332A96E5" w:rsidRPr="7497A4A4">
        <w:rPr>
          <w:rFonts w:ascii="Segoe UI" w:eastAsia="Segoe UI" w:hAnsi="Segoe UI" w:cs="Segoe UI"/>
          <w:color w:val="404040" w:themeColor="text1" w:themeTint="BF"/>
          <w:sz w:val="21"/>
          <w:szCs w:val="21"/>
        </w:rPr>
        <w:t>applications for housing, PBRA, and tenant-based rental assistance as applicable</w:t>
      </w:r>
      <w:r w:rsidR="008C2420" w:rsidRPr="7497A4A4">
        <w:rPr>
          <w:rFonts w:ascii="Segoe UI" w:eastAsia="Segoe UI" w:hAnsi="Segoe UI" w:cs="Segoe UI"/>
          <w:color w:val="404040" w:themeColor="text1" w:themeTint="BF"/>
          <w:sz w:val="21"/>
          <w:szCs w:val="21"/>
        </w:rPr>
        <w:t xml:space="preserve">. </w:t>
      </w:r>
    </w:p>
    <w:p w14:paraId="53E29291" w14:textId="2A842D4D" w:rsidR="008C2420" w:rsidRPr="00AF73E1" w:rsidRDefault="68DCC9AF" w:rsidP="008C2420">
      <w:pPr>
        <w:pStyle w:val="ListParagraph"/>
        <w:numPr>
          <w:ilvl w:val="0"/>
          <w:numId w:val="5"/>
        </w:numPr>
        <w:rPr>
          <w:rFonts w:ascii="Segoe UI" w:eastAsia="Segoe UI" w:hAnsi="Segoe UI" w:cs="Segoe UI"/>
          <w:color w:val="404040" w:themeColor="text1" w:themeTint="BF"/>
          <w:sz w:val="21"/>
          <w:szCs w:val="21"/>
          <w:lang w:val="en"/>
        </w:rPr>
      </w:pPr>
      <w:r w:rsidRPr="7497A4A4">
        <w:rPr>
          <w:rFonts w:ascii="Segoe UI" w:eastAsia="Segoe UI" w:hAnsi="Segoe UI" w:cs="Segoe UI"/>
          <w:color w:val="404040" w:themeColor="text1" w:themeTint="BF"/>
          <w:sz w:val="21"/>
          <w:szCs w:val="21"/>
          <w:lang w:val="en"/>
        </w:rPr>
        <w:t xml:space="preserve">Referring </w:t>
      </w:r>
      <w:r w:rsidR="5940D82F" w:rsidRPr="7497A4A4">
        <w:rPr>
          <w:rFonts w:ascii="Segoe UI" w:eastAsia="Segoe UI" w:hAnsi="Segoe UI" w:cs="Segoe UI"/>
          <w:color w:val="404040" w:themeColor="text1" w:themeTint="BF"/>
          <w:sz w:val="21"/>
          <w:szCs w:val="21"/>
          <w:lang w:val="en"/>
        </w:rPr>
        <w:t>Entity</w:t>
      </w:r>
      <w:r w:rsidRPr="7497A4A4">
        <w:rPr>
          <w:rFonts w:ascii="Segoe UI" w:eastAsia="Segoe UI" w:hAnsi="Segoe UI" w:cs="Segoe UI"/>
          <w:color w:val="404040" w:themeColor="text1" w:themeTint="BF"/>
          <w:sz w:val="21"/>
          <w:szCs w:val="21"/>
          <w:lang w:val="en"/>
        </w:rPr>
        <w:t xml:space="preserve"> will </w:t>
      </w:r>
      <w:r w:rsidR="00C75294">
        <w:rPr>
          <w:rFonts w:ascii="Segoe UI" w:eastAsia="Segoe UI" w:hAnsi="Segoe UI" w:cs="Segoe UI"/>
          <w:color w:val="404040" w:themeColor="text1" w:themeTint="BF"/>
          <w:sz w:val="21"/>
          <w:szCs w:val="21"/>
          <w:lang w:val="en"/>
        </w:rPr>
        <w:t xml:space="preserve">assist </w:t>
      </w:r>
      <w:r w:rsidR="00C65420" w:rsidRPr="7497A4A4">
        <w:rPr>
          <w:rFonts w:ascii="Segoe UI" w:eastAsia="Segoe UI" w:hAnsi="Segoe UI" w:cs="Segoe UI"/>
          <w:color w:val="404040" w:themeColor="text1" w:themeTint="BF"/>
          <w:sz w:val="21"/>
          <w:szCs w:val="21"/>
          <w:lang w:val="en"/>
        </w:rPr>
        <w:t>tenant</w:t>
      </w:r>
      <w:r w:rsidR="008C2420" w:rsidRPr="7497A4A4" w:rsidDel="00C65420">
        <w:rPr>
          <w:rFonts w:ascii="Segoe UI" w:eastAsia="Segoe UI" w:hAnsi="Segoe UI" w:cs="Segoe UI"/>
          <w:color w:val="404040" w:themeColor="text1" w:themeTint="BF"/>
          <w:sz w:val="21"/>
          <w:szCs w:val="21"/>
          <w:lang w:val="en"/>
        </w:rPr>
        <w:t xml:space="preserve"> </w:t>
      </w:r>
      <w:r w:rsidR="008C2420" w:rsidRPr="7497A4A4">
        <w:rPr>
          <w:rFonts w:ascii="Segoe UI" w:eastAsia="Segoe UI" w:hAnsi="Segoe UI" w:cs="Segoe UI"/>
          <w:color w:val="404040" w:themeColor="text1" w:themeTint="BF"/>
          <w:sz w:val="21"/>
          <w:szCs w:val="21"/>
          <w:lang w:val="en"/>
        </w:rPr>
        <w:t xml:space="preserve">applicants </w:t>
      </w:r>
      <w:r w:rsidR="00550328">
        <w:rPr>
          <w:rFonts w:ascii="Segoe UI" w:eastAsia="Segoe UI" w:hAnsi="Segoe UI" w:cs="Segoe UI"/>
          <w:color w:val="404040" w:themeColor="text1" w:themeTint="BF"/>
          <w:sz w:val="21"/>
          <w:szCs w:val="21"/>
          <w:lang w:val="en"/>
        </w:rPr>
        <w:t>in</w:t>
      </w:r>
      <w:r w:rsidR="008C2420" w:rsidRPr="7497A4A4">
        <w:rPr>
          <w:rFonts w:ascii="Segoe UI" w:eastAsia="Segoe UI" w:hAnsi="Segoe UI" w:cs="Segoe UI"/>
          <w:color w:val="404040" w:themeColor="text1" w:themeTint="BF"/>
          <w:sz w:val="21"/>
          <w:szCs w:val="21"/>
          <w:lang w:val="en"/>
        </w:rPr>
        <w:t xml:space="preserve"> communicat</w:t>
      </w:r>
      <w:r w:rsidR="00550328">
        <w:rPr>
          <w:rFonts w:ascii="Segoe UI" w:eastAsia="Segoe UI" w:hAnsi="Segoe UI" w:cs="Segoe UI"/>
          <w:color w:val="404040" w:themeColor="text1" w:themeTint="BF"/>
          <w:sz w:val="21"/>
          <w:szCs w:val="21"/>
          <w:lang w:val="en"/>
        </w:rPr>
        <w:t>ing</w:t>
      </w:r>
      <w:r w:rsidR="008C2420" w:rsidRPr="7497A4A4">
        <w:rPr>
          <w:rFonts w:ascii="Segoe UI" w:eastAsia="Segoe UI" w:hAnsi="Segoe UI" w:cs="Segoe UI"/>
          <w:color w:val="404040" w:themeColor="text1" w:themeTint="BF"/>
          <w:sz w:val="21"/>
          <w:szCs w:val="21"/>
        </w:rPr>
        <w:t xml:space="preserve"> with </w:t>
      </w:r>
      <w:r w:rsidR="00E76049" w:rsidRPr="7497A4A4">
        <w:rPr>
          <w:rFonts w:ascii="Segoe UI" w:eastAsia="Segoe UI" w:hAnsi="Segoe UI" w:cs="Segoe UI"/>
          <w:color w:val="404040" w:themeColor="text1" w:themeTint="BF"/>
          <w:sz w:val="21"/>
          <w:szCs w:val="21"/>
        </w:rPr>
        <w:t>relevant</w:t>
      </w:r>
      <w:r w:rsidR="008C2420" w:rsidRPr="7497A4A4">
        <w:rPr>
          <w:rFonts w:ascii="Segoe UI" w:eastAsia="Segoe UI" w:hAnsi="Segoe UI" w:cs="Segoe UI"/>
          <w:color w:val="404040" w:themeColor="text1" w:themeTint="BF"/>
          <w:sz w:val="21"/>
          <w:szCs w:val="21"/>
        </w:rPr>
        <w:t xml:space="preserve"> housing authority staff</w:t>
      </w:r>
      <w:r w:rsidR="00E76049" w:rsidRPr="7497A4A4">
        <w:rPr>
          <w:rFonts w:ascii="Segoe UI" w:eastAsia="Segoe UI" w:hAnsi="Segoe UI" w:cs="Segoe UI"/>
          <w:color w:val="404040" w:themeColor="text1" w:themeTint="BF"/>
          <w:sz w:val="21"/>
          <w:szCs w:val="21"/>
        </w:rPr>
        <w:t xml:space="preserve"> and</w:t>
      </w:r>
      <w:r w:rsidR="008C2420" w:rsidRPr="7497A4A4">
        <w:rPr>
          <w:rFonts w:ascii="Segoe UI" w:eastAsia="Segoe UI" w:hAnsi="Segoe UI" w:cs="Segoe UI"/>
          <w:color w:val="404040" w:themeColor="text1" w:themeTint="BF"/>
          <w:sz w:val="21"/>
          <w:szCs w:val="21"/>
        </w:rPr>
        <w:t xml:space="preserve"> property management </w:t>
      </w:r>
      <w:proofErr w:type="gramStart"/>
      <w:r w:rsidR="008C2420" w:rsidRPr="7497A4A4">
        <w:rPr>
          <w:rFonts w:ascii="Segoe UI" w:eastAsia="Segoe UI" w:hAnsi="Segoe UI" w:cs="Segoe UI"/>
          <w:color w:val="404040" w:themeColor="text1" w:themeTint="BF"/>
          <w:sz w:val="21"/>
          <w:szCs w:val="21"/>
        </w:rPr>
        <w:t>staff, and</w:t>
      </w:r>
      <w:proofErr w:type="gramEnd"/>
      <w:r w:rsidR="008C2420" w:rsidRPr="7497A4A4">
        <w:rPr>
          <w:rFonts w:ascii="Segoe UI" w:eastAsia="Segoe UI" w:hAnsi="Segoe UI" w:cs="Segoe UI"/>
          <w:color w:val="404040" w:themeColor="text1" w:themeTint="BF"/>
          <w:sz w:val="21"/>
          <w:szCs w:val="21"/>
        </w:rPr>
        <w:t xml:space="preserve"> prepar</w:t>
      </w:r>
      <w:r w:rsidR="00550328">
        <w:rPr>
          <w:rFonts w:ascii="Segoe UI" w:eastAsia="Segoe UI" w:hAnsi="Segoe UI" w:cs="Segoe UI"/>
          <w:color w:val="404040" w:themeColor="text1" w:themeTint="BF"/>
          <w:sz w:val="21"/>
          <w:szCs w:val="21"/>
        </w:rPr>
        <w:t>ing</w:t>
      </w:r>
      <w:r w:rsidR="008C2420" w:rsidRPr="7497A4A4">
        <w:rPr>
          <w:rFonts w:ascii="Segoe UI" w:eastAsia="Segoe UI" w:hAnsi="Segoe UI" w:cs="Segoe UI"/>
          <w:color w:val="404040" w:themeColor="text1" w:themeTint="BF"/>
          <w:sz w:val="21"/>
          <w:szCs w:val="21"/>
        </w:rPr>
        <w:t xml:space="preserve"> to move into housing.</w:t>
      </w:r>
      <w:r w:rsidR="008C2420" w:rsidRPr="7497A4A4">
        <w:rPr>
          <w:rFonts w:ascii="Segoe UI" w:eastAsia="Segoe UI" w:hAnsi="Segoe UI" w:cs="Segoe UI"/>
          <w:i/>
          <w:color w:val="404040" w:themeColor="text1" w:themeTint="BF"/>
          <w:sz w:val="21"/>
          <w:szCs w:val="21"/>
        </w:rPr>
        <w:t xml:space="preserve"> </w:t>
      </w:r>
    </w:p>
    <w:p w14:paraId="40654F72" w14:textId="6441DE91" w:rsidR="008C2420" w:rsidRDefault="19F81C34" w:rsidP="7497A4A4">
      <w:pPr>
        <w:pStyle w:val="ListParagraph"/>
        <w:numPr>
          <w:ilvl w:val="0"/>
          <w:numId w:val="5"/>
        </w:numPr>
        <w:rPr>
          <w:rStyle w:val="st1"/>
          <w:rFonts w:ascii="Segoe UI" w:eastAsia="Segoe UI" w:hAnsi="Segoe UI" w:cs="Segoe UI"/>
          <w:color w:val="404040" w:themeColor="text1" w:themeTint="BF"/>
          <w:sz w:val="21"/>
          <w:szCs w:val="21"/>
          <w:lang w:val="en"/>
        </w:rPr>
      </w:pPr>
      <w:r w:rsidRPr="7497A4A4">
        <w:rPr>
          <w:rFonts w:ascii="Segoe UI" w:eastAsia="Segoe UI" w:hAnsi="Segoe UI" w:cs="Segoe UI"/>
          <w:color w:val="404040" w:themeColor="text1" w:themeTint="BF"/>
          <w:sz w:val="21"/>
          <w:szCs w:val="21"/>
          <w:lang w:val="en"/>
        </w:rPr>
        <w:t xml:space="preserve">Referring </w:t>
      </w:r>
      <w:r w:rsidR="15DEF9E8" w:rsidRPr="7497A4A4">
        <w:rPr>
          <w:rFonts w:ascii="Segoe UI" w:eastAsia="Segoe UI" w:hAnsi="Segoe UI" w:cs="Segoe UI"/>
          <w:color w:val="404040" w:themeColor="text1" w:themeTint="BF"/>
          <w:sz w:val="21"/>
          <w:szCs w:val="21"/>
          <w:lang w:val="en"/>
        </w:rPr>
        <w:t>Entity</w:t>
      </w:r>
      <w:r w:rsidR="629CC887" w:rsidRPr="7497A4A4">
        <w:rPr>
          <w:rFonts w:ascii="Segoe UI" w:eastAsia="Segoe UI" w:hAnsi="Segoe UI" w:cs="Segoe UI"/>
          <w:color w:val="404040" w:themeColor="text1" w:themeTint="BF"/>
          <w:sz w:val="21"/>
          <w:szCs w:val="21"/>
          <w:lang w:val="en"/>
        </w:rPr>
        <w:t xml:space="preserve"> </w:t>
      </w:r>
      <w:r w:rsidR="629CC887" w:rsidRPr="7497A4A4">
        <w:rPr>
          <w:rFonts w:ascii="Segoe UI" w:eastAsia="Segoe UI" w:hAnsi="Segoe UI" w:cs="Segoe UI"/>
          <w:color w:val="404040" w:themeColor="text1" w:themeTint="BF"/>
          <w:sz w:val="21"/>
          <w:szCs w:val="21"/>
        </w:rPr>
        <w:t>will e</w:t>
      </w:r>
      <w:r w:rsidR="008C2420" w:rsidRPr="7497A4A4">
        <w:rPr>
          <w:rFonts w:ascii="Segoe UI" w:eastAsia="Segoe UI" w:hAnsi="Segoe UI" w:cs="Segoe UI"/>
          <w:color w:val="404040" w:themeColor="text1" w:themeTint="BF"/>
          <w:sz w:val="21"/>
          <w:szCs w:val="21"/>
        </w:rPr>
        <w:t xml:space="preserve">nsure that all persons referred to </w:t>
      </w:r>
      <w:r w:rsidR="00550328">
        <w:rPr>
          <w:rFonts w:ascii="Segoe UI" w:eastAsia="Segoe UI" w:hAnsi="Segoe UI" w:cs="Segoe UI"/>
          <w:color w:val="404040" w:themeColor="text1" w:themeTint="BF"/>
          <w:sz w:val="21"/>
          <w:szCs w:val="21"/>
        </w:rPr>
        <w:t>reserved</w:t>
      </w:r>
      <w:r w:rsidR="008C2420" w:rsidRPr="7497A4A4">
        <w:rPr>
          <w:rFonts w:ascii="Segoe UI" w:eastAsia="Segoe UI" w:hAnsi="Segoe UI" w:cs="Segoe UI"/>
          <w:color w:val="404040" w:themeColor="text1" w:themeTint="BF"/>
          <w:sz w:val="21"/>
          <w:szCs w:val="21"/>
        </w:rPr>
        <w:t xml:space="preserve"> units are connected to community-based supportive services at the time of referral</w:t>
      </w:r>
      <w:r w:rsidR="008C2420" w:rsidRPr="7497A4A4">
        <w:rPr>
          <w:rStyle w:val="st1"/>
          <w:rFonts w:ascii="Segoe UI" w:eastAsia="Segoe UI" w:hAnsi="Segoe UI" w:cs="Segoe UI"/>
          <w:color w:val="404040" w:themeColor="text1" w:themeTint="BF"/>
          <w:sz w:val="21"/>
          <w:szCs w:val="21"/>
          <w:lang w:val="en"/>
        </w:rPr>
        <w:t xml:space="preserve">. Supportive services may include (but are not limited to) case management, move-in assistance, </w:t>
      </w:r>
      <w:proofErr w:type="gramStart"/>
      <w:r w:rsidR="008C2420" w:rsidRPr="7497A4A4">
        <w:rPr>
          <w:rStyle w:val="st1"/>
          <w:rFonts w:ascii="Segoe UI" w:eastAsia="Segoe UI" w:hAnsi="Segoe UI" w:cs="Segoe UI"/>
          <w:color w:val="404040" w:themeColor="text1" w:themeTint="BF"/>
          <w:sz w:val="21"/>
          <w:szCs w:val="21"/>
          <w:lang w:val="en"/>
        </w:rPr>
        <w:t>furnishings</w:t>
      </w:r>
      <w:proofErr w:type="gramEnd"/>
      <w:r w:rsidR="008C2420" w:rsidRPr="7497A4A4">
        <w:rPr>
          <w:rStyle w:val="st1"/>
          <w:rFonts w:ascii="Segoe UI" w:eastAsia="Segoe UI" w:hAnsi="Segoe UI" w:cs="Segoe UI"/>
          <w:color w:val="404040" w:themeColor="text1" w:themeTint="BF"/>
          <w:sz w:val="21"/>
          <w:szCs w:val="21"/>
          <w:lang w:val="en"/>
        </w:rPr>
        <w:t xml:space="preserve"> and home goods, needed medical equipment, and in-home supports such as home health aides or adult companions. Engagement with services is voluntary and is not a condition of tenancy for ISH households. </w:t>
      </w:r>
    </w:p>
    <w:p w14:paraId="7D4E1369" w14:textId="0FB7BC5B" w:rsidR="7497A4A4" w:rsidRDefault="7497A4A4" w:rsidP="00563CB0">
      <w:pPr>
        <w:spacing w:after="0"/>
        <w:rPr>
          <w:rStyle w:val="st1"/>
          <w:rFonts w:ascii="Segoe UI" w:eastAsia="Segoe UI" w:hAnsi="Segoe UI" w:cs="Segoe UI"/>
          <w:color w:val="404040" w:themeColor="text1" w:themeTint="BF"/>
          <w:sz w:val="21"/>
          <w:szCs w:val="21"/>
          <w:lang w:val="en"/>
        </w:rPr>
      </w:pPr>
    </w:p>
    <w:p w14:paraId="3335D8AC" w14:textId="1D6477C9" w:rsidR="00917027" w:rsidRPr="00EA2E92" w:rsidRDefault="00917027" w:rsidP="00EA2E92">
      <w:pPr>
        <w:pStyle w:val="ListParagraph"/>
        <w:numPr>
          <w:ilvl w:val="0"/>
          <w:numId w:val="1"/>
        </w:numPr>
        <w:rPr>
          <w:rFonts w:ascii="Segoe UI" w:eastAsia="Segoe UI" w:hAnsi="Segoe UI" w:cs="Segoe UI"/>
          <w:b/>
          <w:color w:val="538135" w:themeColor="accent6" w:themeShade="BF"/>
          <w:sz w:val="32"/>
          <w:szCs w:val="32"/>
        </w:rPr>
      </w:pPr>
      <w:r w:rsidRPr="7497A4A4">
        <w:rPr>
          <w:rFonts w:ascii="Segoe UI" w:eastAsia="Segoe UI" w:hAnsi="Segoe UI" w:cs="Segoe UI"/>
          <w:b/>
          <w:color w:val="538135" w:themeColor="accent6" w:themeShade="BF"/>
          <w:sz w:val="32"/>
          <w:szCs w:val="32"/>
        </w:rPr>
        <w:t>Services to be Provided</w:t>
      </w:r>
    </w:p>
    <w:p w14:paraId="3ABF7E4D" w14:textId="6BFF44C8" w:rsidR="00917027" w:rsidRPr="007217D9" w:rsidRDefault="320F4B42" w:rsidP="00917027">
      <w:p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The MOU should contain a description of the</w:t>
      </w:r>
      <w:r w:rsidR="00917027" w:rsidRPr="7497A4A4">
        <w:rPr>
          <w:rFonts w:ascii="Segoe UI" w:eastAsia="Segoe UI" w:hAnsi="Segoe UI" w:cs="Segoe UI"/>
          <w:color w:val="404040" w:themeColor="text1" w:themeTint="BF"/>
          <w:sz w:val="21"/>
          <w:szCs w:val="21"/>
        </w:rPr>
        <w:t xml:space="preserve"> supportive services that will be available to the </w:t>
      </w:r>
      <w:r w:rsidR="265C46BC" w:rsidRPr="7497A4A4">
        <w:rPr>
          <w:rFonts w:ascii="Segoe UI" w:eastAsia="Segoe UI" w:hAnsi="Segoe UI" w:cs="Segoe UI"/>
          <w:color w:val="404040" w:themeColor="text1" w:themeTint="BF"/>
          <w:sz w:val="21"/>
          <w:szCs w:val="21"/>
        </w:rPr>
        <w:t>referred</w:t>
      </w:r>
      <w:r w:rsidR="00917027" w:rsidRPr="7497A4A4">
        <w:rPr>
          <w:rFonts w:ascii="Segoe UI" w:eastAsia="Segoe UI" w:hAnsi="Segoe UI" w:cs="Segoe UI"/>
          <w:color w:val="404040" w:themeColor="text1" w:themeTint="BF"/>
          <w:sz w:val="21"/>
          <w:szCs w:val="21"/>
        </w:rPr>
        <w:t xml:space="preserve"> </w:t>
      </w:r>
      <w:proofErr w:type="gramStart"/>
      <w:r w:rsidR="00917027" w:rsidRPr="7497A4A4">
        <w:rPr>
          <w:rFonts w:ascii="Segoe UI" w:eastAsia="Segoe UI" w:hAnsi="Segoe UI" w:cs="Segoe UI"/>
          <w:color w:val="404040" w:themeColor="text1" w:themeTint="BF"/>
          <w:sz w:val="21"/>
          <w:szCs w:val="21"/>
        </w:rPr>
        <w:t>households, and</w:t>
      </w:r>
      <w:proofErr w:type="gramEnd"/>
      <w:r w:rsidR="2E1332AF" w:rsidRPr="7497A4A4">
        <w:rPr>
          <w:rFonts w:ascii="Segoe UI" w:eastAsia="Segoe UI" w:hAnsi="Segoe UI" w:cs="Segoe UI"/>
          <w:color w:val="404040" w:themeColor="text1" w:themeTint="BF"/>
          <w:sz w:val="21"/>
          <w:szCs w:val="21"/>
        </w:rPr>
        <w:t xml:space="preserve"> should</w:t>
      </w:r>
      <w:r w:rsidR="00917027" w:rsidRPr="7497A4A4">
        <w:rPr>
          <w:rFonts w:ascii="Segoe UI" w:eastAsia="Segoe UI" w:hAnsi="Segoe UI" w:cs="Segoe UI"/>
          <w:color w:val="404040" w:themeColor="text1" w:themeTint="BF"/>
          <w:sz w:val="21"/>
          <w:szCs w:val="21"/>
        </w:rPr>
        <w:t xml:space="preserve"> identify the service providers that will be available to provide services to ISH households. Please note that the language below is provided as an example and will need to be tailored to the specific details of each individual </w:t>
      </w:r>
      <w:r w:rsidR="129D1F70" w:rsidRPr="7497A4A4">
        <w:rPr>
          <w:rFonts w:ascii="Segoe UI" w:eastAsia="Segoe UI" w:hAnsi="Segoe UI" w:cs="Segoe UI"/>
          <w:color w:val="404040" w:themeColor="text1" w:themeTint="BF"/>
          <w:sz w:val="21"/>
          <w:szCs w:val="21"/>
        </w:rPr>
        <w:t>development</w:t>
      </w:r>
      <w:r w:rsidR="00917027" w:rsidRPr="7497A4A4">
        <w:rPr>
          <w:rFonts w:ascii="Segoe UI" w:eastAsia="Segoe UI" w:hAnsi="Segoe UI" w:cs="Segoe UI"/>
          <w:color w:val="404040" w:themeColor="text1" w:themeTint="BF"/>
          <w:sz w:val="21"/>
          <w:szCs w:val="21"/>
        </w:rPr>
        <w:t>.</w:t>
      </w:r>
    </w:p>
    <w:p w14:paraId="4BF27E60" w14:textId="2FB60FF1" w:rsidR="00917027" w:rsidRDefault="6479F608" w:rsidP="7497A4A4">
      <w:pPr>
        <w:pStyle w:val="ListParagraph"/>
        <w:numPr>
          <w:ilvl w:val="0"/>
          <w:numId w:val="6"/>
        </w:numPr>
        <w:rPr>
          <w:rFonts w:ascii="Segoe UI" w:eastAsia="Segoe UI" w:hAnsi="Segoe UI" w:cs="Segoe UI"/>
          <w:b/>
          <w:bCs/>
          <w:color w:val="ED7D31" w:themeColor="accent2"/>
          <w:sz w:val="24"/>
          <w:szCs w:val="24"/>
        </w:rPr>
      </w:pPr>
      <w:r w:rsidRPr="7497A4A4">
        <w:rPr>
          <w:rFonts w:ascii="Segoe UI" w:eastAsia="Segoe UI" w:hAnsi="Segoe UI" w:cs="Segoe UI"/>
          <w:b/>
          <w:bCs/>
          <w:color w:val="ED7D31" w:themeColor="accent2"/>
          <w:sz w:val="24"/>
          <w:szCs w:val="24"/>
        </w:rPr>
        <w:t xml:space="preserve">Supportive Services: </w:t>
      </w:r>
    </w:p>
    <w:p w14:paraId="26FC963A" w14:textId="579D750C" w:rsidR="00917027" w:rsidRDefault="6479F608" w:rsidP="7497A4A4">
      <w:p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Clearly describe supportive services</w:t>
      </w:r>
      <w:r w:rsidR="3821305F" w:rsidRPr="7497A4A4">
        <w:rPr>
          <w:rFonts w:ascii="Segoe UI" w:eastAsia="Segoe UI" w:hAnsi="Segoe UI" w:cs="Segoe UI"/>
          <w:color w:val="404040" w:themeColor="text1" w:themeTint="BF"/>
          <w:sz w:val="21"/>
          <w:szCs w:val="21"/>
        </w:rPr>
        <w:t xml:space="preserve">, including </w:t>
      </w:r>
      <w:r w:rsidR="67C6692B" w:rsidRPr="7497A4A4">
        <w:rPr>
          <w:rFonts w:ascii="Segoe UI" w:eastAsia="Segoe UI" w:hAnsi="Segoe UI" w:cs="Segoe UI"/>
          <w:color w:val="404040" w:themeColor="text1" w:themeTint="BF"/>
          <w:sz w:val="21"/>
          <w:szCs w:val="21"/>
        </w:rPr>
        <w:t xml:space="preserve">description of </w:t>
      </w:r>
      <w:r w:rsidR="76A041B1" w:rsidRPr="7497A4A4">
        <w:rPr>
          <w:rFonts w:ascii="Segoe UI" w:eastAsia="Segoe UI" w:hAnsi="Segoe UI" w:cs="Segoe UI"/>
          <w:color w:val="404040" w:themeColor="text1" w:themeTint="BF"/>
          <w:sz w:val="21"/>
          <w:szCs w:val="21"/>
        </w:rPr>
        <w:t xml:space="preserve">eligibility, </w:t>
      </w:r>
      <w:r w:rsidR="67C6692B" w:rsidRPr="7497A4A4">
        <w:rPr>
          <w:rFonts w:ascii="Segoe UI" w:eastAsia="Segoe UI" w:hAnsi="Segoe UI" w:cs="Segoe UI"/>
          <w:color w:val="404040" w:themeColor="text1" w:themeTint="BF"/>
          <w:sz w:val="21"/>
          <w:szCs w:val="21"/>
        </w:rPr>
        <w:t xml:space="preserve">funding </w:t>
      </w:r>
      <w:r w:rsidR="74CBB5C0" w:rsidRPr="7497A4A4">
        <w:rPr>
          <w:rFonts w:ascii="Segoe UI" w:eastAsia="Segoe UI" w:hAnsi="Segoe UI" w:cs="Segoe UI"/>
          <w:color w:val="404040" w:themeColor="text1" w:themeTint="BF"/>
          <w:sz w:val="21"/>
          <w:szCs w:val="21"/>
        </w:rPr>
        <w:t>source, duration, limitations, etc.</w:t>
      </w:r>
    </w:p>
    <w:p w14:paraId="431BF55A" w14:textId="77777777" w:rsidR="00917027" w:rsidRDefault="00917027" w:rsidP="00917027">
      <w:pPr>
        <w:pStyle w:val="ListParagraph"/>
        <w:rPr>
          <w:rFonts w:ascii="Segoe UI" w:eastAsia="Segoe UI" w:hAnsi="Segoe UI" w:cs="Segoe UI"/>
          <w:i/>
          <w:color w:val="404040" w:themeColor="text1" w:themeTint="BF"/>
          <w:sz w:val="21"/>
          <w:szCs w:val="21"/>
        </w:rPr>
      </w:pPr>
      <w:r w:rsidRPr="7497A4A4">
        <w:rPr>
          <w:rFonts w:ascii="Segoe UI" w:eastAsia="Segoe UI" w:hAnsi="Segoe UI" w:cs="Segoe UI"/>
          <w:i/>
          <w:color w:val="404040" w:themeColor="text1" w:themeTint="BF"/>
          <w:sz w:val="21"/>
          <w:szCs w:val="21"/>
        </w:rPr>
        <w:t xml:space="preserve">Example: </w:t>
      </w:r>
    </w:p>
    <w:p w14:paraId="22A06613" w14:textId="6FD36277" w:rsidR="00917027" w:rsidRPr="008D29C3" w:rsidRDefault="00917027" w:rsidP="21484317">
      <w:pPr>
        <w:pStyle w:val="ListParagraph"/>
        <w:rPr>
          <w:rFonts w:ascii="Segoe UI" w:eastAsia="Segoe UI" w:hAnsi="Segoe UI" w:cs="Segoe UI"/>
          <w:i/>
          <w:color w:val="404040" w:themeColor="text1" w:themeTint="BF"/>
          <w:sz w:val="21"/>
          <w:szCs w:val="21"/>
        </w:rPr>
      </w:pPr>
      <w:r w:rsidRPr="7497A4A4">
        <w:rPr>
          <w:rFonts w:ascii="Segoe UI" w:eastAsia="Segoe UI" w:hAnsi="Segoe UI" w:cs="Segoe UI"/>
          <w:i/>
          <w:color w:val="404040" w:themeColor="text1" w:themeTint="BF"/>
          <w:sz w:val="21"/>
          <w:szCs w:val="21"/>
        </w:rPr>
        <w:t xml:space="preserve">All </w:t>
      </w:r>
      <w:r w:rsidR="773D4747" w:rsidRPr="7497A4A4">
        <w:rPr>
          <w:rFonts w:ascii="Segoe UI" w:eastAsia="Segoe UI" w:hAnsi="Segoe UI" w:cs="Segoe UI"/>
          <w:i/>
          <w:color w:val="404040" w:themeColor="text1" w:themeTint="BF"/>
          <w:sz w:val="21"/>
          <w:szCs w:val="21"/>
        </w:rPr>
        <w:t xml:space="preserve">tenant </w:t>
      </w:r>
      <w:r w:rsidRPr="7497A4A4">
        <w:rPr>
          <w:rFonts w:ascii="Segoe UI" w:eastAsia="Segoe UI" w:hAnsi="Segoe UI" w:cs="Segoe UI"/>
          <w:i/>
          <w:color w:val="404040" w:themeColor="text1" w:themeTint="BF"/>
          <w:sz w:val="21"/>
          <w:szCs w:val="21"/>
        </w:rPr>
        <w:t xml:space="preserve">applicants referred by XYZ </w:t>
      </w:r>
      <w:r w:rsidR="04EE52AD" w:rsidRPr="7497A4A4">
        <w:rPr>
          <w:rFonts w:ascii="Segoe UI" w:eastAsia="Segoe UI" w:hAnsi="Segoe UI" w:cs="Segoe UI"/>
          <w:i/>
          <w:iCs/>
          <w:color w:val="404040" w:themeColor="text1" w:themeTint="BF"/>
          <w:sz w:val="21"/>
          <w:szCs w:val="21"/>
        </w:rPr>
        <w:t>R</w:t>
      </w:r>
      <w:r w:rsidR="6479F608" w:rsidRPr="7497A4A4">
        <w:rPr>
          <w:rFonts w:ascii="Segoe UI" w:eastAsia="Segoe UI" w:hAnsi="Segoe UI" w:cs="Segoe UI"/>
          <w:i/>
          <w:iCs/>
          <w:color w:val="404040" w:themeColor="text1" w:themeTint="BF"/>
          <w:sz w:val="21"/>
          <w:szCs w:val="21"/>
        </w:rPr>
        <w:t xml:space="preserve">eferring </w:t>
      </w:r>
      <w:r w:rsidR="30D2A707" w:rsidRPr="7497A4A4">
        <w:rPr>
          <w:rFonts w:ascii="Segoe UI" w:eastAsia="Segoe UI" w:hAnsi="Segoe UI" w:cs="Segoe UI"/>
          <w:i/>
          <w:iCs/>
          <w:color w:val="404040" w:themeColor="text1" w:themeTint="BF"/>
          <w:sz w:val="21"/>
          <w:szCs w:val="21"/>
        </w:rPr>
        <w:t>E</w:t>
      </w:r>
      <w:r w:rsidR="6479F608" w:rsidRPr="7497A4A4">
        <w:rPr>
          <w:rFonts w:ascii="Segoe UI" w:eastAsia="Segoe UI" w:hAnsi="Segoe UI" w:cs="Segoe UI"/>
          <w:i/>
          <w:iCs/>
          <w:color w:val="404040" w:themeColor="text1" w:themeTint="BF"/>
          <w:sz w:val="21"/>
          <w:szCs w:val="21"/>
        </w:rPr>
        <w:t>ntity</w:t>
      </w:r>
      <w:r w:rsidRPr="7497A4A4">
        <w:rPr>
          <w:rFonts w:ascii="Segoe UI" w:eastAsia="Segoe UI" w:hAnsi="Segoe UI" w:cs="Segoe UI"/>
          <w:i/>
          <w:color w:val="404040" w:themeColor="text1" w:themeTint="BF"/>
          <w:sz w:val="21"/>
          <w:szCs w:val="21"/>
        </w:rPr>
        <w:t xml:space="preserve"> will be eligible to receive services from ABC service agency.</w:t>
      </w:r>
    </w:p>
    <w:p w14:paraId="7E789B59" w14:textId="2879F8C4" w:rsidR="00917027" w:rsidRPr="00DC25B6" w:rsidRDefault="00917027" w:rsidP="619B662A">
      <w:pPr>
        <w:pStyle w:val="ListParagraph"/>
        <w:ind w:left="1440"/>
        <w:rPr>
          <w:rFonts w:ascii="Segoe UI" w:eastAsia="Segoe UI" w:hAnsi="Segoe UI" w:cs="Segoe UI"/>
          <w:i/>
          <w:color w:val="404040" w:themeColor="text1" w:themeTint="BF"/>
          <w:sz w:val="21"/>
          <w:szCs w:val="21"/>
        </w:rPr>
      </w:pPr>
    </w:p>
    <w:p w14:paraId="73ECAB3A" w14:textId="6FE87B6A" w:rsidR="00917027" w:rsidRPr="00DC25B6" w:rsidRDefault="73DBD9CB" w:rsidP="00917027">
      <w:pPr>
        <w:pStyle w:val="ListParagraph"/>
        <w:ind w:left="1440"/>
        <w:rPr>
          <w:rFonts w:ascii="Segoe UI" w:eastAsia="Segoe UI" w:hAnsi="Segoe UI" w:cs="Segoe UI"/>
          <w:i/>
          <w:color w:val="404040" w:themeColor="text1" w:themeTint="BF"/>
          <w:sz w:val="21"/>
          <w:szCs w:val="21"/>
        </w:rPr>
      </w:pPr>
      <w:r w:rsidRPr="7497A4A4">
        <w:rPr>
          <w:rFonts w:ascii="Segoe UI" w:eastAsia="Segoe UI" w:hAnsi="Segoe UI" w:cs="Segoe UI"/>
          <w:i/>
          <w:color w:val="404040" w:themeColor="text1" w:themeTint="BF"/>
          <w:sz w:val="21"/>
          <w:szCs w:val="21"/>
        </w:rPr>
        <w:t>1. ABC Support Services ... agrees to offer/provide housing case management to qualified tenants.</w:t>
      </w:r>
      <w:r w:rsidR="00917027" w:rsidRPr="7497A4A4">
        <w:rPr>
          <w:rFonts w:ascii="Segoe UI" w:eastAsia="Segoe UI" w:hAnsi="Segoe UI" w:cs="Segoe UI"/>
          <w:i/>
          <w:color w:val="404040" w:themeColor="text1" w:themeTint="BF"/>
          <w:sz w:val="21"/>
          <w:szCs w:val="21"/>
        </w:rPr>
        <w:t xml:space="preserve">2. ABC Support Services … agrees to offer/provide life skills training to qualified </w:t>
      </w:r>
      <w:proofErr w:type="gramStart"/>
      <w:r w:rsidR="00917027" w:rsidRPr="7497A4A4">
        <w:rPr>
          <w:rFonts w:ascii="Segoe UI" w:eastAsia="Segoe UI" w:hAnsi="Segoe UI" w:cs="Segoe UI"/>
          <w:i/>
          <w:color w:val="404040" w:themeColor="text1" w:themeTint="BF"/>
          <w:sz w:val="21"/>
          <w:szCs w:val="21"/>
        </w:rPr>
        <w:t>tenants;</w:t>
      </w:r>
      <w:proofErr w:type="gramEnd"/>
    </w:p>
    <w:p w14:paraId="7BF9FA13" w14:textId="34482990" w:rsidR="00917027" w:rsidRDefault="00917027" w:rsidP="00917027">
      <w:pPr>
        <w:pStyle w:val="ListParagraph"/>
        <w:ind w:left="1440"/>
        <w:rPr>
          <w:rFonts w:ascii="Segoe UI" w:eastAsia="Segoe UI" w:hAnsi="Segoe UI" w:cs="Segoe UI"/>
          <w:i/>
          <w:color w:val="404040" w:themeColor="text1" w:themeTint="BF"/>
          <w:sz w:val="21"/>
          <w:szCs w:val="21"/>
        </w:rPr>
      </w:pPr>
      <w:r w:rsidRPr="7497A4A4">
        <w:rPr>
          <w:rFonts w:ascii="Segoe UI" w:eastAsia="Segoe UI" w:hAnsi="Segoe UI" w:cs="Segoe UI"/>
          <w:i/>
          <w:color w:val="404040" w:themeColor="text1" w:themeTint="BF"/>
          <w:sz w:val="21"/>
          <w:szCs w:val="21"/>
        </w:rPr>
        <w:t>3. ABC Support Services … agrees to offer/provide employment assistance to qualified tenants.</w:t>
      </w:r>
    </w:p>
    <w:p w14:paraId="11106E74" w14:textId="7852EABF" w:rsidR="1C5A0977" w:rsidRDefault="00917027" w:rsidP="7497A4A4">
      <w:pPr>
        <w:pStyle w:val="ListParagraph"/>
        <w:numPr>
          <w:ilvl w:val="0"/>
          <w:numId w:val="6"/>
        </w:numPr>
        <w:rPr>
          <w:rFonts w:ascii="Segoe UI" w:eastAsia="Segoe UI" w:hAnsi="Segoe UI" w:cs="Segoe UI"/>
          <w:b/>
          <w:bCs/>
          <w:color w:val="ED7D31" w:themeColor="accent2"/>
          <w:sz w:val="24"/>
          <w:szCs w:val="24"/>
        </w:rPr>
      </w:pPr>
      <w:r w:rsidRPr="7497A4A4">
        <w:rPr>
          <w:rFonts w:ascii="Segoe UI" w:eastAsia="Segoe UI" w:hAnsi="Segoe UI" w:cs="Segoe UI"/>
          <w:b/>
          <w:color w:val="ED7D31" w:themeColor="accent2"/>
          <w:sz w:val="24"/>
          <w:szCs w:val="24"/>
        </w:rPr>
        <w:t xml:space="preserve">Service Coordination: </w:t>
      </w:r>
    </w:p>
    <w:p w14:paraId="198B2C49" w14:textId="36D8DCE1" w:rsidR="1C5A0977" w:rsidRDefault="00917027" w:rsidP="7497A4A4">
      <w:p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 xml:space="preserve">Describe how services will be coordinated among agencies and how households will be linked to those services.  </w:t>
      </w:r>
    </w:p>
    <w:p w14:paraId="3A13A87F" w14:textId="77777777" w:rsidR="00B91E1A" w:rsidRDefault="00B91E1A" w:rsidP="00B91E1A">
      <w:pPr>
        <w:pStyle w:val="ListParagraph"/>
        <w:rPr>
          <w:rFonts w:ascii="Segoe UI" w:eastAsia="Segoe UI" w:hAnsi="Segoe UI" w:cs="Segoe UI"/>
          <w:color w:val="404040" w:themeColor="text1" w:themeTint="BF"/>
          <w:sz w:val="21"/>
          <w:szCs w:val="21"/>
        </w:rPr>
      </w:pPr>
    </w:p>
    <w:p w14:paraId="572EA706" w14:textId="47B15AC3" w:rsidR="00917027" w:rsidRPr="00EA2E92" w:rsidRDefault="00917027" w:rsidP="1C5A0977">
      <w:pPr>
        <w:pStyle w:val="ListParagraph"/>
        <w:numPr>
          <w:ilvl w:val="0"/>
          <w:numId w:val="1"/>
        </w:numPr>
        <w:spacing w:before="205" w:after="0"/>
        <w:rPr>
          <w:rFonts w:ascii="Segoe UI" w:eastAsia="Segoe UI" w:hAnsi="Segoe UI" w:cs="Segoe UI"/>
          <w:b/>
          <w:color w:val="538135" w:themeColor="accent6" w:themeShade="BF"/>
          <w:sz w:val="32"/>
          <w:szCs w:val="32"/>
        </w:rPr>
      </w:pPr>
      <w:r w:rsidRPr="7497A4A4">
        <w:rPr>
          <w:rFonts w:ascii="Segoe UI" w:eastAsia="Segoe UI" w:hAnsi="Segoe UI" w:cs="Segoe UI"/>
          <w:b/>
          <w:color w:val="538135" w:themeColor="accent6" w:themeShade="BF"/>
          <w:sz w:val="32"/>
          <w:szCs w:val="32"/>
        </w:rPr>
        <w:lastRenderedPageBreak/>
        <w:t>Communication and Continuity</w:t>
      </w:r>
    </w:p>
    <w:p w14:paraId="2689E326" w14:textId="77777777" w:rsidR="00B91E1A" w:rsidRPr="00EA2E92" w:rsidRDefault="00B91E1A" w:rsidP="00B91E1A">
      <w:pPr>
        <w:pStyle w:val="ListParagraph"/>
        <w:spacing w:before="205" w:after="0"/>
        <w:ind w:left="1080"/>
        <w:rPr>
          <w:rFonts w:ascii="Segoe UI" w:eastAsia="Segoe UI" w:hAnsi="Segoe UI" w:cs="Segoe UI"/>
          <w:b/>
          <w:color w:val="404040" w:themeColor="text1" w:themeTint="BF"/>
          <w:sz w:val="21"/>
          <w:szCs w:val="21"/>
        </w:rPr>
      </w:pPr>
    </w:p>
    <w:p w14:paraId="6969BABE" w14:textId="2861E2A0" w:rsidR="00306AAB" w:rsidRDefault="00917027" w:rsidP="5B9EAAC1">
      <w:pPr>
        <w:pStyle w:val="ListParagraph"/>
        <w:numPr>
          <w:ilvl w:val="0"/>
          <w:numId w:val="7"/>
        </w:numPr>
        <w:spacing w:before="205" w:after="0"/>
        <w:ind w:right="16"/>
        <w:rPr>
          <w:rFonts w:ascii="Segoe UI" w:eastAsia="Segoe UI" w:hAnsi="Segoe UI" w:cs="Segoe UI"/>
          <w:b/>
          <w:color w:val="ED7D31" w:themeColor="accent2"/>
          <w:sz w:val="24"/>
          <w:szCs w:val="24"/>
        </w:rPr>
      </w:pPr>
      <w:r w:rsidRPr="7497A4A4">
        <w:rPr>
          <w:rFonts w:ascii="Segoe UI" w:eastAsia="Segoe UI" w:hAnsi="Segoe UI" w:cs="Segoe UI"/>
          <w:b/>
          <w:color w:val="ED7D31" w:themeColor="accent2"/>
          <w:sz w:val="24"/>
          <w:szCs w:val="24"/>
        </w:rPr>
        <w:t>Communication</w:t>
      </w:r>
    </w:p>
    <w:p w14:paraId="30D66882" w14:textId="59E80E8F" w:rsidR="00917027" w:rsidRPr="00306AAB" w:rsidRDefault="00306AAB" w:rsidP="1C5A0977">
      <w:pPr>
        <w:pStyle w:val="ListParagraph"/>
        <w:numPr>
          <w:ilvl w:val="1"/>
          <w:numId w:val="7"/>
        </w:numPr>
        <w:spacing w:before="205" w:after="0"/>
        <w:ind w:right="16"/>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 xml:space="preserve">All </w:t>
      </w:r>
      <w:r w:rsidR="170F2723" w:rsidRPr="7497A4A4">
        <w:rPr>
          <w:rFonts w:ascii="Segoe UI" w:eastAsia="Segoe UI" w:hAnsi="Segoe UI" w:cs="Segoe UI"/>
          <w:color w:val="404040" w:themeColor="text1" w:themeTint="BF"/>
          <w:sz w:val="21"/>
          <w:szCs w:val="21"/>
        </w:rPr>
        <w:t>P</w:t>
      </w:r>
      <w:r w:rsidRPr="7497A4A4">
        <w:rPr>
          <w:rFonts w:ascii="Segoe UI" w:eastAsia="Segoe UI" w:hAnsi="Segoe UI" w:cs="Segoe UI"/>
          <w:color w:val="404040" w:themeColor="text1" w:themeTint="BF"/>
          <w:sz w:val="21"/>
          <w:szCs w:val="21"/>
        </w:rPr>
        <w:t xml:space="preserve">arties will designate relevant and appropriate staff </w:t>
      </w:r>
      <w:r w:rsidR="4231F29D" w:rsidRPr="7497A4A4">
        <w:rPr>
          <w:rFonts w:ascii="Segoe UI" w:eastAsia="Segoe UI" w:hAnsi="Segoe UI" w:cs="Segoe UI"/>
          <w:color w:val="404040" w:themeColor="text1" w:themeTint="BF"/>
          <w:sz w:val="21"/>
          <w:szCs w:val="21"/>
        </w:rPr>
        <w:t xml:space="preserve">with contact information </w:t>
      </w:r>
      <w:r w:rsidRPr="7497A4A4">
        <w:rPr>
          <w:rFonts w:ascii="Segoe UI" w:eastAsia="Segoe UI" w:hAnsi="Segoe UI" w:cs="Segoe UI"/>
          <w:color w:val="404040" w:themeColor="text1" w:themeTint="BF"/>
          <w:sz w:val="21"/>
          <w:szCs w:val="21"/>
        </w:rPr>
        <w:t>to</w:t>
      </w:r>
      <w:r w:rsidR="0DE8584B" w:rsidRPr="7497A4A4">
        <w:rPr>
          <w:rFonts w:ascii="Segoe UI" w:eastAsia="Segoe UI" w:hAnsi="Segoe UI" w:cs="Segoe UI"/>
          <w:color w:val="404040" w:themeColor="text1" w:themeTint="BF"/>
          <w:sz w:val="21"/>
          <w:szCs w:val="21"/>
        </w:rPr>
        <w:t xml:space="preserve"> coordinate referral efforts</w:t>
      </w:r>
      <w:r w:rsidR="5E110A33" w:rsidRPr="7497A4A4">
        <w:rPr>
          <w:rFonts w:ascii="Segoe UI" w:eastAsia="Segoe UI" w:hAnsi="Segoe UI" w:cs="Segoe UI"/>
          <w:color w:val="404040" w:themeColor="text1" w:themeTint="BF"/>
          <w:sz w:val="21"/>
          <w:szCs w:val="21"/>
        </w:rPr>
        <w:t>, including property management contacts, referral contacts, and service providers</w:t>
      </w:r>
      <w:r w:rsidR="0DE8584B" w:rsidRPr="7497A4A4">
        <w:rPr>
          <w:rFonts w:ascii="Segoe UI" w:eastAsia="Segoe UI" w:hAnsi="Segoe UI" w:cs="Segoe UI"/>
          <w:color w:val="404040" w:themeColor="text1" w:themeTint="BF"/>
          <w:sz w:val="21"/>
          <w:szCs w:val="21"/>
        </w:rPr>
        <w:t>.</w:t>
      </w:r>
      <w:r w:rsidR="3FE0EF2D" w:rsidRPr="7497A4A4">
        <w:rPr>
          <w:rFonts w:ascii="Segoe UI" w:eastAsia="Segoe UI" w:hAnsi="Segoe UI" w:cs="Segoe UI"/>
          <w:color w:val="404040" w:themeColor="text1" w:themeTint="BF"/>
          <w:sz w:val="21"/>
          <w:szCs w:val="21"/>
        </w:rPr>
        <w:t xml:space="preserve"> In the event of changes to these contacts, all parties agree to promptly notify each other </w:t>
      </w:r>
      <w:r w:rsidR="13323B17" w:rsidRPr="7497A4A4">
        <w:rPr>
          <w:rFonts w:ascii="Segoe UI" w:eastAsia="Segoe UI" w:hAnsi="Segoe UI" w:cs="Segoe UI"/>
          <w:color w:val="404040" w:themeColor="text1" w:themeTint="BF"/>
          <w:sz w:val="21"/>
          <w:szCs w:val="21"/>
        </w:rPr>
        <w:t>in writing</w:t>
      </w:r>
      <w:r w:rsidR="4F92CB5C" w:rsidRPr="7497A4A4">
        <w:rPr>
          <w:rFonts w:ascii="Segoe UI" w:eastAsia="Segoe UI" w:hAnsi="Segoe UI" w:cs="Segoe UI"/>
          <w:color w:val="404040" w:themeColor="text1" w:themeTint="BF"/>
          <w:sz w:val="21"/>
          <w:szCs w:val="21"/>
        </w:rPr>
        <w:t xml:space="preserve"> </w:t>
      </w:r>
      <w:r w:rsidR="3FE0EF2D" w:rsidRPr="7497A4A4">
        <w:rPr>
          <w:rFonts w:ascii="Segoe UI" w:eastAsia="Segoe UI" w:hAnsi="Segoe UI" w:cs="Segoe UI"/>
          <w:color w:val="404040" w:themeColor="text1" w:themeTint="BF"/>
          <w:sz w:val="21"/>
          <w:szCs w:val="21"/>
        </w:rPr>
        <w:t xml:space="preserve">of updated contact information. </w:t>
      </w:r>
      <w:r w:rsidRPr="7497A4A4">
        <w:rPr>
          <w:rFonts w:ascii="Segoe UI" w:eastAsia="Segoe UI" w:hAnsi="Segoe UI" w:cs="Segoe UI"/>
          <w:color w:val="404040" w:themeColor="text1" w:themeTint="BF"/>
          <w:sz w:val="21"/>
          <w:szCs w:val="21"/>
        </w:rPr>
        <w:t xml:space="preserve"> </w:t>
      </w:r>
    </w:p>
    <w:p w14:paraId="31CAA718" w14:textId="20FA94D9" w:rsidR="00306AAB" w:rsidRPr="00306AAB" w:rsidRDefault="00306AAB" w:rsidP="00306AAB">
      <w:pPr>
        <w:pStyle w:val="ListParagraph"/>
        <w:numPr>
          <w:ilvl w:val="0"/>
          <w:numId w:val="7"/>
        </w:numPr>
        <w:spacing w:before="205" w:after="0"/>
        <w:ind w:right="16"/>
        <w:rPr>
          <w:rFonts w:ascii="Segoe UI" w:eastAsia="Segoe UI" w:hAnsi="Segoe UI" w:cs="Segoe UI"/>
          <w:b/>
          <w:color w:val="ED7D31" w:themeColor="accent2"/>
          <w:sz w:val="24"/>
          <w:szCs w:val="24"/>
        </w:rPr>
      </w:pPr>
      <w:r w:rsidRPr="7497A4A4">
        <w:rPr>
          <w:rFonts w:ascii="Segoe UI" w:eastAsia="Segoe UI" w:hAnsi="Segoe UI" w:cs="Segoe UI"/>
          <w:b/>
          <w:color w:val="ED7D31" w:themeColor="accent2"/>
          <w:sz w:val="24"/>
          <w:szCs w:val="24"/>
        </w:rPr>
        <w:t>Continuity</w:t>
      </w:r>
    </w:p>
    <w:p w14:paraId="1A99F82D" w14:textId="0A459CC1" w:rsidR="00612F9F" w:rsidRPr="00131EFF" w:rsidRDefault="18FBFC04" w:rsidP="1C5A0977">
      <w:pPr>
        <w:pStyle w:val="ListParagraph"/>
        <w:numPr>
          <w:ilvl w:val="1"/>
          <w:numId w:val="7"/>
        </w:numPr>
        <w:spacing w:before="205" w:after="0"/>
        <w:ind w:right="16"/>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Parties should describe a plan that will</w:t>
      </w:r>
      <w:r w:rsidR="00306AAB" w:rsidRPr="7497A4A4">
        <w:rPr>
          <w:rFonts w:ascii="Segoe UI" w:eastAsia="Segoe UI" w:hAnsi="Segoe UI" w:cs="Segoe UI"/>
          <w:color w:val="404040" w:themeColor="text1" w:themeTint="BF"/>
          <w:sz w:val="21"/>
          <w:szCs w:val="21"/>
        </w:rPr>
        <w:t xml:space="preserve"> take into consideration any possible future staff turnover and assure continuing availability of housing units, </w:t>
      </w:r>
      <w:r w:rsidR="00391135">
        <w:rPr>
          <w:rFonts w:ascii="Segoe UI" w:eastAsia="Segoe UI" w:hAnsi="Segoe UI" w:cs="Segoe UI"/>
          <w:color w:val="404040" w:themeColor="text1" w:themeTint="BF"/>
          <w:sz w:val="21"/>
          <w:szCs w:val="21"/>
        </w:rPr>
        <w:t>referrals</w:t>
      </w:r>
      <w:r w:rsidR="00306AAB" w:rsidRPr="7497A4A4">
        <w:rPr>
          <w:rFonts w:ascii="Segoe UI" w:eastAsia="Segoe UI" w:hAnsi="Segoe UI" w:cs="Segoe UI"/>
          <w:color w:val="404040" w:themeColor="text1" w:themeTint="BF"/>
          <w:sz w:val="21"/>
          <w:szCs w:val="21"/>
        </w:rPr>
        <w:t xml:space="preserve">, and supportive services for the duration of the </w:t>
      </w:r>
      <w:r w:rsidR="08086FE0" w:rsidRPr="7497A4A4">
        <w:rPr>
          <w:rFonts w:ascii="Segoe UI" w:eastAsia="Segoe UI" w:hAnsi="Segoe UI" w:cs="Segoe UI"/>
          <w:color w:val="404040" w:themeColor="text1" w:themeTint="BF"/>
          <w:sz w:val="21"/>
          <w:szCs w:val="21"/>
        </w:rPr>
        <w:t>agreement</w:t>
      </w:r>
      <w:r w:rsidR="00306AAB" w:rsidRPr="7497A4A4">
        <w:rPr>
          <w:rFonts w:ascii="Segoe UI" w:eastAsia="Segoe UI" w:hAnsi="Segoe UI" w:cs="Segoe UI"/>
          <w:color w:val="404040" w:themeColor="text1" w:themeTint="BF"/>
          <w:sz w:val="21"/>
          <w:szCs w:val="21"/>
        </w:rPr>
        <w:t xml:space="preserve">.  </w:t>
      </w:r>
    </w:p>
    <w:p w14:paraId="6F361473" w14:textId="1F681B08" w:rsidR="00131EFF" w:rsidRDefault="6B097B07" w:rsidP="00131EFF">
      <w:pPr>
        <w:pStyle w:val="ListParagraph"/>
        <w:numPr>
          <w:ilvl w:val="1"/>
          <w:numId w:val="7"/>
        </w:numPr>
        <w:spacing w:before="205" w:after="0"/>
        <w:ind w:right="16"/>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In the event of changes to service provision or availability, Referring Entity agree</w:t>
      </w:r>
      <w:r w:rsidR="00D95EF7">
        <w:rPr>
          <w:rFonts w:ascii="Segoe UI" w:eastAsia="Segoe UI" w:hAnsi="Segoe UI" w:cs="Segoe UI"/>
          <w:color w:val="404040" w:themeColor="text1" w:themeTint="BF"/>
          <w:sz w:val="21"/>
          <w:szCs w:val="21"/>
        </w:rPr>
        <w:t>s</w:t>
      </w:r>
      <w:r w:rsidRPr="7497A4A4">
        <w:rPr>
          <w:rFonts w:ascii="Segoe UI" w:eastAsia="Segoe UI" w:hAnsi="Segoe UI" w:cs="Segoe UI"/>
          <w:color w:val="404040" w:themeColor="text1" w:themeTint="BF"/>
          <w:sz w:val="21"/>
          <w:szCs w:val="21"/>
        </w:rPr>
        <w:t xml:space="preserve"> to </w:t>
      </w:r>
      <w:r w:rsidR="006C267B">
        <w:rPr>
          <w:rFonts w:ascii="Segoe UI" w:eastAsia="Segoe UI" w:hAnsi="Segoe UI" w:cs="Segoe UI"/>
          <w:color w:val="404040" w:themeColor="text1" w:themeTint="BF"/>
          <w:sz w:val="21"/>
          <w:szCs w:val="21"/>
        </w:rPr>
        <w:t xml:space="preserve">promptly </w:t>
      </w:r>
      <w:r w:rsidRPr="7497A4A4">
        <w:rPr>
          <w:rFonts w:ascii="Segoe UI" w:eastAsia="Segoe UI" w:hAnsi="Segoe UI" w:cs="Segoe UI"/>
          <w:color w:val="404040" w:themeColor="text1" w:themeTint="BF"/>
          <w:sz w:val="21"/>
          <w:szCs w:val="21"/>
        </w:rPr>
        <w:t>notify Owner</w:t>
      </w:r>
      <w:r w:rsidR="006C267B">
        <w:rPr>
          <w:rFonts w:ascii="Segoe UI" w:eastAsia="Segoe UI" w:hAnsi="Segoe UI" w:cs="Segoe UI"/>
          <w:color w:val="404040" w:themeColor="text1" w:themeTint="BF"/>
          <w:sz w:val="21"/>
          <w:szCs w:val="21"/>
        </w:rPr>
        <w:t xml:space="preserve"> in writing</w:t>
      </w:r>
      <w:r w:rsidRPr="7497A4A4">
        <w:rPr>
          <w:rFonts w:ascii="Segoe UI" w:eastAsia="Segoe UI" w:hAnsi="Segoe UI" w:cs="Segoe UI"/>
          <w:color w:val="404040" w:themeColor="text1" w:themeTint="BF"/>
          <w:sz w:val="21"/>
          <w:szCs w:val="21"/>
        </w:rPr>
        <w:t>.</w:t>
      </w:r>
    </w:p>
    <w:p w14:paraId="0D9F5974" w14:textId="77777777" w:rsidR="001C53BA" w:rsidRPr="001C53BA" w:rsidRDefault="001C53BA" w:rsidP="001C53BA">
      <w:pPr>
        <w:pStyle w:val="ListParagraph"/>
        <w:spacing w:before="205" w:after="0"/>
        <w:ind w:left="1440" w:right="16"/>
        <w:rPr>
          <w:rFonts w:ascii="Segoe UI" w:eastAsia="Segoe UI" w:hAnsi="Segoe UI" w:cs="Segoe UI"/>
          <w:color w:val="404040" w:themeColor="text1" w:themeTint="BF"/>
          <w:sz w:val="21"/>
          <w:szCs w:val="21"/>
        </w:rPr>
      </w:pPr>
    </w:p>
    <w:p w14:paraId="542D6A24" w14:textId="36E6D7E0" w:rsidR="00E40815" w:rsidRPr="00EA2E92" w:rsidRDefault="00EA2E92" w:rsidP="00EA2E92">
      <w:pPr>
        <w:pStyle w:val="ListParagraph"/>
        <w:numPr>
          <w:ilvl w:val="0"/>
          <w:numId w:val="1"/>
        </w:numPr>
        <w:rPr>
          <w:rFonts w:ascii="Segoe UI" w:eastAsia="Segoe UI" w:hAnsi="Segoe UI" w:cs="Segoe UI"/>
          <w:b/>
          <w:color w:val="538135" w:themeColor="accent6" w:themeShade="BF"/>
          <w:sz w:val="32"/>
          <w:szCs w:val="32"/>
        </w:rPr>
      </w:pPr>
      <w:r w:rsidRPr="7497A4A4">
        <w:rPr>
          <w:rFonts w:ascii="Segoe UI" w:eastAsia="Segoe UI" w:hAnsi="Segoe UI" w:cs="Segoe UI"/>
          <w:b/>
          <w:color w:val="538135" w:themeColor="accent6" w:themeShade="BF"/>
          <w:sz w:val="32"/>
          <w:szCs w:val="32"/>
        </w:rPr>
        <w:t>Hold Fees</w:t>
      </w:r>
      <w:r w:rsidR="00E40815" w:rsidRPr="7497A4A4">
        <w:rPr>
          <w:rFonts w:ascii="Segoe UI" w:eastAsia="Segoe UI" w:hAnsi="Segoe UI" w:cs="Segoe UI"/>
          <w:b/>
          <w:color w:val="538135" w:themeColor="accent6" w:themeShade="BF"/>
          <w:sz w:val="32"/>
          <w:szCs w:val="32"/>
        </w:rPr>
        <w:t xml:space="preserve"> </w:t>
      </w:r>
    </w:p>
    <w:p w14:paraId="011E1D63" w14:textId="76317D18" w:rsidR="00B73505" w:rsidRDefault="00E40815" w:rsidP="00E40815">
      <w:p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 xml:space="preserve">If available, reasonable </w:t>
      </w:r>
      <w:r w:rsidR="0A5B7814" w:rsidRPr="7497A4A4">
        <w:rPr>
          <w:rFonts w:ascii="Segoe UI" w:eastAsia="Segoe UI" w:hAnsi="Segoe UI" w:cs="Segoe UI"/>
          <w:color w:val="404040" w:themeColor="text1" w:themeTint="BF"/>
          <w:sz w:val="21"/>
          <w:szCs w:val="21"/>
        </w:rPr>
        <w:t>h</w:t>
      </w:r>
      <w:r w:rsidRPr="7497A4A4">
        <w:rPr>
          <w:rFonts w:ascii="Segoe UI" w:eastAsia="Segoe UI" w:hAnsi="Segoe UI" w:cs="Segoe UI"/>
          <w:color w:val="404040" w:themeColor="text1" w:themeTint="BF"/>
          <w:sz w:val="21"/>
          <w:szCs w:val="21"/>
        </w:rPr>
        <w:t xml:space="preserve">old </w:t>
      </w:r>
      <w:r w:rsidR="2B1B40AC" w:rsidRPr="7497A4A4">
        <w:rPr>
          <w:rFonts w:ascii="Segoe UI" w:eastAsia="Segoe UI" w:hAnsi="Segoe UI" w:cs="Segoe UI"/>
          <w:color w:val="404040" w:themeColor="text1" w:themeTint="BF"/>
          <w:sz w:val="21"/>
          <w:szCs w:val="21"/>
        </w:rPr>
        <w:t>f</w:t>
      </w:r>
      <w:r w:rsidRPr="7497A4A4">
        <w:rPr>
          <w:rFonts w:ascii="Segoe UI" w:eastAsia="Segoe UI" w:hAnsi="Segoe UI" w:cs="Segoe UI"/>
          <w:color w:val="404040" w:themeColor="text1" w:themeTint="BF"/>
          <w:sz w:val="21"/>
          <w:szCs w:val="21"/>
        </w:rPr>
        <w:t>ees may be negotiated under this MOU. Hold fees are payments to cover the period after a viable referred applicant</w:t>
      </w:r>
      <w:r w:rsidR="00A97A2E" w:rsidRPr="7497A4A4">
        <w:rPr>
          <w:rFonts w:ascii="Segoe UI" w:eastAsia="Segoe UI" w:hAnsi="Segoe UI" w:cs="Segoe UI"/>
          <w:color w:val="404040" w:themeColor="text1" w:themeTint="BF"/>
          <w:sz w:val="21"/>
          <w:szCs w:val="21"/>
        </w:rPr>
        <w:t xml:space="preserve"> </w:t>
      </w:r>
      <w:r w:rsidRPr="7497A4A4">
        <w:rPr>
          <w:rFonts w:ascii="Segoe UI" w:eastAsia="Segoe UI" w:hAnsi="Segoe UI" w:cs="Segoe UI"/>
          <w:color w:val="404040" w:themeColor="text1" w:themeTint="BF"/>
          <w:sz w:val="21"/>
          <w:szCs w:val="21"/>
        </w:rPr>
        <w:t>is identified but additional time is needed for th</w:t>
      </w:r>
      <w:r w:rsidR="00A97A2E" w:rsidRPr="7497A4A4">
        <w:rPr>
          <w:rFonts w:ascii="Segoe UI" w:eastAsia="Segoe UI" w:hAnsi="Segoe UI" w:cs="Segoe UI"/>
          <w:color w:val="404040" w:themeColor="text1" w:themeTint="BF"/>
          <w:sz w:val="21"/>
          <w:szCs w:val="21"/>
        </w:rPr>
        <w:t>is</w:t>
      </w:r>
      <w:r w:rsidRPr="7497A4A4">
        <w:rPr>
          <w:rFonts w:ascii="Segoe UI" w:eastAsia="Segoe UI" w:hAnsi="Segoe UI" w:cs="Segoe UI"/>
          <w:color w:val="404040" w:themeColor="text1" w:themeTint="BF"/>
          <w:sz w:val="21"/>
          <w:szCs w:val="21"/>
        </w:rPr>
        <w:t xml:space="preserve"> applicant to complete the application process or for the applicant to occupy the unit. Properties are not eligible to receive </w:t>
      </w:r>
      <w:r w:rsidR="0087104A" w:rsidRPr="7497A4A4">
        <w:rPr>
          <w:rFonts w:ascii="Segoe UI" w:eastAsia="Segoe UI" w:hAnsi="Segoe UI" w:cs="Segoe UI"/>
          <w:color w:val="404040" w:themeColor="text1" w:themeTint="BF"/>
          <w:sz w:val="21"/>
          <w:szCs w:val="21"/>
        </w:rPr>
        <w:t>h</w:t>
      </w:r>
      <w:r w:rsidRPr="7497A4A4">
        <w:rPr>
          <w:rFonts w:ascii="Segoe UI" w:eastAsia="Segoe UI" w:hAnsi="Segoe UI" w:cs="Segoe UI"/>
          <w:color w:val="404040" w:themeColor="text1" w:themeTint="BF"/>
          <w:sz w:val="21"/>
          <w:szCs w:val="21"/>
        </w:rPr>
        <w:t xml:space="preserve">old </w:t>
      </w:r>
      <w:r w:rsidR="0087104A" w:rsidRPr="7497A4A4">
        <w:rPr>
          <w:rFonts w:ascii="Segoe UI" w:eastAsia="Segoe UI" w:hAnsi="Segoe UI" w:cs="Segoe UI"/>
          <w:color w:val="404040" w:themeColor="text1" w:themeTint="BF"/>
          <w:sz w:val="21"/>
          <w:szCs w:val="21"/>
        </w:rPr>
        <w:t>f</w:t>
      </w:r>
      <w:r w:rsidRPr="7497A4A4">
        <w:rPr>
          <w:rFonts w:ascii="Segoe UI" w:eastAsia="Segoe UI" w:hAnsi="Segoe UI" w:cs="Segoe UI"/>
          <w:color w:val="404040" w:themeColor="text1" w:themeTint="BF"/>
          <w:sz w:val="21"/>
          <w:szCs w:val="21"/>
        </w:rPr>
        <w:t>ees during the initial 90-day or subsequent 45-day hold periods or during the time needed to</w:t>
      </w:r>
      <w:r w:rsidR="00275501" w:rsidRPr="7497A4A4">
        <w:rPr>
          <w:rFonts w:ascii="Segoe UI" w:eastAsia="Segoe UI" w:hAnsi="Segoe UI" w:cs="Segoe UI"/>
          <w:color w:val="404040" w:themeColor="text1" w:themeTint="BF"/>
          <w:sz w:val="21"/>
          <w:szCs w:val="21"/>
        </w:rPr>
        <w:t xml:space="preserve"> complete </w:t>
      </w:r>
      <w:r w:rsidR="3696C655" w:rsidRPr="7497A4A4">
        <w:rPr>
          <w:rFonts w:ascii="Segoe UI" w:eastAsia="Segoe UI" w:hAnsi="Segoe UI" w:cs="Segoe UI"/>
          <w:color w:val="404040" w:themeColor="text1" w:themeTint="BF"/>
          <w:sz w:val="21"/>
          <w:szCs w:val="21"/>
        </w:rPr>
        <w:t>an</w:t>
      </w:r>
      <w:r w:rsidR="00275501" w:rsidRPr="7497A4A4">
        <w:rPr>
          <w:rFonts w:ascii="Segoe UI" w:eastAsia="Segoe UI" w:hAnsi="Segoe UI" w:cs="Segoe UI"/>
          <w:color w:val="404040" w:themeColor="text1" w:themeTint="BF"/>
          <w:sz w:val="21"/>
          <w:szCs w:val="21"/>
        </w:rPr>
        <w:t xml:space="preserve"> application</w:t>
      </w:r>
      <w:r w:rsidRPr="7497A4A4">
        <w:rPr>
          <w:rFonts w:ascii="Segoe UI" w:eastAsia="Segoe UI" w:hAnsi="Segoe UI" w:cs="Segoe UI"/>
          <w:color w:val="404040" w:themeColor="text1" w:themeTint="BF"/>
          <w:sz w:val="21"/>
          <w:szCs w:val="21"/>
        </w:rPr>
        <w:t xml:space="preserve"> process</w:t>
      </w:r>
      <w:r w:rsidR="00D86CBB" w:rsidRPr="7497A4A4">
        <w:rPr>
          <w:rFonts w:ascii="Segoe UI" w:eastAsia="Segoe UI" w:hAnsi="Segoe UI" w:cs="Segoe UI"/>
          <w:color w:val="404040" w:themeColor="text1" w:themeTint="BF"/>
          <w:sz w:val="21"/>
          <w:szCs w:val="21"/>
        </w:rPr>
        <w:t xml:space="preserve"> involving a request for reasonable</w:t>
      </w:r>
      <w:r w:rsidR="005A4A6A" w:rsidRPr="7497A4A4">
        <w:rPr>
          <w:rFonts w:ascii="Segoe UI" w:eastAsia="Segoe UI" w:hAnsi="Segoe UI" w:cs="Segoe UI"/>
          <w:color w:val="404040" w:themeColor="text1" w:themeTint="BF"/>
          <w:sz w:val="21"/>
          <w:szCs w:val="21"/>
        </w:rPr>
        <w:t xml:space="preserve"> accommodation</w:t>
      </w:r>
      <w:r w:rsidR="006D1477" w:rsidRPr="7497A4A4">
        <w:rPr>
          <w:rFonts w:ascii="Segoe UI" w:eastAsia="Segoe UI" w:hAnsi="Segoe UI" w:cs="Segoe UI"/>
          <w:color w:val="404040" w:themeColor="text1" w:themeTint="BF"/>
          <w:sz w:val="21"/>
          <w:szCs w:val="21"/>
        </w:rPr>
        <w:t xml:space="preserve"> wh</w:t>
      </w:r>
      <w:r w:rsidRPr="7497A4A4">
        <w:rPr>
          <w:rFonts w:ascii="Segoe UI" w:eastAsia="Segoe UI" w:hAnsi="Segoe UI" w:cs="Segoe UI"/>
          <w:color w:val="404040" w:themeColor="text1" w:themeTint="BF"/>
          <w:sz w:val="21"/>
          <w:szCs w:val="21"/>
        </w:rPr>
        <w:t>en the application was initiated before the end of the 90-day or 45-day period.</w:t>
      </w:r>
    </w:p>
    <w:p w14:paraId="63297B9A" w14:textId="39B9BC33" w:rsidR="00EA2E92" w:rsidRDefault="00EA2E92" w:rsidP="00563CB0">
      <w:pPr>
        <w:spacing w:after="0"/>
        <w:rPr>
          <w:rFonts w:ascii="Segoe UI" w:eastAsia="Segoe UI" w:hAnsi="Segoe UI" w:cs="Segoe UI"/>
          <w:color w:val="404040" w:themeColor="text1" w:themeTint="BF"/>
          <w:sz w:val="21"/>
          <w:szCs w:val="21"/>
        </w:rPr>
      </w:pPr>
    </w:p>
    <w:p w14:paraId="29965E50" w14:textId="37CE8EA4" w:rsidR="00EA2E92" w:rsidRDefault="00EA2E92" w:rsidP="00EA2E92">
      <w:pPr>
        <w:pStyle w:val="ListParagraph"/>
        <w:numPr>
          <w:ilvl w:val="0"/>
          <w:numId w:val="1"/>
        </w:numPr>
        <w:rPr>
          <w:rFonts w:ascii="Segoe UI" w:eastAsia="Segoe UI" w:hAnsi="Segoe UI" w:cs="Segoe UI"/>
          <w:b/>
          <w:color w:val="538135" w:themeColor="accent6" w:themeShade="BF"/>
          <w:sz w:val="32"/>
          <w:szCs w:val="32"/>
        </w:rPr>
      </w:pPr>
      <w:r w:rsidRPr="7497A4A4">
        <w:rPr>
          <w:rFonts w:ascii="Segoe UI" w:eastAsia="Segoe UI" w:hAnsi="Segoe UI" w:cs="Segoe UI"/>
          <w:b/>
          <w:color w:val="538135" w:themeColor="accent6" w:themeShade="BF"/>
          <w:sz w:val="32"/>
          <w:szCs w:val="32"/>
        </w:rPr>
        <w:t xml:space="preserve">Duration </w:t>
      </w:r>
    </w:p>
    <w:p w14:paraId="46A311FF" w14:textId="5B027D45" w:rsidR="00F12F72" w:rsidRPr="00C56F35" w:rsidRDefault="00F12F72" w:rsidP="21484317">
      <w:pPr>
        <w:rPr>
          <w:rFonts w:ascii="Segoe UI" w:eastAsia="Segoe UI" w:hAnsi="Segoe UI" w:cs="Segoe UI"/>
          <w:color w:val="404040" w:themeColor="text1" w:themeTint="BF"/>
          <w:sz w:val="21"/>
          <w:szCs w:val="21"/>
        </w:rPr>
      </w:pPr>
      <w:r w:rsidRPr="7497A4A4">
        <w:rPr>
          <w:rFonts w:ascii="Segoe UI" w:eastAsia="Segoe UI" w:hAnsi="Segoe UI" w:cs="Segoe UI"/>
          <w:color w:val="404040" w:themeColor="text1" w:themeTint="BF"/>
          <w:sz w:val="21"/>
          <w:szCs w:val="21"/>
        </w:rPr>
        <w:t xml:space="preserve">All commitments apply to the entirety of the Compliance and Extended </w:t>
      </w:r>
      <w:r w:rsidR="00FF7AC6" w:rsidRPr="7497A4A4">
        <w:rPr>
          <w:rFonts w:ascii="Segoe UI" w:eastAsia="Segoe UI" w:hAnsi="Segoe UI" w:cs="Segoe UI"/>
          <w:color w:val="404040" w:themeColor="text1" w:themeTint="BF"/>
          <w:sz w:val="21"/>
          <w:szCs w:val="21"/>
        </w:rPr>
        <w:t>U</w:t>
      </w:r>
      <w:r w:rsidRPr="7497A4A4">
        <w:rPr>
          <w:rFonts w:ascii="Segoe UI" w:eastAsia="Segoe UI" w:hAnsi="Segoe UI" w:cs="Segoe UI"/>
          <w:color w:val="404040" w:themeColor="text1" w:themeTint="BF"/>
          <w:sz w:val="21"/>
          <w:szCs w:val="21"/>
        </w:rPr>
        <w:t>se Periods</w:t>
      </w:r>
      <w:r w:rsidR="6025B63D" w:rsidRPr="7497A4A4">
        <w:rPr>
          <w:rFonts w:ascii="Segoe UI" w:eastAsia="Segoe UI" w:hAnsi="Segoe UI" w:cs="Segoe UI"/>
          <w:color w:val="404040" w:themeColor="text1" w:themeTint="BF"/>
          <w:sz w:val="21"/>
          <w:szCs w:val="21"/>
        </w:rPr>
        <w:t xml:space="preserve"> of the development</w:t>
      </w:r>
      <w:r w:rsidR="31F2D6B3" w:rsidRPr="7497A4A4">
        <w:rPr>
          <w:rFonts w:ascii="Segoe UI" w:eastAsia="Segoe UI" w:hAnsi="Segoe UI" w:cs="Segoe UI"/>
          <w:color w:val="404040" w:themeColor="text1" w:themeTint="BF"/>
          <w:sz w:val="21"/>
          <w:szCs w:val="21"/>
        </w:rPr>
        <w:t>.</w:t>
      </w:r>
      <w:r w:rsidR="00131EFF" w:rsidRPr="7497A4A4">
        <w:rPr>
          <w:rFonts w:ascii="Segoe UI" w:eastAsia="Segoe UI" w:hAnsi="Segoe UI" w:cs="Segoe UI"/>
          <w:color w:val="404040" w:themeColor="text1" w:themeTint="BF"/>
          <w:sz w:val="21"/>
          <w:szCs w:val="21"/>
        </w:rPr>
        <w:t xml:space="preserve"> </w:t>
      </w:r>
      <w:r w:rsidR="00131EFF" w:rsidRPr="7497A4A4" w:rsidDel="00D311CD">
        <w:rPr>
          <w:rFonts w:ascii="Segoe UI" w:eastAsia="Segoe UI" w:hAnsi="Segoe UI" w:cs="Segoe UI"/>
          <w:color w:val="404040" w:themeColor="text1" w:themeTint="BF"/>
          <w:sz w:val="21"/>
          <w:szCs w:val="21"/>
        </w:rPr>
        <w:t xml:space="preserve">All </w:t>
      </w:r>
      <w:r w:rsidR="6095A04C" w:rsidRPr="7497A4A4">
        <w:rPr>
          <w:rFonts w:ascii="Segoe UI" w:eastAsia="Segoe UI" w:hAnsi="Segoe UI" w:cs="Segoe UI"/>
          <w:color w:val="404040" w:themeColor="text1" w:themeTint="BF"/>
          <w:sz w:val="21"/>
          <w:szCs w:val="21"/>
        </w:rPr>
        <w:t>P</w:t>
      </w:r>
      <w:r w:rsidR="7A248BCA" w:rsidRPr="7497A4A4">
        <w:rPr>
          <w:rFonts w:ascii="Segoe UI" w:eastAsia="Segoe UI" w:hAnsi="Segoe UI" w:cs="Segoe UI"/>
          <w:color w:val="404040" w:themeColor="text1" w:themeTint="BF"/>
          <w:sz w:val="21"/>
          <w:szCs w:val="21"/>
        </w:rPr>
        <w:t>arties</w:t>
      </w:r>
      <w:r w:rsidR="00131EFF" w:rsidRPr="7497A4A4" w:rsidDel="00D311CD">
        <w:rPr>
          <w:rFonts w:ascii="Segoe UI" w:eastAsia="Segoe UI" w:hAnsi="Segoe UI" w:cs="Segoe UI"/>
          <w:color w:val="404040" w:themeColor="text1" w:themeTint="BF"/>
          <w:sz w:val="21"/>
          <w:szCs w:val="21"/>
        </w:rPr>
        <w:t xml:space="preserve"> are aware that services </w:t>
      </w:r>
      <w:r w:rsidR="7A248BCA" w:rsidRPr="7497A4A4">
        <w:rPr>
          <w:rFonts w:ascii="Segoe UI" w:eastAsia="Segoe UI" w:hAnsi="Segoe UI" w:cs="Segoe UI"/>
          <w:color w:val="404040" w:themeColor="text1" w:themeTint="BF"/>
          <w:sz w:val="21"/>
          <w:szCs w:val="21"/>
        </w:rPr>
        <w:t xml:space="preserve">may be </w:t>
      </w:r>
      <w:r w:rsidR="00131EFF" w:rsidRPr="7497A4A4" w:rsidDel="00D311CD">
        <w:rPr>
          <w:rFonts w:ascii="Segoe UI" w:eastAsia="Segoe UI" w:hAnsi="Segoe UI" w:cs="Segoe UI"/>
          <w:color w:val="404040" w:themeColor="text1" w:themeTint="BF"/>
          <w:sz w:val="21"/>
          <w:szCs w:val="21"/>
        </w:rPr>
        <w:t xml:space="preserve">limited </w:t>
      </w:r>
      <w:r w:rsidR="7CAF7E1A" w:rsidRPr="7497A4A4">
        <w:rPr>
          <w:rFonts w:ascii="Segoe UI" w:eastAsia="Segoe UI" w:hAnsi="Segoe UI" w:cs="Segoe UI"/>
          <w:color w:val="404040" w:themeColor="text1" w:themeTint="BF"/>
          <w:sz w:val="21"/>
          <w:szCs w:val="21"/>
        </w:rPr>
        <w:t>by</w:t>
      </w:r>
      <w:r w:rsidR="00131EFF" w:rsidRPr="7497A4A4" w:rsidDel="00D311CD">
        <w:rPr>
          <w:rFonts w:ascii="Segoe UI" w:eastAsia="Segoe UI" w:hAnsi="Segoe UI" w:cs="Segoe UI"/>
          <w:color w:val="404040" w:themeColor="text1" w:themeTint="BF"/>
          <w:sz w:val="21"/>
          <w:szCs w:val="21"/>
        </w:rPr>
        <w:t xml:space="preserve"> funding, and that </w:t>
      </w:r>
      <w:r w:rsidR="7A248BCA" w:rsidRPr="7497A4A4">
        <w:rPr>
          <w:rFonts w:ascii="Segoe UI" w:eastAsia="Segoe UI" w:hAnsi="Segoe UI" w:cs="Segoe UI"/>
          <w:color w:val="404040" w:themeColor="text1" w:themeTint="BF"/>
          <w:sz w:val="21"/>
          <w:szCs w:val="21"/>
        </w:rPr>
        <w:t>ev</w:t>
      </w:r>
      <w:r w:rsidR="00131EFF" w:rsidRPr="7497A4A4">
        <w:rPr>
          <w:rFonts w:ascii="Segoe UI" w:eastAsia="Segoe UI" w:hAnsi="Segoe UI" w:cs="Segoe UI"/>
          <w:color w:val="404040" w:themeColor="text1" w:themeTint="BF"/>
          <w:sz w:val="21"/>
          <w:szCs w:val="21"/>
        </w:rPr>
        <w:t xml:space="preserve">ery effort will be made to </w:t>
      </w:r>
      <w:r w:rsidR="31F51CCF" w:rsidRPr="7497A4A4">
        <w:rPr>
          <w:rFonts w:ascii="Segoe UI" w:eastAsia="Segoe UI" w:hAnsi="Segoe UI" w:cs="Segoe UI"/>
          <w:color w:val="404040" w:themeColor="text1" w:themeTint="BF"/>
          <w:sz w:val="21"/>
          <w:szCs w:val="21"/>
        </w:rPr>
        <w:t xml:space="preserve">maintain </w:t>
      </w:r>
      <w:r w:rsidR="2BF9B974" w:rsidRPr="7497A4A4">
        <w:rPr>
          <w:rFonts w:ascii="Segoe UI" w:eastAsia="Segoe UI" w:hAnsi="Segoe UI" w:cs="Segoe UI"/>
          <w:color w:val="404040" w:themeColor="text1" w:themeTint="BF"/>
          <w:sz w:val="21"/>
          <w:szCs w:val="21"/>
        </w:rPr>
        <w:t>continu</w:t>
      </w:r>
      <w:r w:rsidR="06C27F8D" w:rsidRPr="7497A4A4">
        <w:rPr>
          <w:rFonts w:ascii="Segoe UI" w:eastAsia="Segoe UI" w:hAnsi="Segoe UI" w:cs="Segoe UI"/>
          <w:color w:val="404040" w:themeColor="text1" w:themeTint="BF"/>
          <w:sz w:val="21"/>
          <w:szCs w:val="21"/>
        </w:rPr>
        <w:t>ity</w:t>
      </w:r>
      <w:r w:rsidR="00131EFF" w:rsidRPr="7497A4A4">
        <w:rPr>
          <w:rFonts w:ascii="Segoe UI" w:eastAsia="Segoe UI" w:hAnsi="Segoe UI" w:cs="Segoe UI"/>
          <w:color w:val="404040" w:themeColor="text1" w:themeTint="BF"/>
          <w:sz w:val="21"/>
          <w:szCs w:val="21"/>
        </w:rPr>
        <w:t xml:space="preserve"> of service throughout the Compliance and Extended Use Periods.</w:t>
      </w:r>
    </w:p>
    <w:p w14:paraId="4BAD263C" w14:textId="77777777" w:rsidR="00F12F72" w:rsidRDefault="00F12F72" w:rsidP="00563CB0">
      <w:pPr>
        <w:spacing w:after="0"/>
        <w:rPr>
          <w:rFonts w:ascii="Segoe UI" w:eastAsia="Segoe UI" w:hAnsi="Segoe UI" w:cs="Segoe UI"/>
          <w:b/>
          <w:color w:val="404040" w:themeColor="text1" w:themeTint="BF"/>
          <w:sz w:val="21"/>
          <w:szCs w:val="21"/>
        </w:rPr>
      </w:pPr>
    </w:p>
    <w:p w14:paraId="22C8A7FF" w14:textId="6D968D06" w:rsidR="006668E5" w:rsidRPr="006668E5" w:rsidRDefault="006668E5" w:rsidP="006668E5">
      <w:pPr>
        <w:pStyle w:val="ListParagraph"/>
        <w:numPr>
          <w:ilvl w:val="0"/>
          <w:numId w:val="1"/>
        </w:numPr>
        <w:rPr>
          <w:rFonts w:ascii="Segoe UI" w:eastAsia="Segoe UI" w:hAnsi="Segoe UI" w:cs="Segoe UI"/>
          <w:b/>
          <w:color w:val="538135" w:themeColor="accent6" w:themeShade="BF"/>
          <w:sz w:val="32"/>
          <w:szCs w:val="32"/>
        </w:rPr>
      </w:pPr>
      <w:r w:rsidRPr="7497A4A4">
        <w:rPr>
          <w:rFonts w:ascii="Segoe UI" w:eastAsia="Segoe UI" w:hAnsi="Segoe UI" w:cs="Segoe UI"/>
          <w:b/>
          <w:color w:val="538135" w:themeColor="accent6" w:themeShade="BF"/>
          <w:sz w:val="32"/>
          <w:szCs w:val="32"/>
        </w:rPr>
        <w:t>Signatures</w:t>
      </w:r>
    </w:p>
    <w:p w14:paraId="4E47E647" w14:textId="1A62BF9C" w:rsidR="0083074D" w:rsidRDefault="006668E5">
      <w:pPr>
        <w:rPr>
          <w:rFonts w:ascii="Segoe UI" w:eastAsia="Segoe UI" w:hAnsi="Segoe UI" w:cs="Segoe UI"/>
          <w:sz w:val="21"/>
          <w:szCs w:val="21"/>
        </w:rPr>
      </w:pPr>
      <w:r w:rsidRPr="7497A4A4">
        <w:rPr>
          <w:rFonts w:ascii="Segoe UI" w:eastAsia="Segoe UI" w:hAnsi="Segoe UI" w:cs="Segoe UI"/>
          <w:color w:val="404040" w:themeColor="text1" w:themeTint="BF"/>
          <w:sz w:val="21"/>
          <w:szCs w:val="21"/>
        </w:rPr>
        <w:t xml:space="preserve">The MOU must be signed (with printed </w:t>
      </w:r>
      <w:r w:rsidR="5CBA34A7" w:rsidRPr="7497A4A4">
        <w:rPr>
          <w:rFonts w:ascii="Segoe UI" w:eastAsia="Segoe UI" w:hAnsi="Segoe UI" w:cs="Segoe UI"/>
          <w:color w:val="404040" w:themeColor="text1" w:themeTint="BF"/>
          <w:sz w:val="21"/>
          <w:szCs w:val="21"/>
        </w:rPr>
        <w:t>name</w:t>
      </w:r>
      <w:r w:rsidR="2D369E50" w:rsidRPr="7497A4A4">
        <w:rPr>
          <w:rFonts w:ascii="Segoe UI" w:eastAsia="Segoe UI" w:hAnsi="Segoe UI" w:cs="Segoe UI"/>
          <w:color w:val="404040" w:themeColor="text1" w:themeTint="BF"/>
          <w:sz w:val="21"/>
          <w:szCs w:val="21"/>
        </w:rPr>
        <w:t>s</w:t>
      </w:r>
      <w:r w:rsidRPr="7497A4A4">
        <w:rPr>
          <w:rFonts w:ascii="Segoe UI" w:eastAsia="Segoe UI" w:hAnsi="Segoe UI" w:cs="Segoe UI"/>
          <w:color w:val="404040" w:themeColor="text1" w:themeTint="BF"/>
          <w:sz w:val="21"/>
          <w:szCs w:val="21"/>
        </w:rPr>
        <w:t xml:space="preserve">/titles) and dated by all </w:t>
      </w:r>
      <w:r w:rsidR="39E13841" w:rsidRPr="7497A4A4">
        <w:rPr>
          <w:rFonts w:ascii="Segoe UI" w:eastAsia="Segoe UI" w:hAnsi="Segoe UI" w:cs="Segoe UI"/>
          <w:color w:val="404040" w:themeColor="text1" w:themeTint="BF"/>
          <w:sz w:val="21"/>
          <w:szCs w:val="21"/>
        </w:rPr>
        <w:t>P</w:t>
      </w:r>
      <w:r w:rsidRPr="7497A4A4">
        <w:rPr>
          <w:rFonts w:ascii="Segoe UI" w:eastAsia="Segoe UI" w:hAnsi="Segoe UI" w:cs="Segoe UI"/>
          <w:color w:val="404040" w:themeColor="text1" w:themeTint="BF"/>
          <w:sz w:val="21"/>
          <w:szCs w:val="21"/>
        </w:rPr>
        <w:t>arties.</w:t>
      </w:r>
    </w:p>
    <w:sectPr w:rsidR="008307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BA8C" w14:textId="77777777" w:rsidR="00DA7C04" w:rsidRDefault="00DA7C04" w:rsidP="005B3D1E">
      <w:pPr>
        <w:spacing w:after="0" w:line="240" w:lineRule="auto"/>
      </w:pPr>
      <w:r>
        <w:separator/>
      </w:r>
    </w:p>
  </w:endnote>
  <w:endnote w:type="continuationSeparator" w:id="0">
    <w:p w14:paraId="3AB85751" w14:textId="77777777" w:rsidR="00DA7C04" w:rsidRDefault="00DA7C04" w:rsidP="005B3D1E">
      <w:pPr>
        <w:spacing w:after="0" w:line="240" w:lineRule="auto"/>
      </w:pPr>
      <w:r>
        <w:continuationSeparator/>
      </w:r>
    </w:p>
  </w:endnote>
  <w:endnote w:type="continuationNotice" w:id="1">
    <w:p w14:paraId="459ECFA4" w14:textId="77777777" w:rsidR="00DA7C04" w:rsidRDefault="00DA7C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1C555" w14:textId="77777777" w:rsidR="00DA7C04" w:rsidRDefault="00DA7C04" w:rsidP="005B3D1E">
      <w:pPr>
        <w:spacing w:after="0" w:line="240" w:lineRule="auto"/>
      </w:pPr>
      <w:r>
        <w:separator/>
      </w:r>
    </w:p>
  </w:footnote>
  <w:footnote w:type="continuationSeparator" w:id="0">
    <w:p w14:paraId="22BDF600" w14:textId="77777777" w:rsidR="00DA7C04" w:rsidRDefault="00DA7C04" w:rsidP="005B3D1E">
      <w:pPr>
        <w:spacing w:after="0" w:line="240" w:lineRule="auto"/>
      </w:pPr>
      <w:r>
        <w:continuationSeparator/>
      </w:r>
    </w:p>
  </w:footnote>
  <w:footnote w:type="continuationNotice" w:id="1">
    <w:p w14:paraId="6425E38E" w14:textId="77777777" w:rsidR="00DA7C04" w:rsidRDefault="00DA7C04">
      <w:pPr>
        <w:spacing w:after="0" w:line="240" w:lineRule="auto"/>
      </w:pPr>
    </w:p>
  </w:footnote>
  <w:footnote w:id="2">
    <w:p w14:paraId="677D81CB" w14:textId="449E544D" w:rsidR="21484317" w:rsidRDefault="21484317" w:rsidP="21484317">
      <w:pPr>
        <w:pStyle w:val="CommentText"/>
      </w:pPr>
      <w:r w:rsidRPr="21484317">
        <w:rPr>
          <w:rStyle w:val="FootnoteReference"/>
        </w:rPr>
        <w:footnoteRef/>
      </w:r>
      <w:r>
        <w:t xml:space="preserve"> </w:t>
      </w:r>
      <w:r w:rsidRPr="21484317">
        <w:rPr>
          <w:color w:val="404040" w:themeColor="text1" w:themeTint="BF"/>
          <w:sz w:val="21"/>
          <w:szCs w:val="21"/>
        </w:rPr>
        <w:t>“Project-based Rental Assistance (PBRA)” means federal rental assistance contracts associated with units in a building regardless of funding source. Example programs include but are not limited to Project-</w:t>
      </w:r>
      <w:r w:rsidRPr="21484317">
        <w:rPr>
          <w:color w:val="404040" w:themeColor="text1" w:themeTint="BF"/>
          <w:sz w:val="21"/>
          <w:szCs w:val="21"/>
        </w:rPr>
        <w:t>b</w:t>
      </w:r>
      <w:r w:rsidRPr="21484317">
        <w:rPr>
          <w:color w:val="404040" w:themeColor="text1" w:themeTint="BF"/>
          <w:sz w:val="21"/>
          <w:szCs w:val="21"/>
        </w:rPr>
        <w:t>ased Vouchers, Project Rental Assistance, and Project-</w:t>
      </w:r>
      <w:r w:rsidRPr="21484317">
        <w:rPr>
          <w:color w:val="404040" w:themeColor="text1" w:themeTint="BF"/>
          <w:sz w:val="21"/>
          <w:szCs w:val="21"/>
        </w:rPr>
        <w:t>b</w:t>
      </w:r>
      <w:r w:rsidRPr="21484317">
        <w:rPr>
          <w:color w:val="404040" w:themeColor="text1" w:themeTint="BF"/>
          <w:sz w:val="21"/>
          <w:szCs w:val="21"/>
        </w:rPr>
        <w:t>ased Rental Assistance.</w:t>
      </w:r>
    </w:p>
    <w:p w14:paraId="71FDFB47" w14:textId="77777777" w:rsidR="21484317" w:rsidRDefault="21484317" w:rsidP="214843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415"/>
    <w:multiLevelType w:val="hybridMultilevel"/>
    <w:tmpl w:val="977E4A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531A4"/>
    <w:multiLevelType w:val="hybridMultilevel"/>
    <w:tmpl w:val="35DE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94D98"/>
    <w:multiLevelType w:val="hybridMultilevel"/>
    <w:tmpl w:val="0FE6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2436F"/>
    <w:multiLevelType w:val="hybridMultilevel"/>
    <w:tmpl w:val="4088F872"/>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80629"/>
    <w:multiLevelType w:val="hybridMultilevel"/>
    <w:tmpl w:val="54CA3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653C5"/>
    <w:multiLevelType w:val="hybridMultilevel"/>
    <w:tmpl w:val="C9BCE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3371D7"/>
    <w:multiLevelType w:val="hybridMultilevel"/>
    <w:tmpl w:val="972C00C4"/>
    <w:lvl w:ilvl="0" w:tplc="FFFFFFFF">
      <w:start w:val="1"/>
      <w:numFmt w:val="upperRoman"/>
      <w:lvlText w:val="%1."/>
      <w:lvlJc w:val="left"/>
      <w:pPr>
        <w:ind w:left="1080" w:hanging="72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836724"/>
    <w:multiLevelType w:val="hybridMultilevel"/>
    <w:tmpl w:val="8D2095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1"/>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79"/>
    <w:rsid w:val="00007E25"/>
    <w:rsid w:val="00017FD8"/>
    <w:rsid w:val="00020578"/>
    <w:rsid w:val="00020643"/>
    <w:rsid w:val="0002361E"/>
    <w:rsid w:val="00031159"/>
    <w:rsid w:val="0003553D"/>
    <w:rsid w:val="00040C0F"/>
    <w:rsid w:val="00041EAF"/>
    <w:rsid w:val="00042BEE"/>
    <w:rsid w:val="00042CC2"/>
    <w:rsid w:val="000437F4"/>
    <w:rsid w:val="000606BE"/>
    <w:rsid w:val="00065F82"/>
    <w:rsid w:val="0006727D"/>
    <w:rsid w:val="00074639"/>
    <w:rsid w:val="000746B6"/>
    <w:rsid w:val="000761AE"/>
    <w:rsid w:val="00084AF8"/>
    <w:rsid w:val="00090E1E"/>
    <w:rsid w:val="000A0AAE"/>
    <w:rsid w:val="000B09D2"/>
    <w:rsid w:val="000B62AC"/>
    <w:rsid w:val="000B7BB4"/>
    <w:rsid w:val="000C0FAA"/>
    <w:rsid w:val="000C1EEC"/>
    <w:rsid w:val="000C2009"/>
    <w:rsid w:val="000C487C"/>
    <w:rsid w:val="000D0D72"/>
    <w:rsid w:val="000D3A2B"/>
    <w:rsid w:val="000F0ED0"/>
    <w:rsid w:val="000F58BF"/>
    <w:rsid w:val="00123655"/>
    <w:rsid w:val="001319B6"/>
    <w:rsid w:val="00131DC4"/>
    <w:rsid w:val="00131EFF"/>
    <w:rsid w:val="0013282A"/>
    <w:rsid w:val="00140A6B"/>
    <w:rsid w:val="00142233"/>
    <w:rsid w:val="00154827"/>
    <w:rsid w:val="001611F8"/>
    <w:rsid w:val="00164588"/>
    <w:rsid w:val="001731CB"/>
    <w:rsid w:val="00180554"/>
    <w:rsid w:val="00196CAE"/>
    <w:rsid w:val="001A3952"/>
    <w:rsid w:val="001A6F44"/>
    <w:rsid w:val="001A7276"/>
    <w:rsid w:val="001B1545"/>
    <w:rsid w:val="001C291E"/>
    <w:rsid w:val="001C53BA"/>
    <w:rsid w:val="001C6F5E"/>
    <w:rsid w:val="001D45A8"/>
    <w:rsid w:val="001D6332"/>
    <w:rsid w:val="001D7C83"/>
    <w:rsid w:val="001E0026"/>
    <w:rsid w:val="001F0DBA"/>
    <w:rsid w:val="001F421E"/>
    <w:rsid w:val="001F53A6"/>
    <w:rsid w:val="0020139B"/>
    <w:rsid w:val="00210EE5"/>
    <w:rsid w:val="00212319"/>
    <w:rsid w:val="002134BF"/>
    <w:rsid w:val="00215969"/>
    <w:rsid w:val="00217CA9"/>
    <w:rsid w:val="00222D18"/>
    <w:rsid w:val="0022549B"/>
    <w:rsid w:val="0023753D"/>
    <w:rsid w:val="0024143A"/>
    <w:rsid w:val="0025277E"/>
    <w:rsid w:val="00252FAD"/>
    <w:rsid w:val="00253F99"/>
    <w:rsid w:val="00255111"/>
    <w:rsid w:val="00261E8B"/>
    <w:rsid w:val="00263FE7"/>
    <w:rsid w:val="00264D2A"/>
    <w:rsid w:val="00264D37"/>
    <w:rsid w:val="00273829"/>
    <w:rsid w:val="00273EB6"/>
    <w:rsid w:val="00275501"/>
    <w:rsid w:val="00280E81"/>
    <w:rsid w:val="00286BF4"/>
    <w:rsid w:val="0029249F"/>
    <w:rsid w:val="00295F30"/>
    <w:rsid w:val="002A086E"/>
    <w:rsid w:val="002C03E4"/>
    <w:rsid w:val="002C6712"/>
    <w:rsid w:val="002D35AF"/>
    <w:rsid w:val="002D5DE6"/>
    <w:rsid w:val="002D62A0"/>
    <w:rsid w:val="002E7FDD"/>
    <w:rsid w:val="002F4974"/>
    <w:rsid w:val="002F6EF9"/>
    <w:rsid w:val="00301D01"/>
    <w:rsid w:val="003043A5"/>
    <w:rsid w:val="003048EB"/>
    <w:rsid w:val="00306AAB"/>
    <w:rsid w:val="00315FAB"/>
    <w:rsid w:val="00327BF4"/>
    <w:rsid w:val="00333903"/>
    <w:rsid w:val="00336B25"/>
    <w:rsid w:val="00373584"/>
    <w:rsid w:val="003851F8"/>
    <w:rsid w:val="00391135"/>
    <w:rsid w:val="003A0BF3"/>
    <w:rsid w:val="003A5C6A"/>
    <w:rsid w:val="003B0242"/>
    <w:rsid w:val="003B0F1B"/>
    <w:rsid w:val="003B7369"/>
    <w:rsid w:val="003D0B80"/>
    <w:rsid w:val="003D1400"/>
    <w:rsid w:val="003D1619"/>
    <w:rsid w:val="003E43C1"/>
    <w:rsid w:val="003E6091"/>
    <w:rsid w:val="003F5EC6"/>
    <w:rsid w:val="00401230"/>
    <w:rsid w:val="00401DF5"/>
    <w:rsid w:val="00406A7D"/>
    <w:rsid w:val="004129E2"/>
    <w:rsid w:val="00421B70"/>
    <w:rsid w:val="0042327D"/>
    <w:rsid w:val="00433BEC"/>
    <w:rsid w:val="004348A9"/>
    <w:rsid w:val="00445B95"/>
    <w:rsid w:val="004667DF"/>
    <w:rsid w:val="00467A36"/>
    <w:rsid w:val="00475C7F"/>
    <w:rsid w:val="00482F04"/>
    <w:rsid w:val="00484DFA"/>
    <w:rsid w:val="00485348"/>
    <w:rsid w:val="004862BA"/>
    <w:rsid w:val="00487210"/>
    <w:rsid w:val="004975F2"/>
    <w:rsid w:val="004B002E"/>
    <w:rsid w:val="004B0301"/>
    <w:rsid w:val="004B0ACA"/>
    <w:rsid w:val="004B5FCB"/>
    <w:rsid w:val="004D3003"/>
    <w:rsid w:val="004E2967"/>
    <w:rsid w:val="004E7501"/>
    <w:rsid w:val="004F69A2"/>
    <w:rsid w:val="00503118"/>
    <w:rsid w:val="00503806"/>
    <w:rsid w:val="0050402C"/>
    <w:rsid w:val="005067B2"/>
    <w:rsid w:val="00515270"/>
    <w:rsid w:val="0051717F"/>
    <w:rsid w:val="00520047"/>
    <w:rsid w:val="005213D1"/>
    <w:rsid w:val="00546057"/>
    <w:rsid w:val="005465D3"/>
    <w:rsid w:val="00550328"/>
    <w:rsid w:val="00550C06"/>
    <w:rsid w:val="00563CB0"/>
    <w:rsid w:val="00564434"/>
    <w:rsid w:val="00564DC2"/>
    <w:rsid w:val="0056679D"/>
    <w:rsid w:val="00566852"/>
    <w:rsid w:val="0057119C"/>
    <w:rsid w:val="00587C54"/>
    <w:rsid w:val="005A3633"/>
    <w:rsid w:val="005A4A6A"/>
    <w:rsid w:val="005A67AB"/>
    <w:rsid w:val="005A74E8"/>
    <w:rsid w:val="005B3D1E"/>
    <w:rsid w:val="005B6B7B"/>
    <w:rsid w:val="005B6E2B"/>
    <w:rsid w:val="005B7D56"/>
    <w:rsid w:val="005C07B2"/>
    <w:rsid w:val="005D6742"/>
    <w:rsid w:val="005D7503"/>
    <w:rsid w:val="005E6E39"/>
    <w:rsid w:val="005F26D1"/>
    <w:rsid w:val="005F6E56"/>
    <w:rsid w:val="00601A92"/>
    <w:rsid w:val="006027A4"/>
    <w:rsid w:val="00602ED1"/>
    <w:rsid w:val="00612F9F"/>
    <w:rsid w:val="006150F6"/>
    <w:rsid w:val="00622AFB"/>
    <w:rsid w:val="00632286"/>
    <w:rsid w:val="006376A7"/>
    <w:rsid w:val="00637BD3"/>
    <w:rsid w:val="00641281"/>
    <w:rsid w:val="00645DA8"/>
    <w:rsid w:val="00650180"/>
    <w:rsid w:val="00656D60"/>
    <w:rsid w:val="006628C1"/>
    <w:rsid w:val="00664FB6"/>
    <w:rsid w:val="006651C1"/>
    <w:rsid w:val="00665246"/>
    <w:rsid w:val="006668E5"/>
    <w:rsid w:val="006744EB"/>
    <w:rsid w:val="00680799"/>
    <w:rsid w:val="00686088"/>
    <w:rsid w:val="00690994"/>
    <w:rsid w:val="00692B78"/>
    <w:rsid w:val="00692C24"/>
    <w:rsid w:val="00693B93"/>
    <w:rsid w:val="006A3AA0"/>
    <w:rsid w:val="006B0F90"/>
    <w:rsid w:val="006B5DD2"/>
    <w:rsid w:val="006B7A69"/>
    <w:rsid w:val="006C267B"/>
    <w:rsid w:val="006D1477"/>
    <w:rsid w:val="006E3C98"/>
    <w:rsid w:val="006E6822"/>
    <w:rsid w:val="006F1475"/>
    <w:rsid w:val="007000DD"/>
    <w:rsid w:val="00700742"/>
    <w:rsid w:val="00712ED8"/>
    <w:rsid w:val="0071362D"/>
    <w:rsid w:val="0072307A"/>
    <w:rsid w:val="00733AF2"/>
    <w:rsid w:val="0073499A"/>
    <w:rsid w:val="007441A0"/>
    <w:rsid w:val="00745B52"/>
    <w:rsid w:val="00746160"/>
    <w:rsid w:val="00750013"/>
    <w:rsid w:val="00755EF4"/>
    <w:rsid w:val="007676B8"/>
    <w:rsid w:val="00777CD3"/>
    <w:rsid w:val="00786A13"/>
    <w:rsid w:val="00793369"/>
    <w:rsid w:val="00797B56"/>
    <w:rsid w:val="007A7015"/>
    <w:rsid w:val="007A76D8"/>
    <w:rsid w:val="007B1C6F"/>
    <w:rsid w:val="007B2362"/>
    <w:rsid w:val="007B425C"/>
    <w:rsid w:val="007C0AFB"/>
    <w:rsid w:val="007C7D35"/>
    <w:rsid w:val="007D023E"/>
    <w:rsid w:val="007D4D95"/>
    <w:rsid w:val="007E09A9"/>
    <w:rsid w:val="007E49B0"/>
    <w:rsid w:val="007E6C39"/>
    <w:rsid w:val="007F0CD2"/>
    <w:rsid w:val="007F6FC8"/>
    <w:rsid w:val="00800C19"/>
    <w:rsid w:val="0080297D"/>
    <w:rsid w:val="008155F4"/>
    <w:rsid w:val="0082144C"/>
    <w:rsid w:val="0083074D"/>
    <w:rsid w:val="00834C80"/>
    <w:rsid w:val="00840C83"/>
    <w:rsid w:val="00845DE3"/>
    <w:rsid w:val="00852E8A"/>
    <w:rsid w:val="00854DB8"/>
    <w:rsid w:val="0086217C"/>
    <w:rsid w:val="0086296B"/>
    <w:rsid w:val="0087104A"/>
    <w:rsid w:val="00877F8E"/>
    <w:rsid w:val="00891281"/>
    <w:rsid w:val="008915DC"/>
    <w:rsid w:val="00892E6D"/>
    <w:rsid w:val="008972B8"/>
    <w:rsid w:val="008B27C6"/>
    <w:rsid w:val="008B4958"/>
    <w:rsid w:val="008B77E8"/>
    <w:rsid w:val="008C2420"/>
    <w:rsid w:val="008C63DB"/>
    <w:rsid w:val="008D48A5"/>
    <w:rsid w:val="008E1C9A"/>
    <w:rsid w:val="008E3C4B"/>
    <w:rsid w:val="00900C45"/>
    <w:rsid w:val="009052BC"/>
    <w:rsid w:val="00906FB3"/>
    <w:rsid w:val="0090793F"/>
    <w:rsid w:val="00915207"/>
    <w:rsid w:val="00917027"/>
    <w:rsid w:val="00921141"/>
    <w:rsid w:val="009303CF"/>
    <w:rsid w:val="00941188"/>
    <w:rsid w:val="009476C2"/>
    <w:rsid w:val="00952657"/>
    <w:rsid w:val="00952EC2"/>
    <w:rsid w:val="009719EF"/>
    <w:rsid w:val="00984993"/>
    <w:rsid w:val="00992B77"/>
    <w:rsid w:val="009A6527"/>
    <w:rsid w:val="009B3C74"/>
    <w:rsid w:val="009B4734"/>
    <w:rsid w:val="009B6B39"/>
    <w:rsid w:val="009C40AE"/>
    <w:rsid w:val="009C6971"/>
    <w:rsid w:val="009C71E9"/>
    <w:rsid w:val="009C790D"/>
    <w:rsid w:val="009D0C23"/>
    <w:rsid w:val="009D2F8F"/>
    <w:rsid w:val="009D579B"/>
    <w:rsid w:val="009E2211"/>
    <w:rsid w:val="009E56C9"/>
    <w:rsid w:val="009F0410"/>
    <w:rsid w:val="009F2E9E"/>
    <w:rsid w:val="00A04C0B"/>
    <w:rsid w:val="00A0613B"/>
    <w:rsid w:val="00A0623A"/>
    <w:rsid w:val="00A238AD"/>
    <w:rsid w:val="00A2461B"/>
    <w:rsid w:val="00A27FAE"/>
    <w:rsid w:val="00A33429"/>
    <w:rsid w:val="00A45410"/>
    <w:rsid w:val="00A57D16"/>
    <w:rsid w:val="00A64BFD"/>
    <w:rsid w:val="00A65ABD"/>
    <w:rsid w:val="00A7D869"/>
    <w:rsid w:val="00A80F81"/>
    <w:rsid w:val="00A92EF9"/>
    <w:rsid w:val="00A94B99"/>
    <w:rsid w:val="00A94CD9"/>
    <w:rsid w:val="00A97A2E"/>
    <w:rsid w:val="00AA1C2B"/>
    <w:rsid w:val="00AA6E1A"/>
    <w:rsid w:val="00AB05D9"/>
    <w:rsid w:val="00AB47BC"/>
    <w:rsid w:val="00AC5D18"/>
    <w:rsid w:val="00AE00C7"/>
    <w:rsid w:val="00AE0C78"/>
    <w:rsid w:val="00AE12ED"/>
    <w:rsid w:val="00B024D3"/>
    <w:rsid w:val="00B039D6"/>
    <w:rsid w:val="00B121D0"/>
    <w:rsid w:val="00B162CC"/>
    <w:rsid w:val="00B1670B"/>
    <w:rsid w:val="00B274EB"/>
    <w:rsid w:val="00B3533C"/>
    <w:rsid w:val="00B36C46"/>
    <w:rsid w:val="00B44B55"/>
    <w:rsid w:val="00B44BDC"/>
    <w:rsid w:val="00B53B52"/>
    <w:rsid w:val="00B54F82"/>
    <w:rsid w:val="00B57521"/>
    <w:rsid w:val="00B62AC1"/>
    <w:rsid w:val="00B62F2C"/>
    <w:rsid w:val="00B73505"/>
    <w:rsid w:val="00B855CE"/>
    <w:rsid w:val="00B91E1A"/>
    <w:rsid w:val="00B96BE9"/>
    <w:rsid w:val="00BA1C33"/>
    <w:rsid w:val="00BA1F9E"/>
    <w:rsid w:val="00BA2919"/>
    <w:rsid w:val="00BB0AF3"/>
    <w:rsid w:val="00BB5A52"/>
    <w:rsid w:val="00BB7388"/>
    <w:rsid w:val="00BB7E46"/>
    <w:rsid w:val="00BC599C"/>
    <w:rsid w:val="00BD466E"/>
    <w:rsid w:val="00BE2043"/>
    <w:rsid w:val="00BE6D96"/>
    <w:rsid w:val="00BF04C3"/>
    <w:rsid w:val="00BF7BB7"/>
    <w:rsid w:val="00C00B66"/>
    <w:rsid w:val="00C0522D"/>
    <w:rsid w:val="00C108E0"/>
    <w:rsid w:val="00C115E1"/>
    <w:rsid w:val="00C12036"/>
    <w:rsid w:val="00C13E9E"/>
    <w:rsid w:val="00C23CCE"/>
    <w:rsid w:val="00C255E1"/>
    <w:rsid w:val="00C255EE"/>
    <w:rsid w:val="00C2707F"/>
    <w:rsid w:val="00C36582"/>
    <w:rsid w:val="00C47298"/>
    <w:rsid w:val="00C51C94"/>
    <w:rsid w:val="00C56F35"/>
    <w:rsid w:val="00C62B3A"/>
    <w:rsid w:val="00C65420"/>
    <w:rsid w:val="00C6707E"/>
    <w:rsid w:val="00C70813"/>
    <w:rsid w:val="00C75294"/>
    <w:rsid w:val="00C81BC7"/>
    <w:rsid w:val="00C83670"/>
    <w:rsid w:val="00C836D3"/>
    <w:rsid w:val="00C86333"/>
    <w:rsid w:val="00C865A9"/>
    <w:rsid w:val="00C86E96"/>
    <w:rsid w:val="00C95531"/>
    <w:rsid w:val="00CA0141"/>
    <w:rsid w:val="00CA4603"/>
    <w:rsid w:val="00CA5176"/>
    <w:rsid w:val="00CB5742"/>
    <w:rsid w:val="00CC0CD1"/>
    <w:rsid w:val="00CC3256"/>
    <w:rsid w:val="00CC3314"/>
    <w:rsid w:val="00CD5B48"/>
    <w:rsid w:val="00CD70CC"/>
    <w:rsid w:val="00CE57FB"/>
    <w:rsid w:val="00CE627B"/>
    <w:rsid w:val="00CF2B94"/>
    <w:rsid w:val="00CF5461"/>
    <w:rsid w:val="00D0641A"/>
    <w:rsid w:val="00D14E8F"/>
    <w:rsid w:val="00D15B77"/>
    <w:rsid w:val="00D2016A"/>
    <w:rsid w:val="00D311CD"/>
    <w:rsid w:val="00D34AB2"/>
    <w:rsid w:val="00D43A45"/>
    <w:rsid w:val="00D452A3"/>
    <w:rsid w:val="00D50B81"/>
    <w:rsid w:val="00D52B93"/>
    <w:rsid w:val="00D650DE"/>
    <w:rsid w:val="00D66074"/>
    <w:rsid w:val="00D660C0"/>
    <w:rsid w:val="00D73BEB"/>
    <w:rsid w:val="00D80430"/>
    <w:rsid w:val="00D8382F"/>
    <w:rsid w:val="00D844F7"/>
    <w:rsid w:val="00D86CBB"/>
    <w:rsid w:val="00D94468"/>
    <w:rsid w:val="00D9522E"/>
    <w:rsid w:val="00D95832"/>
    <w:rsid w:val="00D95EF7"/>
    <w:rsid w:val="00DA0CF8"/>
    <w:rsid w:val="00DA7C04"/>
    <w:rsid w:val="00DB1019"/>
    <w:rsid w:val="00DB69D4"/>
    <w:rsid w:val="00DC4EFB"/>
    <w:rsid w:val="00DC56F4"/>
    <w:rsid w:val="00DD4CA2"/>
    <w:rsid w:val="00DD6AD5"/>
    <w:rsid w:val="00DE2A0F"/>
    <w:rsid w:val="00DE2E03"/>
    <w:rsid w:val="00DE7422"/>
    <w:rsid w:val="00DF4435"/>
    <w:rsid w:val="00E07D79"/>
    <w:rsid w:val="00E17DD9"/>
    <w:rsid w:val="00E40815"/>
    <w:rsid w:val="00E40925"/>
    <w:rsid w:val="00E43657"/>
    <w:rsid w:val="00E4746A"/>
    <w:rsid w:val="00E5043E"/>
    <w:rsid w:val="00E53241"/>
    <w:rsid w:val="00E5438E"/>
    <w:rsid w:val="00E55C3F"/>
    <w:rsid w:val="00E562D6"/>
    <w:rsid w:val="00E56EE9"/>
    <w:rsid w:val="00E63C9E"/>
    <w:rsid w:val="00E64679"/>
    <w:rsid w:val="00E64731"/>
    <w:rsid w:val="00E76049"/>
    <w:rsid w:val="00E853A2"/>
    <w:rsid w:val="00E868E0"/>
    <w:rsid w:val="00E9146E"/>
    <w:rsid w:val="00E91A91"/>
    <w:rsid w:val="00EA08AE"/>
    <w:rsid w:val="00EA2E92"/>
    <w:rsid w:val="00EA7286"/>
    <w:rsid w:val="00ED5AB0"/>
    <w:rsid w:val="00ED6DDE"/>
    <w:rsid w:val="00EE253B"/>
    <w:rsid w:val="00EE435B"/>
    <w:rsid w:val="00EE7876"/>
    <w:rsid w:val="00EF0DEA"/>
    <w:rsid w:val="00EF282D"/>
    <w:rsid w:val="00EF3659"/>
    <w:rsid w:val="00EF56ED"/>
    <w:rsid w:val="00EF68B7"/>
    <w:rsid w:val="00F002C1"/>
    <w:rsid w:val="00F00EA1"/>
    <w:rsid w:val="00F12F72"/>
    <w:rsid w:val="00F224C7"/>
    <w:rsid w:val="00F31B28"/>
    <w:rsid w:val="00F3295F"/>
    <w:rsid w:val="00F33570"/>
    <w:rsid w:val="00F37AF6"/>
    <w:rsid w:val="00F43074"/>
    <w:rsid w:val="00F46036"/>
    <w:rsid w:val="00F522FC"/>
    <w:rsid w:val="00F63001"/>
    <w:rsid w:val="00F66FD3"/>
    <w:rsid w:val="00F8417A"/>
    <w:rsid w:val="00F85A40"/>
    <w:rsid w:val="00F941F8"/>
    <w:rsid w:val="00F95196"/>
    <w:rsid w:val="00FA1378"/>
    <w:rsid w:val="00FB636E"/>
    <w:rsid w:val="00FD3FFD"/>
    <w:rsid w:val="00FF0F35"/>
    <w:rsid w:val="00FF7AC6"/>
    <w:rsid w:val="0102A190"/>
    <w:rsid w:val="01AB2CB1"/>
    <w:rsid w:val="01E6D089"/>
    <w:rsid w:val="022297BC"/>
    <w:rsid w:val="02C10554"/>
    <w:rsid w:val="040B2FDA"/>
    <w:rsid w:val="042206B8"/>
    <w:rsid w:val="04E2FFB6"/>
    <w:rsid w:val="04E6E42C"/>
    <w:rsid w:val="04EE52AD"/>
    <w:rsid w:val="050677B5"/>
    <w:rsid w:val="06088027"/>
    <w:rsid w:val="064BE5EE"/>
    <w:rsid w:val="066945D2"/>
    <w:rsid w:val="06776E74"/>
    <w:rsid w:val="06C27F8D"/>
    <w:rsid w:val="06F51FDD"/>
    <w:rsid w:val="070EBF5A"/>
    <w:rsid w:val="077A2192"/>
    <w:rsid w:val="07E7AEF4"/>
    <w:rsid w:val="08086FE0"/>
    <w:rsid w:val="0818F503"/>
    <w:rsid w:val="08C6AA87"/>
    <w:rsid w:val="08D9C083"/>
    <w:rsid w:val="0A3698E6"/>
    <w:rsid w:val="0A4A7B88"/>
    <w:rsid w:val="0A5B7814"/>
    <w:rsid w:val="0A8196FE"/>
    <w:rsid w:val="0AE9EE75"/>
    <w:rsid w:val="0B00626E"/>
    <w:rsid w:val="0B1C1BCA"/>
    <w:rsid w:val="0B9BCDA7"/>
    <w:rsid w:val="0BC6CA98"/>
    <w:rsid w:val="0C4B42C6"/>
    <w:rsid w:val="0C5A4DAE"/>
    <w:rsid w:val="0C5A7178"/>
    <w:rsid w:val="0CC25B2D"/>
    <w:rsid w:val="0CE71D31"/>
    <w:rsid w:val="0D10F6AA"/>
    <w:rsid w:val="0D190DB0"/>
    <w:rsid w:val="0D4C67F4"/>
    <w:rsid w:val="0D6CB38E"/>
    <w:rsid w:val="0DE8584B"/>
    <w:rsid w:val="0E04FE94"/>
    <w:rsid w:val="0E2E65AB"/>
    <w:rsid w:val="0E977EA7"/>
    <w:rsid w:val="0F1053A4"/>
    <w:rsid w:val="0F165E7F"/>
    <w:rsid w:val="0F625C82"/>
    <w:rsid w:val="0FD3A8CD"/>
    <w:rsid w:val="0FF3F642"/>
    <w:rsid w:val="1031F57F"/>
    <w:rsid w:val="10992F78"/>
    <w:rsid w:val="1100A36A"/>
    <w:rsid w:val="11BFFDBD"/>
    <w:rsid w:val="11C11D6F"/>
    <w:rsid w:val="11D0D9F3"/>
    <w:rsid w:val="11D93C10"/>
    <w:rsid w:val="1210D0A7"/>
    <w:rsid w:val="129D1F70"/>
    <w:rsid w:val="12B5FDAE"/>
    <w:rsid w:val="12E74A0F"/>
    <w:rsid w:val="13323B17"/>
    <w:rsid w:val="1335AD8A"/>
    <w:rsid w:val="1376958B"/>
    <w:rsid w:val="13D902E9"/>
    <w:rsid w:val="14F77C04"/>
    <w:rsid w:val="15065CE7"/>
    <w:rsid w:val="15330C22"/>
    <w:rsid w:val="15C37389"/>
    <w:rsid w:val="15DEF9E8"/>
    <w:rsid w:val="15ECFAA1"/>
    <w:rsid w:val="16EAF4AC"/>
    <w:rsid w:val="16F8A46E"/>
    <w:rsid w:val="16FBF005"/>
    <w:rsid w:val="170F2723"/>
    <w:rsid w:val="1741BA93"/>
    <w:rsid w:val="1783B08C"/>
    <w:rsid w:val="17EB042D"/>
    <w:rsid w:val="1807C2E3"/>
    <w:rsid w:val="183825F5"/>
    <w:rsid w:val="18849ECE"/>
    <w:rsid w:val="189052D7"/>
    <w:rsid w:val="189EF2B7"/>
    <w:rsid w:val="18AEBA22"/>
    <w:rsid w:val="18C1CCBD"/>
    <w:rsid w:val="18FBFC04"/>
    <w:rsid w:val="190E2B95"/>
    <w:rsid w:val="193CA7E4"/>
    <w:rsid w:val="19F675ED"/>
    <w:rsid w:val="19F81C34"/>
    <w:rsid w:val="1A8D6AFE"/>
    <w:rsid w:val="1ACB80E6"/>
    <w:rsid w:val="1ADB704E"/>
    <w:rsid w:val="1B1432C4"/>
    <w:rsid w:val="1BC0AAE9"/>
    <w:rsid w:val="1BC26C68"/>
    <w:rsid w:val="1BDEA97F"/>
    <w:rsid w:val="1C0003C3"/>
    <w:rsid w:val="1C476B25"/>
    <w:rsid w:val="1C5A0977"/>
    <w:rsid w:val="1CF4EEFA"/>
    <w:rsid w:val="1D5DDF82"/>
    <w:rsid w:val="1DB971A3"/>
    <w:rsid w:val="1DBAE5CF"/>
    <w:rsid w:val="1DCD4CFC"/>
    <w:rsid w:val="1DEAE605"/>
    <w:rsid w:val="1E7FD2CB"/>
    <w:rsid w:val="1E8C21C0"/>
    <w:rsid w:val="1EB17565"/>
    <w:rsid w:val="1EFD7DDB"/>
    <w:rsid w:val="1F2AFFDD"/>
    <w:rsid w:val="1F3352B3"/>
    <w:rsid w:val="1F44041C"/>
    <w:rsid w:val="1F85C9AC"/>
    <w:rsid w:val="1F8E2434"/>
    <w:rsid w:val="20163B4B"/>
    <w:rsid w:val="204324A4"/>
    <w:rsid w:val="20EA9180"/>
    <w:rsid w:val="21484317"/>
    <w:rsid w:val="2167850E"/>
    <w:rsid w:val="21939DD2"/>
    <w:rsid w:val="21982D31"/>
    <w:rsid w:val="21B46D26"/>
    <w:rsid w:val="21B9BE05"/>
    <w:rsid w:val="21BC61D2"/>
    <w:rsid w:val="221FFD7C"/>
    <w:rsid w:val="226106B8"/>
    <w:rsid w:val="22BFDDC9"/>
    <w:rsid w:val="22D221F9"/>
    <w:rsid w:val="23CC33A1"/>
    <w:rsid w:val="242DB3F1"/>
    <w:rsid w:val="244E7522"/>
    <w:rsid w:val="24A2FF0A"/>
    <w:rsid w:val="24ED7624"/>
    <w:rsid w:val="25262C61"/>
    <w:rsid w:val="25B971E1"/>
    <w:rsid w:val="25F5EAF4"/>
    <w:rsid w:val="26223CFF"/>
    <w:rsid w:val="26236FC9"/>
    <w:rsid w:val="265BED03"/>
    <w:rsid w:val="265C46BC"/>
    <w:rsid w:val="26690359"/>
    <w:rsid w:val="26D44AF0"/>
    <w:rsid w:val="26EA0A7F"/>
    <w:rsid w:val="27DE5E6C"/>
    <w:rsid w:val="2804D3BA"/>
    <w:rsid w:val="28396938"/>
    <w:rsid w:val="299945DE"/>
    <w:rsid w:val="29A291DA"/>
    <w:rsid w:val="29F9FD28"/>
    <w:rsid w:val="2A206EE5"/>
    <w:rsid w:val="2A80A96D"/>
    <w:rsid w:val="2ABA77CE"/>
    <w:rsid w:val="2B0E7D8F"/>
    <w:rsid w:val="2B1B40AC"/>
    <w:rsid w:val="2B625596"/>
    <w:rsid w:val="2BB4A77C"/>
    <w:rsid w:val="2BCBA450"/>
    <w:rsid w:val="2BF9B974"/>
    <w:rsid w:val="2C11C500"/>
    <w:rsid w:val="2CEF5379"/>
    <w:rsid w:val="2D369E50"/>
    <w:rsid w:val="2DB10E8C"/>
    <w:rsid w:val="2DF1313E"/>
    <w:rsid w:val="2E1332AF"/>
    <w:rsid w:val="2E390413"/>
    <w:rsid w:val="2E4510FC"/>
    <w:rsid w:val="2EF51BBC"/>
    <w:rsid w:val="2F041574"/>
    <w:rsid w:val="2F0745FB"/>
    <w:rsid w:val="2F3C2EFB"/>
    <w:rsid w:val="2F4091E1"/>
    <w:rsid w:val="3059D896"/>
    <w:rsid w:val="30D2A707"/>
    <w:rsid w:val="31219A5D"/>
    <w:rsid w:val="313DCFCF"/>
    <w:rsid w:val="314BE616"/>
    <w:rsid w:val="315F73A6"/>
    <w:rsid w:val="31947B62"/>
    <w:rsid w:val="31B8E109"/>
    <w:rsid w:val="31CFDC2B"/>
    <w:rsid w:val="31F2D6B3"/>
    <w:rsid w:val="31F51CCF"/>
    <w:rsid w:val="320F4B42"/>
    <w:rsid w:val="32177368"/>
    <w:rsid w:val="325730C9"/>
    <w:rsid w:val="3287518A"/>
    <w:rsid w:val="32A392CB"/>
    <w:rsid w:val="3308D994"/>
    <w:rsid w:val="33283F5B"/>
    <w:rsid w:val="332A96E5"/>
    <w:rsid w:val="334350A6"/>
    <w:rsid w:val="334DD2D2"/>
    <w:rsid w:val="34293F85"/>
    <w:rsid w:val="34E0E792"/>
    <w:rsid w:val="34E26297"/>
    <w:rsid w:val="35323375"/>
    <w:rsid w:val="35568417"/>
    <w:rsid w:val="3565E998"/>
    <w:rsid w:val="357B5965"/>
    <w:rsid w:val="36546443"/>
    <w:rsid w:val="365F829E"/>
    <w:rsid w:val="3696C655"/>
    <w:rsid w:val="369E8212"/>
    <w:rsid w:val="36AD3DC3"/>
    <w:rsid w:val="3705A023"/>
    <w:rsid w:val="3709C506"/>
    <w:rsid w:val="37DA0139"/>
    <w:rsid w:val="37E4037E"/>
    <w:rsid w:val="3821305F"/>
    <w:rsid w:val="39389560"/>
    <w:rsid w:val="395CAF9E"/>
    <w:rsid w:val="39E13841"/>
    <w:rsid w:val="39E286BD"/>
    <w:rsid w:val="39E378B2"/>
    <w:rsid w:val="39E64D3F"/>
    <w:rsid w:val="39FCA30F"/>
    <w:rsid w:val="3AB8D29D"/>
    <w:rsid w:val="3ACE450A"/>
    <w:rsid w:val="3C0C98D3"/>
    <w:rsid w:val="3C33D693"/>
    <w:rsid w:val="3C8426D8"/>
    <w:rsid w:val="3CD17A8A"/>
    <w:rsid w:val="3CDFAC2B"/>
    <w:rsid w:val="3D82609E"/>
    <w:rsid w:val="3D8B5FC7"/>
    <w:rsid w:val="3D94C6A2"/>
    <w:rsid w:val="3DC883B7"/>
    <w:rsid w:val="3DF0C7DB"/>
    <w:rsid w:val="3EBFED5E"/>
    <w:rsid w:val="3EE38E37"/>
    <w:rsid w:val="3EEE7B89"/>
    <w:rsid w:val="3F0A6BC3"/>
    <w:rsid w:val="3F17DC9D"/>
    <w:rsid w:val="3F1C031C"/>
    <w:rsid w:val="3F481940"/>
    <w:rsid w:val="3FA58303"/>
    <w:rsid w:val="3FE0EF2D"/>
    <w:rsid w:val="40FBA0CB"/>
    <w:rsid w:val="4101DAF1"/>
    <w:rsid w:val="414308C8"/>
    <w:rsid w:val="4231F29D"/>
    <w:rsid w:val="42854534"/>
    <w:rsid w:val="428E1402"/>
    <w:rsid w:val="431DF1DC"/>
    <w:rsid w:val="43454256"/>
    <w:rsid w:val="437D86CC"/>
    <w:rsid w:val="44DB9589"/>
    <w:rsid w:val="44F8B429"/>
    <w:rsid w:val="45679578"/>
    <w:rsid w:val="456FA272"/>
    <w:rsid w:val="4571BB56"/>
    <w:rsid w:val="45CE86E4"/>
    <w:rsid w:val="4601702C"/>
    <w:rsid w:val="461C89E5"/>
    <w:rsid w:val="4630F23B"/>
    <w:rsid w:val="46BCF594"/>
    <w:rsid w:val="46C7D5CB"/>
    <w:rsid w:val="4758AAE5"/>
    <w:rsid w:val="476C1A3C"/>
    <w:rsid w:val="477C4F90"/>
    <w:rsid w:val="47A86EEA"/>
    <w:rsid w:val="47ABF11A"/>
    <w:rsid w:val="481D811F"/>
    <w:rsid w:val="49190AFA"/>
    <w:rsid w:val="49A67982"/>
    <w:rsid w:val="49F808E5"/>
    <w:rsid w:val="4A4A59CF"/>
    <w:rsid w:val="4A56580E"/>
    <w:rsid w:val="4ACCD40E"/>
    <w:rsid w:val="4BEDD2DC"/>
    <w:rsid w:val="4C67509F"/>
    <w:rsid w:val="4CAA2030"/>
    <w:rsid w:val="4CCCAD25"/>
    <w:rsid w:val="4D7B41FC"/>
    <w:rsid w:val="4E1BB1E5"/>
    <w:rsid w:val="4E55DD7A"/>
    <w:rsid w:val="4E73CD7A"/>
    <w:rsid w:val="4ED14D40"/>
    <w:rsid w:val="4F92CB5C"/>
    <w:rsid w:val="4FE0BC5E"/>
    <w:rsid w:val="506BDE37"/>
    <w:rsid w:val="52180ABD"/>
    <w:rsid w:val="526C2596"/>
    <w:rsid w:val="52D8DBEB"/>
    <w:rsid w:val="52E3546B"/>
    <w:rsid w:val="52FDC038"/>
    <w:rsid w:val="53AC2E58"/>
    <w:rsid w:val="53AE3CFD"/>
    <w:rsid w:val="541AAFBB"/>
    <w:rsid w:val="544D575F"/>
    <w:rsid w:val="54587017"/>
    <w:rsid w:val="545C78FD"/>
    <w:rsid w:val="54C63EB8"/>
    <w:rsid w:val="552D17DE"/>
    <w:rsid w:val="5565E5B0"/>
    <w:rsid w:val="558592B0"/>
    <w:rsid w:val="5646AC3F"/>
    <w:rsid w:val="56534EB4"/>
    <w:rsid w:val="567CFB2C"/>
    <w:rsid w:val="56B32D35"/>
    <w:rsid w:val="57216311"/>
    <w:rsid w:val="57CD2103"/>
    <w:rsid w:val="5800CB6A"/>
    <w:rsid w:val="58913A94"/>
    <w:rsid w:val="58974E9A"/>
    <w:rsid w:val="5926CA88"/>
    <w:rsid w:val="5940D82F"/>
    <w:rsid w:val="5980710D"/>
    <w:rsid w:val="59A19513"/>
    <w:rsid w:val="59D2B8A8"/>
    <w:rsid w:val="5A6F8084"/>
    <w:rsid w:val="5A70B6EB"/>
    <w:rsid w:val="5A809A34"/>
    <w:rsid w:val="5A983F44"/>
    <w:rsid w:val="5AAC872A"/>
    <w:rsid w:val="5B4B7DE8"/>
    <w:rsid w:val="5B612592"/>
    <w:rsid w:val="5B8BFC79"/>
    <w:rsid w:val="5B9DA196"/>
    <w:rsid w:val="5B9EAAC1"/>
    <w:rsid w:val="5BD44770"/>
    <w:rsid w:val="5CBA34A7"/>
    <w:rsid w:val="5CCB4B89"/>
    <w:rsid w:val="5D50752C"/>
    <w:rsid w:val="5D65E40A"/>
    <w:rsid w:val="5D716D2F"/>
    <w:rsid w:val="5DA00037"/>
    <w:rsid w:val="5DCBF123"/>
    <w:rsid w:val="5DCFB699"/>
    <w:rsid w:val="5E110A33"/>
    <w:rsid w:val="5E37200F"/>
    <w:rsid w:val="5EA0B14A"/>
    <w:rsid w:val="5F6EEF4C"/>
    <w:rsid w:val="60008AE9"/>
    <w:rsid w:val="6025B63D"/>
    <w:rsid w:val="6034FF4A"/>
    <w:rsid w:val="608504BA"/>
    <w:rsid w:val="6095A04C"/>
    <w:rsid w:val="611201B7"/>
    <w:rsid w:val="611D9E7B"/>
    <w:rsid w:val="61220F2F"/>
    <w:rsid w:val="61969788"/>
    <w:rsid w:val="619B662A"/>
    <w:rsid w:val="627DDE12"/>
    <w:rsid w:val="629CC887"/>
    <w:rsid w:val="62D2A724"/>
    <w:rsid w:val="62DB3B4F"/>
    <w:rsid w:val="62FACD7C"/>
    <w:rsid w:val="63C8539F"/>
    <w:rsid w:val="64286C49"/>
    <w:rsid w:val="6479F608"/>
    <w:rsid w:val="647BB304"/>
    <w:rsid w:val="6511ABFB"/>
    <w:rsid w:val="652B1107"/>
    <w:rsid w:val="656FF06D"/>
    <w:rsid w:val="6584F44A"/>
    <w:rsid w:val="66F4C223"/>
    <w:rsid w:val="67347825"/>
    <w:rsid w:val="67C6692B"/>
    <w:rsid w:val="6807A5AB"/>
    <w:rsid w:val="680ABD0A"/>
    <w:rsid w:val="68DCC9AF"/>
    <w:rsid w:val="6923F78B"/>
    <w:rsid w:val="692BF644"/>
    <w:rsid w:val="6968FB7B"/>
    <w:rsid w:val="6AC2464D"/>
    <w:rsid w:val="6B097B07"/>
    <w:rsid w:val="6B9ED4BD"/>
    <w:rsid w:val="6BEAFAA5"/>
    <w:rsid w:val="6C2C12B2"/>
    <w:rsid w:val="6C74641C"/>
    <w:rsid w:val="6CC087A2"/>
    <w:rsid w:val="6CE0A188"/>
    <w:rsid w:val="6DB91278"/>
    <w:rsid w:val="6E38592E"/>
    <w:rsid w:val="6E3D1625"/>
    <w:rsid w:val="6E61B877"/>
    <w:rsid w:val="6FD7218F"/>
    <w:rsid w:val="70845D0C"/>
    <w:rsid w:val="7186887D"/>
    <w:rsid w:val="718BAEAC"/>
    <w:rsid w:val="71D1A8B4"/>
    <w:rsid w:val="727B6429"/>
    <w:rsid w:val="727EF086"/>
    <w:rsid w:val="728E6431"/>
    <w:rsid w:val="7333AFF9"/>
    <w:rsid w:val="73589F66"/>
    <w:rsid w:val="736E2601"/>
    <w:rsid w:val="73BD7B9C"/>
    <w:rsid w:val="73DBD9CB"/>
    <w:rsid w:val="74068C51"/>
    <w:rsid w:val="749742FA"/>
    <w:rsid w:val="7497A4A4"/>
    <w:rsid w:val="74CBB5C0"/>
    <w:rsid w:val="74F8189A"/>
    <w:rsid w:val="754DA8ED"/>
    <w:rsid w:val="755ED735"/>
    <w:rsid w:val="757A611F"/>
    <w:rsid w:val="75C9CEF5"/>
    <w:rsid w:val="76A041B1"/>
    <w:rsid w:val="7715B60E"/>
    <w:rsid w:val="773D4747"/>
    <w:rsid w:val="77639D41"/>
    <w:rsid w:val="7769E60F"/>
    <w:rsid w:val="77AD27BA"/>
    <w:rsid w:val="77DC318B"/>
    <w:rsid w:val="78187F42"/>
    <w:rsid w:val="784794B6"/>
    <w:rsid w:val="789ACD70"/>
    <w:rsid w:val="78BEAD49"/>
    <w:rsid w:val="7914A3C7"/>
    <w:rsid w:val="795A0FB6"/>
    <w:rsid w:val="79A4689C"/>
    <w:rsid w:val="7A248BCA"/>
    <w:rsid w:val="7A95EA03"/>
    <w:rsid w:val="7A974BCB"/>
    <w:rsid w:val="7B0D4D2D"/>
    <w:rsid w:val="7B4038FD"/>
    <w:rsid w:val="7B5909A9"/>
    <w:rsid w:val="7C49BDA0"/>
    <w:rsid w:val="7C99AD74"/>
    <w:rsid w:val="7CAF7E1A"/>
    <w:rsid w:val="7DCEEC8D"/>
    <w:rsid w:val="7F2F9C5E"/>
    <w:rsid w:val="7F31F491"/>
    <w:rsid w:val="7F3A449C"/>
    <w:rsid w:val="7FDCC0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EA79F"/>
  <w15:chartTrackingRefBased/>
  <w15:docId w15:val="{C6DD153F-E7BD-45DA-80AD-7C5F13E9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07D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07D79"/>
  </w:style>
  <w:style w:type="character" w:customStyle="1" w:styleId="eop">
    <w:name w:val="eop"/>
    <w:basedOn w:val="DefaultParagraphFont"/>
    <w:rsid w:val="00E07D79"/>
  </w:style>
  <w:style w:type="character" w:styleId="CommentReference">
    <w:name w:val="annotation reference"/>
    <w:basedOn w:val="DefaultParagraphFont"/>
    <w:uiPriority w:val="99"/>
    <w:semiHidden/>
    <w:unhideWhenUsed/>
    <w:rsid w:val="00E07D79"/>
    <w:rPr>
      <w:sz w:val="16"/>
      <w:szCs w:val="16"/>
    </w:rPr>
  </w:style>
  <w:style w:type="paragraph" w:styleId="CommentText">
    <w:name w:val="annotation text"/>
    <w:basedOn w:val="Normal"/>
    <w:link w:val="CommentTextChar"/>
    <w:uiPriority w:val="99"/>
    <w:semiHidden/>
    <w:unhideWhenUsed/>
    <w:rsid w:val="00E07D79"/>
    <w:pPr>
      <w:spacing w:line="240" w:lineRule="auto"/>
    </w:pPr>
    <w:rPr>
      <w:sz w:val="20"/>
      <w:szCs w:val="20"/>
    </w:rPr>
  </w:style>
  <w:style w:type="character" w:customStyle="1" w:styleId="CommentTextChar">
    <w:name w:val="Comment Text Char"/>
    <w:basedOn w:val="DefaultParagraphFont"/>
    <w:link w:val="CommentText"/>
    <w:uiPriority w:val="99"/>
    <w:semiHidden/>
    <w:rsid w:val="00E07D79"/>
    <w:rPr>
      <w:sz w:val="20"/>
      <w:szCs w:val="20"/>
    </w:rPr>
  </w:style>
  <w:style w:type="paragraph" w:styleId="ListParagraph">
    <w:name w:val="List Paragraph"/>
    <w:basedOn w:val="Normal"/>
    <w:uiPriority w:val="34"/>
    <w:qFormat/>
    <w:rsid w:val="002D62A0"/>
    <w:pPr>
      <w:ind w:left="720"/>
      <w:contextualSpacing/>
    </w:pPr>
  </w:style>
  <w:style w:type="paragraph" w:styleId="FootnoteText">
    <w:name w:val="footnote text"/>
    <w:basedOn w:val="Normal"/>
    <w:link w:val="FootnoteTextChar"/>
    <w:uiPriority w:val="99"/>
    <w:semiHidden/>
    <w:unhideWhenUsed/>
    <w:rsid w:val="005B3D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D1E"/>
    <w:rPr>
      <w:sz w:val="20"/>
      <w:szCs w:val="20"/>
    </w:rPr>
  </w:style>
  <w:style w:type="character" w:styleId="FootnoteReference">
    <w:name w:val="footnote reference"/>
    <w:basedOn w:val="DefaultParagraphFont"/>
    <w:uiPriority w:val="99"/>
    <w:semiHidden/>
    <w:unhideWhenUsed/>
    <w:rsid w:val="005B3D1E"/>
    <w:rPr>
      <w:vertAlign w:val="superscript"/>
    </w:rPr>
  </w:style>
  <w:style w:type="table" w:styleId="TableGrid">
    <w:name w:val="Table Grid"/>
    <w:basedOn w:val="TableNormal"/>
    <w:uiPriority w:val="39"/>
    <w:rsid w:val="005B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C2420"/>
  </w:style>
  <w:style w:type="paragraph" w:styleId="CommentSubject">
    <w:name w:val="annotation subject"/>
    <w:basedOn w:val="CommentText"/>
    <w:next w:val="CommentText"/>
    <w:link w:val="CommentSubjectChar"/>
    <w:uiPriority w:val="99"/>
    <w:semiHidden/>
    <w:unhideWhenUsed/>
    <w:rsid w:val="00800C19"/>
    <w:rPr>
      <w:b/>
      <w:bCs/>
    </w:rPr>
  </w:style>
  <w:style w:type="character" w:customStyle="1" w:styleId="CommentSubjectChar">
    <w:name w:val="Comment Subject Char"/>
    <w:basedOn w:val="CommentTextChar"/>
    <w:link w:val="CommentSubject"/>
    <w:uiPriority w:val="99"/>
    <w:semiHidden/>
    <w:rsid w:val="00800C19"/>
    <w:rPr>
      <w:b/>
      <w:bCs/>
      <w:sz w:val="20"/>
      <w:szCs w:val="20"/>
    </w:rPr>
  </w:style>
  <w:style w:type="paragraph" w:styleId="Revision">
    <w:name w:val="Revision"/>
    <w:hidden/>
    <w:uiPriority w:val="99"/>
    <w:semiHidden/>
    <w:rsid w:val="00800C19"/>
    <w:pPr>
      <w:spacing w:after="0" w:line="240" w:lineRule="auto"/>
    </w:pPr>
  </w:style>
  <w:style w:type="paragraph" w:styleId="Header">
    <w:name w:val="header"/>
    <w:basedOn w:val="Normal"/>
    <w:link w:val="HeaderChar"/>
    <w:uiPriority w:val="99"/>
    <w:semiHidden/>
    <w:unhideWhenUsed/>
    <w:rsid w:val="006027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27A4"/>
  </w:style>
  <w:style w:type="paragraph" w:styleId="Footer">
    <w:name w:val="footer"/>
    <w:basedOn w:val="Normal"/>
    <w:link w:val="FooterChar"/>
    <w:uiPriority w:val="99"/>
    <w:semiHidden/>
    <w:unhideWhenUsed/>
    <w:rsid w:val="006027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27A4"/>
  </w:style>
  <w:style w:type="character" w:styleId="Hyperlink">
    <w:name w:val="Hyperlink"/>
    <w:basedOn w:val="DefaultParagraphFont"/>
    <w:uiPriority w:val="99"/>
    <w:semiHidden/>
    <w:unhideWhenUsed/>
    <w:rsid w:val="00601A92"/>
    <w:rPr>
      <w:color w:val="0000FF"/>
      <w:u w:val="single"/>
    </w:rPr>
  </w:style>
  <w:style w:type="character" w:styleId="UnresolvedMention">
    <w:name w:val="Unresolved Mention"/>
    <w:basedOn w:val="DefaultParagraphFont"/>
    <w:uiPriority w:val="99"/>
    <w:unhideWhenUsed/>
    <w:rsid w:val="00601A92"/>
    <w:rPr>
      <w:color w:val="605E5C"/>
      <w:shd w:val="clear" w:color="auto" w:fill="E1DFDD"/>
    </w:rPr>
  </w:style>
  <w:style w:type="character" w:styleId="Mention">
    <w:name w:val="Mention"/>
    <w:basedOn w:val="DefaultParagraphFont"/>
    <w:uiPriority w:val="99"/>
    <w:unhideWhenUsed/>
    <w:rsid w:val="00601A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83889">
      <w:bodyDiv w:val="1"/>
      <w:marLeft w:val="0"/>
      <w:marRight w:val="0"/>
      <w:marTop w:val="0"/>
      <w:marBottom w:val="0"/>
      <w:divBdr>
        <w:top w:val="none" w:sz="0" w:space="0" w:color="auto"/>
        <w:left w:val="none" w:sz="0" w:space="0" w:color="auto"/>
        <w:bottom w:val="none" w:sz="0" w:space="0" w:color="auto"/>
        <w:right w:val="none" w:sz="0" w:space="0" w:color="auto"/>
      </w:divBdr>
      <w:divsChild>
        <w:div w:id="359739920">
          <w:marLeft w:val="0"/>
          <w:marRight w:val="0"/>
          <w:marTop w:val="0"/>
          <w:marBottom w:val="0"/>
          <w:divBdr>
            <w:top w:val="none" w:sz="0" w:space="0" w:color="auto"/>
            <w:left w:val="none" w:sz="0" w:space="0" w:color="auto"/>
            <w:bottom w:val="none" w:sz="0" w:space="0" w:color="auto"/>
            <w:right w:val="none" w:sz="0" w:space="0" w:color="auto"/>
          </w:divBdr>
        </w:div>
        <w:div w:id="417989774">
          <w:marLeft w:val="0"/>
          <w:marRight w:val="0"/>
          <w:marTop w:val="0"/>
          <w:marBottom w:val="0"/>
          <w:divBdr>
            <w:top w:val="none" w:sz="0" w:space="0" w:color="auto"/>
            <w:left w:val="none" w:sz="0" w:space="0" w:color="auto"/>
            <w:bottom w:val="none" w:sz="0" w:space="0" w:color="auto"/>
            <w:right w:val="none" w:sz="0" w:space="0" w:color="auto"/>
          </w:divBdr>
        </w:div>
        <w:div w:id="1296252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1100d4-4470-42c1-96bc-46686c1829ae" xsi:nil="true"/>
    <lcf76f155ced4ddcb4097134ff3c332f xmlns="07da3740-463b-4cf7-bfb8-6875f2c449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9A2A25E5621E4FB01A6656374D9759" ma:contentTypeVersion="30" ma:contentTypeDescription="Create a new document." ma:contentTypeScope="" ma:versionID="5e6d34faddf3f48e6d9bcd7b0ad6877e">
  <xsd:schema xmlns:xsd="http://www.w3.org/2001/XMLSchema" xmlns:xs="http://www.w3.org/2001/XMLSchema" xmlns:p="http://schemas.microsoft.com/office/2006/metadata/properties" xmlns:ns2="431100d4-4470-42c1-96bc-46686c1829ae" xmlns:ns3="07da3740-463b-4cf7-bfb8-6875f2c449a4" targetNamespace="http://schemas.microsoft.com/office/2006/metadata/properties" ma:root="true" ma:fieldsID="deeb84c7ee2973b81f872a32ddbc4831" ns2:_="" ns3:_="">
    <xsd:import namespace="431100d4-4470-42c1-96bc-46686c1829ae"/>
    <xsd:import namespace="07da3740-463b-4cf7-bfb8-6875f2c449a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e4df687-44af-4f4f-83ce-cc549dc79046}" ma:internalName="TaxCatchAll" ma:showField="CatchAllData" ma:web="431100d4-4470-42c1-96bc-46686c1829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da3740-463b-4cf7-bfb8-6875f2c449a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e84caa5-4932-4209-ae5a-cc2c42c66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BB468-FAA1-4FB8-8DE6-D36B4961B02E}">
  <ds:schemaRefs>
    <ds:schemaRef ds:uri="431100d4-4470-42c1-96bc-46686c1829ae"/>
    <ds:schemaRef ds:uri="07da3740-463b-4cf7-bfb8-6875f2c449a4"/>
    <ds:schemaRef ds:uri="http://schemas.microsoft.com/office/infopath/2007/PartnerControl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4D905D3-4F1E-4CF6-AF24-8F9B43292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100d4-4470-42c1-96bc-46686c1829ae"/>
    <ds:schemaRef ds:uri="07da3740-463b-4cf7-bfb8-6875f2c44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7B1EE-2798-49E2-867E-B0B5C64DA4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1586</Words>
  <Characters>9045</Characters>
  <Application>Microsoft Office Word</Application>
  <DocSecurity>0</DocSecurity>
  <Lines>75</Lines>
  <Paragraphs>21</Paragraphs>
  <ScaleCrop>false</ScaleCrop>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Florkowski</dc:creator>
  <cp:keywords/>
  <dc:description/>
  <cp:lastModifiedBy>Melissa Florkowski</cp:lastModifiedBy>
  <cp:revision>2</cp:revision>
  <dcterms:created xsi:type="dcterms:W3CDTF">2024-05-09T18:39:00Z</dcterms:created>
  <dcterms:modified xsi:type="dcterms:W3CDTF">2024-05-09T18:39:00Z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0x0101008D9A2A25E5621E4FB01A6656374D9759</vt:lpwstr>
  </property>
  <property fmtid="{D5CDD505-2E9C-101B-9397-08002B2CF9AE}" pid="3" name="MediaServiceImageTags">
    <vt:lpwstr/>
  </property>
</Properties>
</file>