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51DE8A41" w:rsidR="002A7CD2" w:rsidRPr="00955AC1" w:rsidRDefault="00AE3836" w:rsidP="000078D6">
      <w:pPr>
        <w:spacing w:after="0"/>
        <w:jc w:val="center"/>
        <w:rPr>
          <w:rFonts w:ascii="Times New Roman" w:hAnsi="Times New Roman" w:cs="Times New Roman"/>
        </w:rPr>
      </w:pPr>
      <w:r w:rsidRPr="00955AC1">
        <w:rPr>
          <w:rFonts w:ascii="Times New Roman" w:hAnsi="Times New Roman" w:cs="Times New Roman"/>
        </w:rPr>
        <w:softHyphen/>
      </w:r>
      <w:r w:rsidR="00441946" w:rsidRPr="00955AC1">
        <w:rPr>
          <w:rFonts w:ascii="Times New Roman" w:hAnsi="Times New Roman" w:cs="Times New Roman"/>
          <w:noProof/>
        </w:rPr>
        <w:drawing>
          <wp:inline distT="0" distB="0" distL="0" distR="0" wp14:anchorId="1353F54E" wp14:editId="11839CD7">
            <wp:extent cx="3850110" cy="13744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9724" cy="1410004"/>
                    </a:xfrm>
                    <a:prstGeom prst="rect">
                      <a:avLst/>
                    </a:prstGeom>
                    <a:noFill/>
                    <a:ln>
                      <a:noFill/>
                    </a:ln>
                  </pic:spPr>
                </pic:pic>
              </a:graphicData>
            </a:graphic>
          </wp:inline>
        </w:drawing>
      </w:r>
    </w:p>
    <w:p w14:paraId="617F9DA5" w14:textId="3158A147" w:rsidR="00616EA5" w:rsidRPr="00955AC1" w:rsidRDefault="00277840" w:rsidP="00F70795">
      <w:pPr>
        <w:spacing w:after="0"/>
        <w:jc w:val="center"/>
        <w:rPr>
          <w:rFonts w:ascii="Times New Roman" w:hAnsi="Times New Roman" w:cs="Times New Roman"/>
          <w:b/>
          <w:sz w:val="32"/>
          <w:szCs w:val="32"/>
        </w:rPr>
      </w:pPr>
      <w:r w:rsidRPr="00955AC1">
        <w:rPr>
          <w:rFonts w:ascii="Times New Roman" w:hAnsi="Times New Roman" w:cs="Times New Roman"/>
          <w:b/>
          <w:sz w:val="32"/>
          <w:szCs w:val="32"/>
        </w:rPr>
        <w:t>202</w:t>
      </w:r>
      <w:r w:rsidR="00741177" w:rsidRPr="00955AC1">
        <w:rPr>
          <w:rFonts w:ascii="Times New Roman" w:hAnsi="Times New Roman" w:cs="Times New Roman"/>
          <w:b/>
          <w:sz w:val="32"/>
          <w:szCs w:val="32"/>
        </w:rPr>
        <w:t>2</w:t>
      </w:r>
      <w:r w:rsidRPr="00955AC1">
        <w:rPr>
          <w:rFonts w:ascii="Times New Roman" w:hAnsi="Times New Roman" w:cs="Times New Roman"/>
          <w:b/>
          <w:sz w:val="32"/>
          <w:szCs w:val="32"/>
        </w:rPr>
        <w:t xml:space="preserve"> </w:t>
      </w:r>
      <w:r w:rsidR="008C0345" w:rsidRPr="00955AC1">
        <w:rPr>
          <w:rFonts w:ascii="Times New Roman" w:hAnsi="Times New Roman" w:cs="Times New Roman"/>
          <w:b/>
          <w:sz w:val="32"/>
          <w:szCs w:val="32"/>
        </w:rPr>
        <w:t xml:space="preserve">Housing Tax Credit </w:t>
      </w:r>
      <w:r w:rsidR="00F5717C" w:rsidRPr="00955AC1">
        <w:rPr>
          <w:rFonts w:ascii="Times New Roman" w:hAnsi="Times New Roman" w:cs="Times New Roman"/>
          <w:b/>
          <w:sz w:val="32"/>
          <w:szCs w:val="32"/>
        </w:rPr>
        <w:t xml:space="preserve">Program </w:t>
      </w:r>
    </w:p>
    <w:p w14:paraId="2BB5916B" w14:textId="42A8FD8D" w:rsidR="00226B34" w:rsidRPr="00955AC1" w:rsidRDefault="00226B34" w:rsidP="00616EA5">
      <w:pPr>
        <w:pBdr>
          <w:bottom w:val="single" w:sz="6" w:space="1" w:color="auto"/>
        </w:pBdr>
        <w:spacing w:after="0"/>
        <w:jc w:val="center"/>
        <w:rPr>
          <w:rFonts w:ascii="Times New Roman" w:hAnsi="Times New Roman" w:cs="Times New Roman"/>
          <w:b/>
          <w:sz w:val="32"/>
          <w:szCs w:val="32"/>
        </w:rPr>
      </w:pPr>
      <w:r w:rsidRPr="00955AC1">
        <w:rPr>
          <w:rFonts w:ascii="Times New Roman" w:hAnsi="Times New Roman" w:cs="Times New Roman"/>
          <w:b/>
          <w:sz w:val="32"/>
          <w:szCs w:val="32"/>
        </w:rPr>
        <w:t>Questions and Answers</w:t>
      </w:r>
      <w:r w:rsidR="00D93FAE" w:rsidRPr="00955AC1">
        <w:rPr>
          <w:rFonts w:ascii="Times New Roman" w:hAnsi="Times New Roman" w:cs="Times New Roman"/>
          <w:b/>
          <w:sz w:val="32"/>
          <w:szCs w:val="32"/>
        </w:rPr>
        <w:t xml:space="preserve"> </w:t>
      </w:r>
    </w:p>
    <w:p w14:paraId="0407AE8F" w14:textId="4D500D0E" w:rsidR="007C0246" w:rsidRPr="00955AC1" w:rsidRDefault="009A3438" w:rsidP="006D7569">
      <w:pPr>
        <w:spacing w:after="0"/>
        <w:rPr>
          <w:rFonts w:ascii="Times New Roman" w:hAnsi="Times New Roman" w:cs="Times New Roman"/>
          <w:noProof/>
        </w:rPr>
      </w:pPr>
      <w:r w:rsidRPr="00955AC1">
        <w:rPr>
          <w:rFonts w:ascii="Times New Roman" w:hAnsi="Times New Roman" w:cs="Times New Roman"/>
          <w:color w:val="A6A6A6" w:themeColor="background1" w:themeShade="A6"/>
        </w:rPr>
        <w:t>Published</w:t>
      </w:r>
      <w:r w:rsidR="00741177" w:rsidRPr="00955AC1">
        <w:rPr>
          <w:rFonts w:ascii="Times New Roman" w:hAnsi="Times New Roman" w:cs="Times New Roman"/>
          <w:color w:val="A6A6A6" w:themeColor="background1" w:themeShade="A6"/>
        </w:rPr>
        <w:t xml:space="preserve"> </w:t>
      </w:r>
      <w:r w:rsidR="0048024C" w:rsidRPr="00955AC1">
        <w:rPr>
          <w:rFonts w:ascii="Times New Roman" w:hAnsi="Times New Roman" w:cs="Times New Roman"/>
          <w:color w:val="A6A6A6" w:themeColor="background1" w:themeShade="A6"/>
        </w:rPr>
        <w:t>February 25</w:t>
      </w:r>
      <w:r w:rsidR="007C0246" w:rsidRPr="00955AC1">
        <w:rPr>
          <w:rFonts w:ascii="Times New Roman" w:hAnsi="Times New Roman" w:cs="Times New Roman"/>
          <w:color w:val="A6A6A6" w:themeColor="background1" w:themeShade="A6"/>
        </w:rPr>
        <w:t>, 202</w:t>
      </w:r>
      <w:r w:rsidR="00E91E6E" w:rsidRPr="00955AC1">
        <w:rPr>
          <w:rFonts w:ascii="Times New Roman" w:hAnsi="Times New Roman" w:cs="Times New Roman"/>
          <w:color w:val="A6A6A6" w:themeColor="background1" w:themeShade="A6"/>
        </w:rPr>
        <w:t>2</w:t>
      </w:r>
      <w:r w:rsidR="007C0246" w:rsidRPr="00955AC1">
        <w:rPr>
          <w:rFonts w:ascii="Times New Roman" w:hAnsi="Times New Roman" w:cs="Times New Roman"/>
          <w:noProof/>
        </w:rPr>
        <w:t xml:space="preserve"> </w:t>
      </w:r>
    </w:p>
    <w:p w14:paraId="30CF66E2" w14:textId="53E52484" w:rsidR="00CE5ADE" w:rsidRPr="00955AC1" w:rsidRDefault="009C799D" w:rsidP="006D7569">
      <w:pPr>
        <w:spacing w:after="0"/>
        <w:rPr>
          <w:rFonts w:ascii="Times New Roman" w:hAnsi="Times New Roman" w:cs="Times New Roman"/>
          <w:noProof/>
          <w:color w:val="A6A6A6" w:themeColor="background1" w:themeShade="A6"/>
        </w:rPr>
      </w:pPr>
      <w:r w:rsidRPr="00955AC1">
        <w:rPr>
          <w:rFonts w:ascii="Times New Roman" w:hAnsi="Times New Roman" w:cs="Times New Roman"/>
          <w:noProof/>
          <w:color w:val="A6A6A6" w:themeColor="background1" w:themeShade="A6"/>
        </w:rPr>
        <w:t>Updated</w:t>
      </w:r>
      <w:r w:rsidR="00D8129A">
        <w:rPr>
          <w:rFonts w:ascii="Times New Roman" w:hAnsi="Times New Roman" w:cs="Times New Roman"/>
          <w:noProof/>
          <w:color w:val="A6A6A6" w:themeColor="background1" w:themeShade="A6"/>
        </w:rPr>
        <w:t xml:space="preserve"> October 1</w:t>
      </w:r>
      <w:r w:rsidR="00F86ED9">
        <w:rPr>
          <w:rFonts w:ascii="Times New Roman" w:hAnsi="Times New Roman" w:cs="Times New Roman"/>
          <w:noProof/>
          <w:color w:val="A6A6A6" w:themeColor="background1" w:themeShade="A6"/>
        </w:rPr>
        <w:t>2</w:t>
      </w:r>
      <w:r w:rsidR="006562C9" w:rsidRPr="00955AC1">
        <w:rPr>
          <w:rFonts w:ascii="Times New Roman" w:hAnsi="Times New Roman" w:cs="Times New Roman"/>
          <w:noProof/>
          <w:color w:val="A6A6A6" w:themeColor="background1" w:themeShade="A6"/>
        </w:rPr>
        <w:t xml:space="preserve">, </w:t>
      </w:r>
      <w:r w:rsidR="00CF7A32" w:rsidRPr="00955AC1">
        <w:rPr>
          <w:rFonts w:ascii="Times New Roman" w:hAnsi="Times New Roman" w:cs="Times New Roman"/>
          <w:noProof/>
          <w:color w:val="A6A6A6" w:themeColor="background1" w:themeShade="A6"/>
        </w:rPr>
        <w:t>2022</w:t>
      </w:r>
      <w:r w:rsidR="0080150C" w:rsidRPr="00955AC1">
        <w:rPr>
          <w:rFonts w:ascii="Times New Roman" w:hAnsi="Times New Roman" w:cs="Times New Roman"/>
          <w:noProof/>
          <w:color w:val="A6A6A6" w:themeColor="background1" w:themeShade="A6"/>
        </w:rPr>
        <w:t xml:space="preserve"> </w:t>
      </w:r>
    </w:p>
    <w:p w14:paraId="3BAA02D4" w14:textId="7E6F77E5" w:rsidR="00E90677" w:rsidRPr="00955AC1" w:rsidRDefault="00EF4055" w:rsidP="00C80CAC">
      <w:pPr>
        <w:rPr>
          <w:rFonts w:ascii="Times New Roman" w:hAnsi="Times New Roman" w:cs="Times New Roman"/>
        </w:rPr>
      </w:pPr>
      <w:r w:rsidRPr="00955AC1">
        <w:rPr>
          <w:rFonts w:ascii="Times New Roman" w:hAnsi="Times New Roman" w:cs="Times New Roman"/>
        </w:rPr>
        <w:t xml:space="preserve"> </w:t>
      </w:r>
      <w:r w:rsidR="003E3AE5" w:rsidRPr="00955AC1">
        <w:rPr>
          <w:rFonts w:ascii="Times New Roman" w:hAnsi="Times New Roman" w:cs="Times New Roman"/>
        </w:rPr>
        <w:t xml:space="preserve"> </w:t>
      </w:r>
    </w:p>
    <w:p w14:paraId="0CFBFD79" w14:textId="27FE0838" w:rsidR="005A42ED" w:rsidRPr="00955AC1" w:rsidRDefault="000F162F" w:rsidP="00C80CAC">
      <w:pPr>
        <w:rPr>
          <w:rFonts w:ascii="Times New Roman" w:hAnsi="Times New Roman" w:cs="Times New Roman"/>
        </w:rPr>
      </w:pPr>
      <w:r w:rsidRPr="00955AC1">
        <w:rPr>
          <w:rFonts w:ascii="Times New Roman" w:hAnsi="Times New Roman" w:cs="Times New Roman"/>
        </w:rPr>
        <w:t xml:space="preserve">The pages that follow </w:t>
      </w:r>
      <w:r w:rsidR="00C80CAC" w:rsidRPr="00955AC1">
        <w:rPr>
          <w:rFonts w:ascii="Times New Roman" w:hAnsi="Times New Roman" w:cs="Times New Roman"/>
        </w:rPr>
        <w:t xml:space="preserve">are </w:t>
      </w:r>
      <w:r w:rsidR="009F2161" w:rsidRPr="00955AC1">
        <w:rPr>
          <w:rFonts w:ascii="Times New Roman" w:hAnsi="Times New Roman" w:cs="Times New Roman"/>
        </w:rPr>
        <w:t xml:space="preserve">DCA </w:t>
      </w:r>
      <w:r w:rsidR="00C80CAC" w:rsidRPr="00955AC1">
        <w:rPr>
          <w:rFonts w:ascii="Times New Roman" w:hAnsi="Times New Roman" w:cs="Times New Roman"/>
        </w:rPr>
        <w:t xml:space="preserve">responses to questions pertaining to </w:t>
      </w:r>
      <w:r w:rsidR="000657A6" w:rsidRPr="00955AC1">
        <w:rPr>
          <w:rFonts w:ascii="Times New Roman" w:hAnsi="Times New Roman" w:cs="Times New Roman"/>
        </w:rPr>
        <w:t xml:space="preserve">the </w:t>
      </w:r>
      <w:r w:rsidR="00F01542" w:rsidRPr="00955AC1">
        <w:rPr>
          <w:rFonts w:ascii="Times New Roman" w:hAnsi="Times New Roman" w:cs="Times New Roman"/>
        </w:rPr>
        <w:t>Housing Tax Credit</w:t>
      </w:r>
      <w:r w:rsidR="00E94F24" w:rsidRPr="00955AC1">
        <w:rPr>
          <w:rFonts w:ascii="Times New Roman" w:hAnsi="Times New Roman" w:cs="Times New Roman"/>
        </w:rPr>
        <w:t xml:space="preserve"> program</w:t>
      </w:r>
      <w:r w:rsidR="00F01542" w:rsidRPr="00955AC1">
        <w:rPr>
          <w:rFonts w:ascii="Times New Roman" w:hAnsi="Times New Roman" w:cs="Times New Roman"/>
        </w:rPr>
        <w:t>.</w:t>
      </w:r>
      <w:r w:rsidR="00402C8E" w:rsidRPr="00955AC1">
        <w:rPr>
          <w:rFonts w:ascii="Times New Roman" w:hAnsi="Times New Roman" w:cs="Times New Roman"/>
        </w:rPr>
        <w:t xml:space="preserve"> </w:t>
      </w:r>
    </w:p>
    <w:p w14:paraId="3FE01ED7" w14:textId="0885E8B7" w:rsidR="005A266F" w:rsidRPr="00955AC1" w:rsidRDefault="005A266F" w:rsidP="005A266F">
      <w:pPr>
        <w:pStyle w:val="Heading1"/>
        <w:rPr>
          <w:rFonts w:cs="Times New Roman"/>
        </w:rPr>
      </w:pPr>
      <w:r w:rsidRPr="00955AC1">
        <w:rPr>
          <w:rFonts w:cs="Times New Roman"/>
        </w:rPr>
        <w:t>Part I: Overview</w:t>
      </w:r>
    </w:p>
    <w:p w14:paraId="2F289F9B" w14:textId="386378C6" w:rsidR="006704F3" w:rsidRPr="00955AC1" w:rsidRDefault="006704F3" w:rsidP="006704F3">
      <w:pPr>
        <w:pStyle w:val="Heading2"/>
        <w:rPr>
          <w:rFonts w:cs="Times New Roman"/>
        </w:rPr>
      </w:pPr>
      <w:r w:rsidRPr="00955AC1">
        <w:rPr>
          <w:rFonts w:cs="Times New Roman"/>
        </w:rPr>
        <w:t>Submit</w:t>
      </w:r>
      <w:r w:rsidR="00CD1C00" w:rsidRPr="00955AC1">
        <w:rPr>
          <w:rFonts w:cs="Times New Roman"/>
        </w:rPr>
        <w:t>ting</w:t>
      </w:r>
      <w:r w:rsidRPr="00955AC1">
        <w:rPr>
          <w:rFonts w:cs="Times New Roman"/>
        </w:rPr>
        <w:t xml:space="preserve"> Questions</w:t>
      </w:r>
    </w:p>
    <w:p w14:paraId="5B270D2B" w14:textId="3A67213F" w:rsidR="004C6455" w:rsidRPr="00955AC1" w:rsidRDefault="00865369" w:rsidP="00C80CAC">
      <w:pPr>
        <w:rPr>
          <w:rFonts w:ascii="Times New Roman" w:hAnsi="Times New Roman" w:cs="Times New Roman"/>
        </w:rPr>
      </w:pPr>
      <w:r w:rsidRPr="00955AC1">
        <w:rPr>
          <w:rFonts w:ascii="Times New Roman" w:hAnsi="Times New Roman" w:cs="Times New Roman"/>
        </w:rPr>
        <w:t>Q</w:t>
      </w:r>
      <w:r w:rsidR="00C80CAC" w:rsidRPr="00955AC1">
        <w:rPr>
          <w:rFonts w:ascii="Times New Roman" w:hAnsi="Times New Roman" w:cs="Times New Roman"/>
        </w:rPr>
        <w:t xml:space="preserve">uestions must be submitted through the online </w:t>
      </w:r>
      <w:r w:rsidR="003F2D75" w:rsidRPr="00955AC1">
        <w:rPr>
          <w:rFonts w:ascii="Times New Roman" w:hAnsi="Times New Roman" w:cs="Times New Roman"/>
        </w:rPr>
        <w:t>2022</w:t>
      </w:r>
      <w:r w:rsidR="00C67543" w:rsidRPr="00955AC1">
        <w:rPr>
          <w:rFonts w:ascii="Times New Roman" w:hAnsi="Times New Roman" w:cs="Times New Roman"/>
        </w:rPr>
        <w:t xml:space="preserve"> </w:t>
      </w:r>
      <w:r w:rsidR="001344B0" w:rsidRPr="00955AC1">
        <w:rPr>
          <w:rFonts w:ascii="Times New Roman" w:hAnsi="Times New Roman" w:cs="Times New Roman"/>
        </w:rPr>
        <w:t>Housing Tax Credit</w:t>
      </w:r>
      <w:r w:rsidR="00A56DE6" w:rsidRPr="00955AC1">
        <w:rPr>
          <w:rFonts w:ascii="Times New Roman" w:hAnsi="Times New Roman" w:cs="Times New Roman"/>
        </w:rPr>
        <w:t xml:space="preserve"> </w:t>
      </w:r>
      <w:r w:rsidR="00A93549" w:rsidRPr="00955AC1">
        <w:rPr>
          <w:rFonts w:ascii="Times New Roman" w:hAnsi="Times New Roman" w:cs="Times New Roman"/>
        </w:rPr>
        <w:t xml:space="preserve">program </w:t>
      </w:r>
      <w:r w:rsidR="00C80CAC" w:rsidRPr="00955AC1">
        <w:rPr>
          <w:rFonts w:ascii="Times New Roman" w:hAnsi="Times New Roman" w:cs="Times New Roman"/>
        </w:rPr>
        <w:t xml:space="preserve">Q&amp;A </w:t>
      </w:r>
      <w:r w:rsidR="004B66C7" w:rsidRPr="00955AC1">
        <w:rPr>
          <w:rFonts w:ascii="Times New Roman" w:hAnsi="Times New Roman" w:cs="Times New Roman"/>
        </w:rPr>
        <w:t xml:space="preserve">survey </w:t>
      </w:r>
      <w:r w:rsidR="00C80CAC" w:rsidRPr="00955AC1">
        <w:rPr>
          <w:rFonts w:ascii="Times New Roman" w:hAnsi="Times New Roman" w:cs="Times New Roman"/>
        </w:rPr>
        <w:t xml:space="preserve">hosted on the </w:t>
      </w:r>
      <w:r w:rsidR="00140B5A" w:rsidRPr="00955AC1">
        <w:rPr>
          <w:rFonts w:ascii="Times New Roman" w:hAnsi="Times New Roman" w:cs="Times New Roman"/>
        </w:rPr>
        <w:t>“</w:t>
      </w:r>
      <w:r w:rsidR="00C80CAC" w:rsidRPr="00955AC1">
        <w:rPr>
          <w:rFonts w:ascii="Times New Roman" w:hAnsi="Times New Roman" w:cs="Times New Roman"/>
        </w:rPr>
        <w:t>202</w:t>
      </w:r>
      <w:r w:rsidR="0046638A" w:rsidRPr="00955AC1">
        <w:rPr>
          <w:rFonts w:ascii="Times New Roman" w:hAnsi="Times New Roman" w:cs="Times New Roman"/>
        </w:rPr>
        <w:t>2</w:t>
      </w:r>
      <w:r w:rsidR="00C80CAC" w:rsidRPr="00955AC1">
        <w:rPr>
          <w:rFonts w:ascii="Times New Roman" w:hAnsi="Times New Roman" w:cs="Times New Roman"/>
        </w:rPr>
        <w:t xml:space="preserve"> QAP and Related Documents</w:t>
      </w:r>
      <w:r w:rsidR="00140B5A" w:rsidRPr="00955AC1">
        <w:rPr>
          <w:rFonts w:ascii="Times New Roman" w:hAnsi="Times New Roman" w:cs="Times New Roman"/>
        </w:rPr>
        <w:t>”</w:t>
      </w:r>
      <w:r w:rsidR="00C80CAC" w:rsidRPr="00955AC1">
        <w:rPr>
          <w:rFonts w:ascii="Times New Roman" w:hAnsi="Times New Roman" w:cs="Times New Roman"/>
        </w:rPr>
        <w:t xml:space="preserve"> webpage </w:t>
      </w:r>
      <w:r w:rsidR="004D60EA" w:rsidRPr="00955AC1">
        <w:rPr>
          <w:rFonts w:ascii="Times New Roman" w:hAnsi="Times New Roman" w:cs="Times New Roman"/>
        </w:rPr>
        <w:t xml:space="preserve">of the DCA website </w:t>
      </w:r>
      <w:r w:rsidR="00C80CAC" w:rsidRPr="00955AC1">
        <w:rPr>
          <w:rFonts w:ascii="Times New Roman" w:hAnsi="Times New Roman" w:cs="Times New Roman"/>
        </w:rPr>
        <w:t>(</w:t>
      </w:r>
      <w:hyperlink r:id="rId12" w:history="1">
        <w:r w:rsidR="00134B56" w:rsidRPr="00955AC1">
          <w:rPr>
            <w:rStyle w:val="Hyperlink"/>
            <w:rFonts w:ascii="Times New Roman" w:hAnsi="Times New Roman" w:cs="Times New Roman"/>
          </w:rPr>
          <w:t>click here</w:t>
        </w:r>
      </w:hyperlink>
      <w:r w:rsidR="00134B56" w:rsidRPr="00955AC1">
        <w:rPr>
          <w:rStyle w:val="Hyperlink"/>
          <w:rFonts w:ascii="Times New Roman" w:hAnsi="Times New Roman" w:cs="Times New Roman"/>
          <w:color w:val="auto"/>
          <w:u w:val="none"/>
        </w:rPr>
        <w:t xml:space="preserve"> and select “Submit a Question”</w:t>
      </w:r>
      <w:r w:rsidR="00134B56" w:rsidRPr="00955AC1">
        <w:rPr>
          <w:rFonts w:ascii="Times New Roman" w:hAnsi="Times New Roman" w:cs="Times New Roman"/>
        </w:rPr>
        <w:t>)</w:t>
      </w:r>
      <w:r w:rsidR="00C80CAC" w:rsidRPr="00955AC1">
        <w:rPr>
          <w:rFonts w:ascii="Times New Roman" w:hAnsi="Times New Roman" w:cs="Times New Roman"/>
        </w:rPr>
        <w:t xml:space="preserve">. </w:t>
      </w:r>
    </w:p>
    <w:p w14:paraId="2E528202" w14:textId="298E8185" w:rsidR="004C6455" w:rsidRPr="00955AC1" w:rsidRDefault="003F1CA0" w:rsidP="006F437F">
      <w:pPr>
        <w:pStyle w:val="ListParagraph"/>
        <w:numPr>
          <w:ilvl w:val="0"/>
          <w:numId w:val="3"/>
        </w:numPr>
        <w:rPr>
          <w:rFonts w:ascii="Times New Roman" w:hAnsi="Times New Roman" w:cs="Times New Roman"/>
        </w:rPr>
      </w:pPr>
      <w:r w:rsidRPr="00955AC1">
        <w:rPr>
          <w:rFonts w:ascii="Times New Roman" w:hAnsi="Times New Roman" w:cs="Times New Roman"/>
          <w:b/>
          <w:bCs/>
        </w:rPr>
        <w:t xml:space="preserve">Having </w:t>
      </w:r>
      <w:r w:rsidR="004E7E05" w:rsidRPr="00955AC1">
        <w:rPr>
          <w:rFonts w:ascii="Times New Roman" w:hAnsi="Times New Roman" w:cs="Times New Roman"/>
          <w:b/>
          <w:bCs/>
        </w:rPr>
        <w:t xml:space="preserve">issues using the </w:t>
      </w:r>
      <w:r w:rsidRPr="00955AC1">
        <w:rPr>
          <w:rFonts w:ascii="Times New Roman" w:hAnsi="Times New Roman" w:cs="Times New Roman"/>
          <w:b/>
          <w:bCs/>
        </w:rPr>
        <w:t xml:space="preserve">online </w:t>
      </w:r>
      <w:r w:rsidR="004E7E05" w:rsidRPr="00955AC1">
        <w:rPr>
          <w:rFonts w:ascii="Times New Roman" w:hAnsi="Times New Roman" w:cs="Times New Roman"/>
          <w:b/>
          <w:bCs/>
        </w:rPr>
        <w:t>survey</w:t>
      </w:r>
      <w:r w:rsidR="004C2389" w:rsidRPr="00955AC1">
        <w:rPr>
          <w:rFonts w:ascii="Times New Roman" w:hAnsi="Times New Roman" w:cs="Times New Roman"/>
          <w:b/>
          <w:bCs/>
        </w:rPr>
        <w:t>?</w:t>
      </w:r>
      <w:r w:rsidR="004E7E05" w:rsidRPr="00955AC1">
        <w:rPr>
          <w:rFonts w:ascii="Times New Roman" w:hAnsi="Times New Roman" w:cs="Times New Roman"/>
        </w:rPr>
        <w:t xml:space="preserve"> P</w:t>
      </w:r>
      <w:r w:rsidR="00CD140E" w:rsidRPr="00955AC1">
        <w:rPr>
          <w:rFonts w:ascii="Times New Roman" w:hAnsi="Times New Roman" w:cs="Times New Roman"/>
        </w:rPr>
        <w:t xml:space="preserve">lease email </w:t>
      </w:r>
      <w:hyperlink r:id="rId13" w:history="1">
        <w:r w:rsidR="00CD140E" w:rsidRPr="00955AC1">
          <w:rPr>
            <w:rStyle w:val="Hyperlink"/>
            <w:rFonts w:ascii="Times New Roman" w:hAnsi="Times New Roman" w:cs="Times New Roman"/>
          </w:rPr>
          <w:t>hfdround@dca.ga.gov</w:t>
        </w:r>
      </w:hyperlink>
      <w:r w:rsidR="00CD140E" w:rsidRPr="00955AC1">
        <w:rPr>
          <w:rFonts w:ascii="Times New Roman" w:hAnsi="Times New Roman" w:cs="Times New Roman"/>
        </w:rPr>
        <w:t xml:space="preserve">. </w:t>
      </w:r>
    </w:p>
    <w:p w14:paraId="7AADDF75" w14:textId="77777777" w:rsidR="00980FCE" w:rsidRPr="00955AC1" w:rsidRDefault="009E0E40" w:rsidP="006F437F">
      <w:pPr>
        <w:pStyle w:val="ListParagraph"/>
        <w:numPr>
          <w:ilvl w:val="0"/>
          <w:numId w:val="3"/>
        </w:numPr>
        <w:rPr>
          <w:rFonts w:ascii="Times New Roman" w:hAnsi="Times New Roman" w:cs="Times New Roman"/>
        </w:rPr>
      </w:pPr>
      <w:r w:rsidRPr="00955AC1">
        <w:rPr>
          <w:rFonts w:ascii="Times New Roman" w:hAnsi="Times New Roman" w:cs="Times New Roman"/>
          <w:b/>
          <w:bCs/>
        </w:rPr>
        <w:t xml:space="preserve">Concerned </w:t>
      </w:r>
      <w:r w:rsidR="00935E6E" w:rsidRPr="00955AC1">
        <w:rPr>
          <w:rFonts w:ascii="Times New Roman" w:hAnsi="Times New Roman" w:cs="Times New Roman"/>
          <w:b/>
          <w:bCs/>
        </w:rPr>
        <w:t xml:space="preserve">about the timing of DCA’s response? </w:t>
      </w:r>
    </w:p>
    <w:p w14:paraId="28DE8BF9" w14:textId="5230886D" w:rsidR="00B75985" w:rsidRPr="00955AC1" w:rsidRDefault="00160EFE" w:rsidP="006F437F">
      <w:pPr>
        <w:pStyle w:val="ListParagraph"/>
        <w:numPr>
          <w:ilvl w:val="1"/>
          <w:numId w:val="3"/>
        </w:numPr>
        <w:rPr>
          <w:rFonts w:ascii="Times New Roman" w:hAnsi="Times New Roman" w:cs="Times New Roman"/>
        </w:rPr>
      </w:pPr>
      <w:r w:rsidRPr="00955AC1">
        <w:rPr>
          <w:rFonts w:ascii="Times New Roman" w:hAnsi="Times New Roman" w:cs="Times New Roman"/>
        </w:rPr>
        <w:t xml:space="preserve">If </w:t>
      </w:r>
      <w:r w:rsidR="00A50962" w:rsidRPr="00955AC1">
        <w:rPr>
          <w:rFonts w:ascii="Times New Roman" w:hAnsi="Times New Roman" w:cs="Times New Roman"/>
        </w:rPr>
        <w:t xml:space="preserve">you believe a question is </w:t>
      </w:r>
      <w:r w:rsidR="009F7F0B" w:rsidRPr="00955AC1">
        <w:rPr>
          <w:rFonts w:ascii="Times New Roman" w:hAnsi="Times New Roman" w:cs="Times New Roman"/>
        </w:rPr>
        <w:t>time sensitive and should be prioritized</w:t>
      </w:r>
      <w:r w:rsidR="00666D5B" w:rsidRPr="00955AC1">
        <w:rPr>
          <w:rFonts w:ascii="Times New Roman" w:hAnsi="Times New Roman" w:cs="Times New Roman"/>
        </w:rPr>
        <w:t xml:space="preserve"> for publication</w:t>
      </w:r>
      <w:r w:rsidR="009F7F0B" w:rsidRPr="00955AC1">
        <w:rPr>
          <w:rFonts w:ascii="Times New Roman" w:hAnsi="Times New Roman" w:cs="Times New Roman"/>
        </w:rPr>
        <w:t xml:space="preserve">, </w:t>
      </w:r>
      <w:r w:rsidR="00B36E85" w:rsidRPr="00955AC1">
        <w:rPr>
          <w:rFonts w:ascii="Times New Roman" w:hAnsi="Times New Roman" w:cs="Times New Roman"/>
        </w:rPr>
        <w:t xml:space="preserve">please indicate this in </w:t>
      </w:r>
      <w:r w:rsidR="003A242F" w:rsidRPr="00955AC1">
        <w:rPr>
          <w:rFonts w:ascii="Times New Roman" w:hAnsi="Times New Roman" w:cs="Times New Roman"/>
        </w:rPr>
        <w:t>your submission</w:t>
      </w:r>
      <w:r w:rsidR="00B36E85" w:rsidRPr="00955AC1">
        <w:rPr>
          <w:rFonts w:ascii="Times New Roman" w:hAnsi="Times New Roman" w:cs="Times New Roman"/>
        </w:rPr>
        <w:t xml:space="preserve">. </w:t>
      </w:r>
    </w:p>
    <w:p w14:paraId="0E30F057" w14:textId="30C0B8F9" w:rsidR="00ED26AE" w:rsidRPr="00955AC1" w:rsidRDefault="00666D5B" w:rsidP="006F437F">
      <w:pPr>
        <w:pStyle w:val="ListParagraph"/>
        <w:numPr>
          <w:ilvl w:val="1"/>
          <w:numId w:val="3"/>
        </w:numPr>
        <w:rPr>
          <w:rFonts w:ascii="Times New Roman" w:hAnsi="Times New Roman" w:cs="Times New Roman"/>
        </w:rPr>
      </w:pPr>
      <w:r w:rsidRPr="00955AC1">
        <w:rPr>
          <w:rFonts w:ascii="Times New Roman" w:hAnsi="Times New Roman" w:cs="Times New Roman"/>
        </w:rPr>
        <w:t xml:space="preserve">If you have already </w:t>
      </w:r>
      <w:r w:rsidR="00B34178" w:rsidRPr="00955AC1">
        <w:rPr>
          <w:rFonts w:ascii="Times New Roman" w:hAnsi="Times New Roman" w:cs="Times New Roman"/>
        </w:rPr>
        <w:t xml:space="preserve">submitted your question and are concerned about DCA’s response timing, please email </w:t>
      </w:r>
      <w:hyperlink r:id="rId14" w:history="1">
        <w:r w:rsidR="00305E3C" w:rsidRPr="00955AC1">
          <w:rPr>
            <w:rStyle w:val="Hyperlink"/>
            <w:rFonts w:ascii="Times New Roman" w:hAnsi="Times New Roman" w:cs="Times New Roman"/>
          </w:rPr>
          <w:t>hfdround@dca.ga.gov</w:t>
        </w:r>
      </w:hyperlink>
      <w:r w:rsidR="00557B16" w:rsidRPr="00955AC1">
        <w:rPr>
          <w:rFonts w:ascii="Times New Roman" w:hAnsi="Times New Roman" w:cs="Times New Roman"/>
        </w:rPr>
        <w:t xml:space="preserve">. </w:t>
      </w:r>
    </w:p>
    <w:p w14:paraId="483D250E" w14:textId="3A8FD1C2" w:rsidR="0026322C" w:rsidRPr="00955AC1" w:rsidRDefault="00ED26AE" w:rsidP="006F437F">
      <w:pPr>
        <w:pStyle w:val="ListParagraph"/>
        <w:numPr>
          <w:ilvl w:val="0"/>
          <w:numId w:val="3"/>
        </w:numPr>
        <w:rPr>
          <w:rFonts w:ascii="Times New Roman" w:hAnsi="Times New Roman" w:cs="Times New Roman"/>
        </w:rPr>
      </w:pPr>
      <w:r w:rsidRPr="00955AC1">
        <w:rPr>
          <w:rFonts w:ascii="Times New Roman" w:hAnsi="Times New Roman" w:cs="Times New Roman"/>
          <w:b/>
          <w:bCs/>
        </w:rPr>
        <w:t>Have a project-specific question?</w:t>
      </w:r>
      <w:r w:rsidRPr="00955AC1">
        <w:rPr>
          <w:rFonts w:ascii="Times New Roman" w:hAnsi="Times New Roman" w:cs="Times New Roman"/>
        </w:rPr>
        <w:t xml:space="preserve"> </w:t>
      </w:r>
      <w:r w:rsidR="00037557" w:rsidRPr="00955AC1">
        <w:rPr>
          <w:rFonts w:ascii="Times New Roman" w:hAnsi="Times New Roman" w:cs="Times New Roman"/>
        </w:rPr>
        <w:t xml:space="preserve">There is no separate option for “project-specific” questions. </w:t>
      </w:r>
      <w:r w:rsidR="00A01F3E" w:rsidRPr="00955AC1">
        <w:rPr>
          <w:rFonts w:ascii="Times New Roman" w:hAnsi="Times New Roman" w:cs="Times New Roman"/>
        </w:rPr>
        <w:t>A</w:t>
      </w:r>
      <w:r w:rsidR="003F73AF" w:rsidRPr="00955AC1">
        <w:rPr>
          <w:rFonts w:ascii="Times New Roman" w:hAnsi="Times New Roman" w:cs="Times New Roman"/>
        </w:rPr>
        <w:t xml:space="preserve">ll questions </w:t>
      </w:r>
      <w:r w:rsidR="00281571" w:rsidRPr="00955AC1">
        <w:rPr>
          <w:rFonts w:ascii="Times New Roman" w:hAnsi="Times New Roman" w:cs="Times New Roman"/>
        </w:rPr>
        <w:t>go through the same</w:t>
      </w:r>
      <w:r w:rsidR="00A879AB" w:rsidRPr="00955AC1">
        <w:rPr>
          <w:rFonts w:ascii="Times New Roman" w:hAnsi="Times New Roman" w:cs="Times New Roman"/>
        </w:rPr>
        <w:t xml:space="preserve"> publication process. </w:t>
      </w:r>
      <w:r w:rsidR="005B2371" w:rsidRPr="00955AC1">
        <w:rPr>
          <w:rFonts w:ascii="Times New Roman" w:hAnsi="Times New Roman" w:cs="Times New Roman"/>
        </w:rPr>
        <w:t xml:space="preserve"> </w:t>
      </w:r>
      <w:r w:rsidR="002E6451" w:rsidRPr="00955AC1">
        <w:rPr>
          <w:rFonts w:ascii="Times New Roman" w:hAnsi="Times New Roman" w:cs="Times New Roman"/>
        </w:rPr>
        <w:t xml:space="preserve"> </w:t>
      </w:r>
    </w:p>
    <w:p w14:paraId="429BCD4E" w14:textId="5994FD4E" w:rsidR="00320169" w:rsidRPr="00955AC1" w:rsidRDefault="00320169" w:rsidP="006F437F">
      <w:pPr>
        <w:pStyle w:val="ListParagraph"/>
        <w:numPr>
          <w:ilvl w:val="0"/>
          <w:numId w:val="3"/>
        </w:numPr>
        <w:rPr>
          <w:rFonts w:ascii="Times New Roman" w:hAnsi="Times New Roman" w:cs="Times New Roman"/>
        </w:rPr>
      </w:pPr>
      <w:r w:rsidRPr="00955AC1">
        <w:rPr>
          <w:rFonts w:ascii="Times New Roman" w:hAnsi="Times New Roman" w:cs="Times New Roman"/>
          <w:b/>
          <w:bCs/>
        </w:rPr>
        <w:t xml:space="preserve">Want to </w:t>
      </w:r>
      <w:r w:rsidR="00D80A78" w:rsidRPr="00955AC1">
        <w:rPr>
          <w:rFonts w:ascii="Times New Roman" w:hAnsi="Times New Roman" w:cs="Times New Roman"/>
          <w:b/>
          <w:bCs/>
        </w:rPr>
        <w:t xml:space="preserve">add context to </w:t>
      </w:r>
      <w:r w:rsidRPr="00955AC1">
        <w:rPr>
          <w:rFonts w:ascii="Times New Roman" w:hAnsi="Times New Roman" w:cs="Times New Roman"/>
          <w:b/>
          <w:bCs/>
        </w:rPr>
        <w:t>a previously</w:t>
      </w:r>
      <w:r w:rsidR="00243C0C" w:rsidRPr="00955AC1">
        <w:rPr>
          <w:rFonts w:ascii="Times New Roman" w:hAnsi="Times New Roman" w:cs="Times New Roman"/>
          <w:b/>
          <w:bCs/>
        </w:rPr>
        <w:t>-</w:t>
      </w:r>
      <w:r w:rsidRPr="00955AC1">
        <w:rPr>
          <w:rFonts w:ascii="Times New Roman" w:hAnsi="Times New Roman" w:cs="Times New Roman"/>
          <w:b/>
          <w:bCs/>
        </w:rPr>
        <w:t xml:space="preserve">submitted question? </w:t>
      </w:r>
      <w:r w:rsidR="00EA4A6E" w:rsidRPr="00955AC1">
        <w:rPr>
          <w:rFonts w:ascii="Times New Roman" w:hAnsi="Times New Roman" w:cs="Times New Roman"/>
        </w:rPr>
        <w:t xml:space="preserve">DCA updates </w:t>
      </w:r>
      <w:r w:rsidR="00526338" w:rsidRPr="00955AC1">
        <w:rPr>
          <w:rFonts w:ascii="Times New Roman" w:hAnsi="Times New Roman" w:cs="Times New Roman"/>
        </w:rPr>
        <w:t>the Q&amp;A postings based on what has been submitted through the online survey. To ensure your comment is considered, please</w:t>
      </w:r>
      <w:r w:rsidR="00EA4A6E" w:rsidRPr="00955AC1">
        <w:rPr>
          <w:rFonts w:ascii="Times New Roman" w:hAnsi="Times New Roman" w:cs="Times New Roman"/>
        </w:rPr>
        <w:t xml:space="preserve"> </w:t>
      </w:r>
      <w:r w:rsidR="00756E57" w:rsidRPr="00955AC1">
        <w:rPr>
          <w:rFonts w:ascii="Times New Roman" w:hAnsi="Times New Roman" w:cs="Times New Roman"/>
        </w:rPr>
        <w:t xml:space="preserve">do not email individual DCA staff. Instead, please submit your additional context through the online survey </w:t>
      </w:r>
      <w:r w:rsidR="00CC47B6" w:rsidRPr="00955AC1">
        <w:rPr>
          <w:rFonts w:ascii="Times New Roman" w:hAnsi="Times New Roman" w:cs="Times New Roman"/>
        </w:rPr>
        <w:t>and reference the previously-submitted question.</w:t>
      </w:r>
      <w:r w:rsidR="00447698" w:rsidRPr="00955AC1">
        <w:rPr>
          <w:rFonts w:ascii="Times New Roman" w:hAnsi="Times New Roman" w:cs="Times New Roman"/>
        </w:rPr>
        <w:t xml:space="preserve"> </w:t>
      </w:r>
      <w:r w:rsidRPr="00955AC1">
        <w:rPr>
          <w:rFonts w:ascii="Times New Roman" w:hAnsi="Times New Roman" w:cs="Times New Roman"/>
        </w:rPr>
        <w:t xml:space="preserve"> </w:t>
      </w:r>
    </w:p>
    <w:p w14:paraId="568508D4" w14:textId="16C441B5" w:rsidR="004C6455" w:rsidRPr="00955AC1" w:rsidRDefault="004C6455" w:rsidP="00ED26AE">
      <w:pPr>
        <w:rPr>
          <w:rFonts w:ascii="Times New Roman" w:hAnsi="Times New Roman" w:cs="Times New Roman"/>
        </w:rPr>
      </w:pPr>
    </w:p>
    <w:p w14:paraId="16987001" w14:textId="79948190" w:rsidR="003658C9" w:rsidRPr="00955AC1" w:rsidRDefault="0029286B" w:rsidP="0029286B">
      <w:pPr>
        <w:pStyle w:val="Heading2"/>
        <w:rPr>
          <w:rFonts w:cs="Times New Roman"/>
        </w:rPr>
      </w:pPr>
      <w:r w:rsidRPr="00955AC1">
        <w:rPr>
          <w:rFonts w:cs="Times New Roman"/>
        </w:rPr>
        <w:lastRenderedPageBreak/>
        <w:t>Deadline to Submit Questions</w:t>
      </w:r>
      <w:r w:rsidR="008E7E42" w:rsidRPr="00955AC1">
        <w:rPr>
          <w:rFonts w:cs="Times New Roman"/>
        </w:rPr>
        <w:t xml:space="preserve"> for 4%/Bonds Competitive Round </w:t>
      </w:r>
    </w:p>
    <w:p w14:paraId="3525455B" w14:textId="181469CF" w:rsidR="00131FA9" w:rsidRPr="00955AC1" w:rsidRDefault="00591E07" w:rsidP="006F437F">
      <w:pPr>
        <w:pStyle w:val="ListParagraph"/>
        <w:numPr>
          <w:ilvl w:val="0"/>
          <w:numId w:val="53"/>
        </w:numPr>
        <w:rPr>
          <w:rFonts w:ascii="Times New Roman" w:hAnsi="Times New Roman" w:cs="Times New Roman"/>
        </w:rPr>
      </w:pPr>
      <w:r w:rsidRPr="00955AC1">
        <w:rPr>
          <w:rFonts w:ascii="Times New Roman" w:hAnsi="Times New Roman" w:cs="Times New Roman"/>
        </w:rPr>
        <w:t xml:space="preserve">The deadline to submit questions </w:t>
      </w:r>
      <w:r w:rsidR="00F37773" w:rsidRPr="00955AC1">
        <w:rPr>
          <w:rFonts w:ascii="Times New Roman" w:hAnsi="Times New Roman" w:cs="Times New Roman"/>
        </w:rPr>
        <w:t xml:space="preserve">for purposes of the 4%/Bonds Competitive Round </w:t>
      </w:r>
      <w:r w:rsidRPr="00955AC1">
        <w:rPr>
          <w:rFonts w:ascii="Times New Roman" w:hAnsi="Times New Roman" w:cs="Times New Roman"/>
        </w:rPr>
        <w:t xml:space="preserve">is </w:t>
      </w:r>
      <w:r w:rsidR="009D3175" w:rsidRPr="00955AC1">
        <w:rPr>
          <w:rFonts w:ascii="Times New Roman" w:hAnsi="Times New Roman" w:cs="Times New Roman"/>
          <w:b/>
          <w:bCs/>
        </w:rPr>
        <w:t>Friday, September 30, 2022</w:t>
      </w:r>
      <w:r w:rsidR="00671BB9" w:rsidRPr="00955AC1">
        <w:rPr>
          <w:rFonts w:ascii="Times New Roman" w:hAnsi="Times New Roman" w:cs="Times New Roman"/>
        </w:rPr>
        <w:t>.</w:t>
      </w:r>
      <w:r w:rsidR="0094425C" w:rsidRPr="00955AC1">
        <w:rPr>
          <w:rFonts w:ascii="Times New Roman" w:hAnsi="Times New Roman" w:cs="Times New Roman"/>
        </w:rPr>
        <w:t xml:space="preserve"> </w:t>
      </w:r>
    </w:p>
    <w:p w14:paraId="372C529F" w14:textId="00B58336" w:rsidR="00F93A97" w:rsidRPr="00955AC1" w:rsidRDefault="004D7806" w:rsidP="006F437F">
      <w:pPr>
        <w:pStyle w:val="ListParagraph"/>
        <w:numPr>
          <w:ilvl w:val="0"/>
          <w:numId w:val="53"/>
        </w:numPr>
        <w:rPr>
          <w:rFonts w:ascii="Times New Roman" w:hAnsi="Times New Roman" w:cs="Times New Roman"/>
        </w:rPr>
      </w:pPr>
      <w:r w:rsidRPr="00955AC1">
        <w:rPr>
          <w:rFonts w:ascii="Times New Roman" w:hAnsi="Times New Roman" w:cs="Times New Roman"/>
        </w:rPr>
        <w:t>This deadline is to ensure that</w:t>
      </w:r>
      <w:r w:rsidR="000D7DA3" w:rsidRPr="00955AC1">
        <w:rPr>
          <w:rFonts w:ascii="Times New Roman" w:hAnsi="Times New Roman" w:cs="Times New Roman"/>
        </w:rPr>
        <w:t xml:space="preserve"> all applicants have sufficient time to</w:t>
      </w:r>
      <w:r w:rsidR="00081752" w:rsidRPr="00955AC1">
        <w:rPr>
          <w:rFonts w:ascii="Times New Roman" w:hAnsi="Times New Roman" w:cs="Times New Roman"/>
        </w:rPr>
        <w:t xml:space="preserve"> </w:t>
      </w:r>
      <w:r w:rsidR="003E2E40" w:rsidRPr="00955AC1">
        <w:rPr>
          <w:rFonts w:ascii="Times New Roman" w:hAnsi="Times New Roman" w:cs="Times New Roman"/>
        </w:rPr>
        <w:t xml:space="preserve">react </w:t>
      </w:r>
      <w:r w:rsidR="00081752" w:rsidRPr="00955AC1">
        <w:rPr>
          <w:rFonts w:ascii="Times New Roman" w:hAnsi="Times New Roman" w:cs="Times New Roman"/>
        </w:rPr>
        <w:t xml:space="preserve">to </w:t>
      </w:r>
      <w:r w:rsidR="00A029B5" w:rsidRPr="00955AC1">
        <w:rPr>
          <w:rFonts w:ascii="Times New Roman" w:hAnsi="Times New Roman" w:cs="Times New Roman"/>
        </w:rPr>
        <w:t xml:space="preserve">posted DCA responses </w:t>
      </w:r>
      <w:r w:rsidR="00322065" w:rsidRPr="00955AC1">
        <w:rPr>
          <w:rFonts w:ascii="Times New Roman" w:hAnsi="Times New Roman" w:cs="Times New Roman"/>
        </w:rPr>
        <w:t>before the application submission deadline</w:t>
      </w:r>
      <w:r w:rsidR="00CB5B83" w:rsidRPr="00955AC1">
        <w:rPr>
          <w:rFonts w:ascii="Times New Roman" w:hAnsi="Times New Roman" w:cs="Times New Roman"/>
        </w:rPr>
        <w:t xml:space="preserve">. </w:t>
      </w:r>
    </w:p>
    <w:p w14:paraId="70C79854" w14:textId="54209A7B" w:rsidR="00321263" w:rsidRPr="00955AC1" w:rsidRDefault="00321263" w:rsidP="006F437F">
      <w:pPr>
        <w:pStyle w:val="ListParagraph"/>
        <w:numPr>
          <w:ilvl w:val="0"/>
          <w:numId w:val="53"/>
        </w:numPr>
        <w:rPr>
          <w:rFonts w:ascii="Times New Roman" w:hAnsi="Times New Roman" w:cs="Times New Roman"/>
        </w:rPr>
      </w:pPr>
      <w:r w:rsidRPr="00955AC1">
        <w:rPr>
          <w:rFonts w:ascii="Times New Roman" w:hAnsi="Times New Roman" w:cs="Times New Roman"/>
        </w:rPr>
        <w:t xml:space="preserve">After this deadline, DCA will only respond to questions pertaining to the mechanics of application submission (e.g., </w:t>
      </w:r>
      <w:r w:rsidR="00A77D26" w:rsidRPr="00955AC1">
        <w:rPr>
          <w:rFonts w:ascii="Times New Roman" w:hAnsi="Times New Roman" w:cs="Times New Roman"/>
        </w:rPr>
        <w:t xml:space="preserve">issues </w:t>
      </w:r>
      <w:r w:rsidR="002D6F1A" w:rsidRPr="00955AC1">
        <w:rPr>
          <w:rFonts w:ascii="Times New Roman" w:hAnsi="Times New Roman" w:cs="Times New Roman"/>
        </w:rPr>
        <w:t>accessing the online application portal</w:t>
      </w:r>
      <w:r w:rsidR="008C2106" w:rsidRPr="00955AC1">
        <w:rPr>
          <w:rFonts w:ascii="Times New Roman" w:hAnsi="Times New Roman" w:cs="Times New Roman"/>
        </w:rPr>
        <w:t xml:space="preserve">, </w:t>
      </w:r>
      <w:proofErr w:type="spellStart"/>
      <w:r w:rsidR="008C2106" w:rsidRPr="00955AC1">
        <w:rPr>
          <w:rFonts w:ascii="Times New Roman" w:hAnsi="Times New Roman" w:cs="Times New Roman"/>
        </w:rPr>
        <w:t>Emphasys</w:t>
      </w:r>
      <w:proofErr w:type="spellEnd"/>
      <w:r w:rsidR="002D6F1A" w:rsidRPr="00955AC1">
        <w:rPr>
          <w:rFonts w:ascii="Times New Roman" w:hAnsi="Times New Roman" w:cs="Times New Roman"/>
        </w:rPr>
        <w:t xml:space="preserve">). </w:t>
      </w:r>
      <w:r w:rsidR="00F239E2" w:rsidRPr="00955AC1">
        <w:rPr>
          <w:rFonts w:ascii="Times New Roman" w:hAnsi="Times New Roman" w:cs="Times New Roman"/>
        </w:rPr>
        <w:br/>
      </w:r>
    </w:p>
    <w:p w14:paraId="0343A782" w14:textId="05D2FF4D" w:rsidR="003E4094" w:rsidRPr="00955AC1" w:rsidRDefault="004007BE" w:rsidP="004007BE">
      <w:pPr>
        <w:pStyle w:val="Heading2"/>
        <w:rPr>
          <w:rFonts w:cs="Times New Roman"/>
        </w:rPr>
      </w:pPr>
      <w:r w:rsidRPr="00955AC1">
        <w:rPr>
          <w:rFonts w:cs="Times New Roman"/>
        </w:rPr>
        <w:t xml:space="preserve">Q&amp;A Document Update Process  </w:t>
      </w:r>
    </w:p>
    <w:p w14:paraId="1220E74B" w14:textId="77777777" w:rsidR="006508C5" w:rsidRPr="00955AC1" w:rsidRDefault="00C80CAC" w:rsidP="006F437F">
      <w:pPr>
        <w:pStyle w:val="ListParagraph"/>
        <w:numPr>
          <w:ilvl w:val="0"/>
          <w:numId w:val="54"/>
        </w:numPr>
        <w:rPr>
          <w:rFonts w:ascii="Times New Roman" w:hAnsi="Times New Roman" w:cs="Times New Roman"/>
        </w:rPr>
      </w:pPr>
      <w:r w:rsidRPr="00955AC1">
        <w:rPr>
          <w:rFonts w:ascii="Times New Roman" w:hAnsi="Times New Roman" w:cs="Times New Roman"/>
        </w:rPr>
        <w:t xml:space="preserve">DCA will update the Q&amp;A document </w:t>
      </w:r>
      <w:r w:rsidR="00DD5513" w:rsidRPr="00955AC1">
        <w:rPr>
          <w:rFonts w:ascii="Times New Roman" w:hAnsi="Times New Roman" w:cs="Times New Roman"/>
        </w:rPr>
        <w:t xml:space="preserve">in small, incremental </w:t>
      </w:r>
      <w:r w:rsidR="006C26C3" w:rsidRPr="00955AC1">
        <w:rPr>
          <w:rFonts w:ascii="Times New Roman" w:hAnsi="Times New Roman" w:cs="Times New Roman"/>
        </w:rPr>
        <w:t xml:space="preserve">response </w:t>
      </w:r>
      <w:r w:rsidR="008C4E1D" w:rsidRPr="00955AC1">
        <w:rPr>
          <w:rFonts w:ascii="Times New Roman" w:hAnsi="Times New Roman" w:cs="Times New Roman"/>
        </w:rPr>
        <w:t>sets</w:t>
      </w:r>
      <w:r w:rsidR="008D68BE" w:rsidRPr="00955AC1">
        <w:rPr>
          <w:rFonts w:ascii="Times New Roman" w:hAnsi="Times New Roman" w:cs="Times New Roman"/>
        </w:rPr>
        <w:t xml:space="preserve">. </w:t>
      </w:r>
    </w:p>
    <w:p w14:paraId="01F7CC9B" w14:textId="3280CC0D" w:rsidR="00F6468A" w:rsidRPr="00955AC1" w:rsidRDefault="00C80CAC" w:rsidP="006F437F">
      <w:pPr>
        <w:pStyle w:val="ListParagraph"/>
        <w:numPr>
          <w:ilvl w:val="0"/>
          <w:numId w:val="54"/>
        </w:numPr>
        <w:rPr>
          <w:rFonts w:ascii="Times New Roman" w:hAnsi="Times New Roman" w:cs="Times New Roman"/>
        </w:rPr>
      </w:pPr>
      <w:r w:rsidRPr="00955AC1">
        <w:rPr>
          <w:rFonts w:ascii="Times New Roman" w:hAnsi="Times New Roman" w:cs="Times New Roman"/>
        </w:rPr>
        <w:t xml:space="preserve">DCA will not send an email notification each time the Q&amp;A document is updated. </w:t>
      </w:r>
    </w:p>
    <w:p w14:paraId="578FB17C" w14:textId="4A292F11" w:rsidR="00E92415" w:rsidRPr="00955AC1" w:rsidRDefault="004E0FC2" w:rsidP="006F437F">
      <w:pPr>
        <w:pStyle w:val="ListParagraph"/>
        <w:numPr>
          <w:ilvl w:val="0"/>
          <w:numId w:val="54"/>
        </w:numPr>
        <w:rPr>
          <w:rFonts w:ascii="Times New Roman" w:hAnsi="Times New Roman" w:cs="Times New Roman"/>
        </w:rPr>
      </w:pPr>
      <w:r w:rsidRPr="00955AC1">
        <w:rPr>
          <w:rFonts w:ascii="Times New Roman" w:hAnsi="Times New Roman" w:cs="Times New Roman"/>
        </w:rPr>
        <w:t>P</w:t>
      </w:r>
      <w:r w:rsidR="00C80CAC" w:rsidRPr="00955AC1">
        <w:rPr>
          <w:rFonts w:ascii="Times New Roman" w:hAnsi="Times New Roman" w:cs="Times New Roman"/>
        </w:rPr>
        <w:t xml:space="preserve">lease monitor the “Updated” date by the Q&amp;A document on the DCA website to track when DCA has released additional responses. </w:t>
      </w:r>
      <w:r w:rsidR="00C02D9E" w:rsidRPr="00955AC1">
        <w:rPr>
          <w:rFonts w:ascii="Times New Roman" w:hAnsi="Times New Roman" w:cs="Times New Roman"/>
        </w:rPr>
        <w:t xml:space="preserve">By default, the table below will be sorted such that the most recent responses are at the top. </w:t>
      </w:r>
      <w:r w:rsidR="00A903A7" w:rsidRPr="00955AC1">
        <w:rPr>
          <w:rFonts w:ascii="Times New Roman" w:hAnsi="Times New Roman" w:cs="Times New Roman"/>
        </w:rPr>
        <w:br/>
      </w:r>
    </w:p>
    <w:p w14:paraId="423C9AD6" w14:textId="1D6A3B26" w:rsidR="00FA1839" w:rsidRPr="00955AC1" w:rsidRDefault="00FA1839" w:rsidP="007C2E65">
      <w:pPr>
        <w:pStyle w:val="Heading2"/>
      </w:pPr>
      <w:r w:rsidRPr="00955AC1">
        <w:t>Note</w:t>
      </w:r>
      <w:r w:rsidR="00AF6E86" w:rsidRPr="00955AC1">
        <w:t xml:space="preserve"> on </w:t>
      </w:r>
      <w:r w:rsidRPr="00955AC1">
        <w:t xml:space="preserve">Q&amp;A </w:t>
      </w:r>
      <w:r w:rsidR="007160B4" w:rsidRPr="00955AC1">
        <w:t xml:space="preserve">Posted </w:t>
      </w:r>
      <w:r w:rsidR="00C131A2" w:rsidRPr="00955AC1">
        <w:t xml:space="preserve">for </w:t>
      </w:r>
      <w:r w:rsidR="004D099B" w:rsidRPr="00955AC1">
        <w:t xml:space="preserve">Purposes of </w:t>
      </w:r>
      <w:r w:rsidR="00C131A2" w:rsidRPr="00955AC1">
        <w:t xml:space="preserve">2022 9% Round </w:t>
      </w:r>
    </w:p>
    <w:p w14:paraId="7985FC31" w14:textId="2A25B681" w:rsidR="00FB6CCA" w:rsidRPr="00955AC1" w:rsidRDefault="009C216C" w:rsidP="007C2E65">
      <w:pPr>
        <w:rPr>
          <w:rFonts w:ascii="Times New Roman" w:hAnsi="Times New Roman" w:cs="Times New Roman"/>
        </w:rPr>
      </w:pPr>
      <w:r w:rsidRPr="00955AC1">
        <w:rPr>
          <w:rFonts w:ascii="Times New Roman" w:hAnsi="Times New Roman" w:cs="Times New Roman"/>
        </w:rPr>
        <w:t xml:space="preserve">This document includes only Q&amp;A relevant to </w:t>
      </w:r>
      <w:r w:rsidR="0018677C" w:rsidRPr="00955AC1">
        <w:rPr>
          <w:rFonts w:ascii="Times New Roman" w:hAnsi="Times New Roman" w:cs="Times New Roman"/>
        </w:rPr>
        <w:t>the 2022 4%/Bonds</w:t>
      </w:r>
      <w:r w:rsidRPr="00955AC1" w:rsidDel="00E92415">
        <w:rPr>
          <w:rFonts w:ascii="Times New Roman" w:hAnsi="Times New Roman" w:cs="Times New Roman"/>
        </w:rPr>
        <w:t xml:space="preserve"> </w:t>
      </w:r>
      <w:r w:rsidR="0018677C" w:rsidRPr="00955AC1">
        <w:rPr>
          <w:rFonts w:ascii="Times New Roman" w:hAnsi="Times New Roman" w:cs="Times New Roman"/>
        </w:rPr>
        <w:t xml:space="preserve">Round. </w:t>
      </w:r>
      <w:r w:rsidR="00FF4E8A" w:rsidRPr="00955AC1">
        <w:rPr>
          <w:rFonts w:ascii="Times New Roman" w:hAnsi="Times New Roman" w:cs="Times New Roman"/>
        </w:rPr>
        <w:t xml:space="preserve">This includes certain Q&amp;A postings that specifically reference the 9% Round, but for which DCA staff determined </w:t>
      </w:r>
      <w:r w:rsidR="00005564" w:rsidRPr="00955AC1">
        <w:rPr>
          <w:rFonts w:ascii="Times New Roman" w:hAnsi="Times New Roman" w:cs="Times New Roman"/>
        </w:rPr>
        <w:t xml:space="preserve">that </w:t>
      </w:r>
      <w:r w:rsidR="00FF4E8A" w:rsidRPr="00955AC1">
        <w:rPr>
          <w:rFonts w:ascii="Times New Roman" w:hAnsi="Times New Roman" w:cs="Times New Roman"/>
        </w:rPr>
        <w:t xml:space="preserve">the response </w:t>
      </w:r>
      <w:r w:rsidR="00AD71C2" w:rsidRPr="00955AC1">
        <w:rPr>
          <w:rFonts w:ascii="Times New Roman" w:hAnsi="Times New Roman" w:cs="Times New Roman"/>
        </w:rPr>
        <w:t xml:space="preserve">has the potential to impact </w:t>
      </w:r>
      <w:r w:rsidR="008E7BB0" w:rsidRPr="00955AC1">
        <w:rPr>
          <w:rFonts w:ascii="Times New Roman" w:hAnsi="Times New Roman" w:cs="Times New Roman"/>
        </w:rPr>
        <w:t xml:space="preserve">certain </w:t>
      </w:r>
      <w:r w:rsidR="00FF4E8A" w:rsidRPr="00955AC1">
        <w:rPr>
          <w:rFonts w:ascii="Times New Roman" w:hAnsi="Times New Roman" w:cs="Times New Roman"/>
        </w:rPr>
        <w:t xml:space="preserve">4%/Bonds applications. </w:t>
      </w:r>
      <w:r w:rsidR="00A903A7" w:rsidRPr="00955AC1">
        <w:rPr>
          <w:rFonts w:ascii="Times New Roman" w:hAnsi="Times New Roman" w:cs="Times New Roman"/>
        </w:rPr>
        <w:br/>
      </w:r>
    </w:p>
    <w:p w14:paraId="3B8D43A9" w14:textId="2347BC2B" w:rsidR="00C80CAC" w:rsidRPr="00955AC1" w:rsidRDefault="00C80CAC" w:rsidP="00035F89">
      <w:pPr>
        <w:pStyle w:val="Heading2"/>
        <w:rPr>
          <w:rFonts w:cs="Times New Roman"/>
        </w:rPr>
      </w:pPr>
      <w:r w:rsidRPr="00955AC1">
        <w:rPr>
          <w:rFonts w:cs="Times New Roman"/>
        </w:rPr>
        <w:t>Navigating</w:t>
      </w:r>
      <w:r w:rsidR="0095013A" w:rsidRPr="00955AC1">
        <w:rPr>
          <w:rFonts w:cs="Times New Roman"/>
        </w:rPr>
        <w:t xml:space="preserve"> the Q&amp;A Table</w:t>
      </w:r>
      <w:r w:rsidRPr="00955AC1">
        <w:rPr>
          <w:rFonts w:cs="Times New Roman"/>
        </w:rPr>
        <w:t xml:space="preserve"> </w:t>
      </w:r>
    </w:p>
    <w:p w14:paraId="0B956C17" w14:textId="1E3CC9A3" w:rsidR="00804F23" w:rsidRPr="00955AC1" w:rsidRDefault="00C80CAC" w:rsidP="00785F6D">
      <w:pPr>
        <w:rPr>
          <w:rFonts w:ascii="Times New Roman" w:hAnsi="Times New Roman" w:cs="Times New Roman"/>
        </w:rPr>
      </w:pPr>
      <w:r w:rsidRPr="00955AC1">
        <w:rPr>
          <w:rFonts w:ascii="Times New Roman" w:hAnsi="Times New Roman" w:cs="Times New Roman"/>
        </w:rPr>
        <w:t xml:space="preserve">The below table, as posted to the DCA website, is sorted in descending order by date posted. </w:t>
      </w:r>
      <w:r w:rsidR="002235D3" w:rsidRPr="00955AC1">
        <w:rPr>
          <w:rFonts w:ascii="Times New Roman" w:hAnsi="Times New Roman" w:cs="Times New Roman"/>
        </w:rPr>
        <w:t xml:space="preserve">If preferred, the </w:t>
      </w:r>
      <w:r w:rsidR="00382A45" w:rsidRPr="00955AC1">
        <w:rPr>
          <w:rFonts w:ascii="Times New Roman" w:hAnsi="Times New Roman" w:cs="Times New Roman"/>
        </w:rPr>
        <w:t xml:space="preserve">document </w:t>
      </w:r>
      <w:r w:rsidRPr="00955AC1">
        <w:rPr>
          <w:rFonts w:ascii="Times New Roman" w:hAnsi="Times New Roman" w:cs="Times New Roman"/>
        </w:rPr>
        <w:t xml:space="preserve">can </w:t>
      </w:r>
      <w:r w:rsidR="00DD4B22" w:rsidRPr="00955AC1">
        <w:rPr>
          <w:rFonts w:ascii="Times New Roman" w:hAnsi="Times New Roman" w:cs="Times New Roman"/>
        </w:rPr>
        <w:t xml:space="preserve">also </w:t>
      </w:r>
      <w:r w:rsidRPr="00955AC1">
        <w:rPr>
          <w:rFonts w:ascii="Times New Roman" w:hAnsi="Times New Roman" w:cs="Times New Roman"/>
        </w:rPr>
        <w:t>be sorted by category</w:t>
      </w:r>
      <w:r w:rsidR="00A32665" w:rsidRPr="00955AC1">
        <w:rPr>
          <w:rFonts w:ascii="Times New Roman" w:hAnsi="Times New Roman" w:cs="Times New Roman"/>
        </w:rPr>
        <w:t xml:space="preserve"> (in Microsoft Word, </w:t>
      </w:r>
      <w:r w:rsidR="00E85598" w:rsidRPr="00955AC1">
        <w:rPr>
          <w:rFonts w:ascii="Times New Roman" w:hAnsi="Times New Roman" w:cs="Times New Roman"/>
        </w:rPr>
        <w:t xml:space="preserve">select the full table, </w:t>
      </w:r>
      <w:r w:rsidR="00A32665" w:rsidRPr="00955AC1">
        <w:rPr>
          <w:rFonts w:ascii="Times New Roman" w:hAnsi="Times New Roman" w:cs="Times New Roman"/>
        </w:rPr>
        <w:t xml:space="preserve">select “Home” </w:t>
      </w:r>
      <w:r w:rsidR="0070417D" w:rsidRPr="00955AC1">
        <w:rPr>
          <w:rFonts w:ascii="Wingdings" w:eastAsia="Wingdings" w:hAnsi="Wingdings" w:cs="Wingdings"/>
        </w:rPr>
        <w:t>à</w:t>
      </w:r>
      <w:r w:rsidR="00A32665" w:rsidRPr="00955AC1">
        <w:rPr>
          <w:rFonts w:ascii="Times New Roman" w:hAnsi="Times New Roman" w:cs="Times New Roman"/>
        </w:rPr>
        <w:t xml:space="preserve"> </w:t>
      </w:r>
      <w:r w:rsidR="001C1B3F" w:rsidRPr="00955AC1">
        <w:rPr>
          <w:rFonts w:ascii="Times New Roman" w:hAnsi="Times New Roman" w:cs="Times New Roman"/>
        </w:rPr>
        <w:t>“Sort”</w:t>
      </w:r>
      <w:r w:rsidR="00B82A7F" w:rsidRPr="00955AC1">
        <w:rPr>
          <w:rFonts w:ascii="Times New Roman" w:hAnsi="Times New Roman" w:cs="Times New Roman"/>
        </w:rPr>
        <w:t xml:space="preserve">, </w:t>
      </w:r>
      <w:r w:rsidR="001C1B3F" w:rsidRPr="00955AC1">
        <w:rPr>
          <w:rFonts w:ascii="Times New Roman" w:hAnsi="Times New Roman" w:cs="Times New Roman"/>
        </w:rPr>
        <w:t xml:space="preserve">under </w:t>
      </w:r>
      <w:r w:rsidR="008B470F" w:rsidRPr="00955AC1">
        <w:rPr>
          <w:rFonts w:ascii="Times New Roman" w:hAnsi="Times New Roman" w:cs="Times New Roman"/>
        </w:rPr>
        <w:t xml:space="preserve">the </w:t>
      </w:r>
      <w:r w:rsidR="001C1B3F" w:rsidRPr="00955AC1">
        <w:rPr>
          <w:rFonts w:ascii="Times New Roman" w:hAnsi="Times New Roman" w:cs="Times New Roman"/>
        </w:rPr>
        <w:t>Paragraph section</w:t>
      </w:r>
      <w:r w:rsidR="00B82A7F" w:rsidRPr="00955AC1">
        <w:rPr>
          <w:rFonts w:ascii="Times New Roman" w:hAnsi="Times New Roman" w:cs="Times New Roman"/>
        </w:rPr>
        <w:t>)</w:t>
      </w:r>
      <w:r w:rsidRPr="00955AC1">
        <w:rPr>
          <w:rFonts w:ascii="Times New Roman" w:hAnsi="Times New Roman" w:cs="Times New Roman"/>
        </w:rPr>
        <w:t xml:space="preserve">. </w:t>
      </w:r>
    </w:p>
    <w:p w14:paraId="578628CE" w14:textId="00FB6021" w:rsidR="00A4436B" w:rsidRPr="00955AC1" w:rsidRDefault="00A4436B" w:rsidP="00785F6D">
      <w:pPr>
        <w:rPr>
          <w:rFonts w:ascii="Times New Roman" w:hAnsi="Times New Roman" w:cs="Times New Roman"/>
        </w:rPr>
      </w:pPr>
      <w:r w:rsidRPr="00955AC1">
        <w:rPr>
          <w:rFonts w:ascii="Times New Roman" w:hAnsi="Times New Roman" w:cs="Times New Roman"/>
        </w:rPr>
        <w:t>In the window that pops up, select the following:</w:t>
      </w:r>
    </w:p>
    <w:p w14:paraId="6F90EB88" w14:textId="61707B93" w:rsidR="00CC5812" w:rsidRPr="00955AC1" w:rsidRDefault="0015268E" w:rsidP="006F437F">
      <w:pPr>
        <w:pStyle w:val="ListParagraph"/>
        <w:numPr>
          <w:ilvl w:val="0"/>
          <w:numId w:val="5"/>
        </w:numPr>
        <w:rPr>
          <w:rFonts w:ascii="Times New Roman" w:hAnsi="Times New Roman" w:cs="Times New Roman"/>
        </w:rPr>
      </w:pPr>
      <w:r w:rsidRPr="00955AC1">
        <w:rPr>
          <w:rFonts w:ascii="Times New Roman" w:hAnsi="Times New Roman" w:cs="Times New Roman"/>
        </w:rPr>
        <w:t xml:space="preserve">The </w:t>
      </w:r>
      <w:r w:rsidRPr="00955AC1">
        <w:rPr>
          <w:rFonts w:ascii="Times New Roman" w:hAnsi="Times New Roman" w:cs="Times New Roman"/>
          <w:b/>
          <w:bCs/>
        </w:rPr>
        <w:t>Date</w:t>
      </w:r>
      <w:r w:rsidRPr="00955AC1">
        <w:rPr>
          <w:rFonts w:ascii="Times New Roman" w:hAnsi="Times New Roman" w:cs="Times New Roman"/>
        </w:rPr>
        <w:t xml:space="preserve"> </w:t>
      </w:r>
      <w:r w:rsidR="00F13F1A" w:rsidRPr="00955AC1">
        <w:rPr>
          <w:rFonts w:ascii="Times New Roman" w:hAnsi="Times New Roman" w:cs="Times New Roman"/>
          <w:b/>
          <w:bCs/>
        </w:rPr>
        <w:t>Posted</w:t>
      </w:r>
      <w:r w:rsidR="00F13F1A" w:rsidRPr="00955AC1">
        <w:rPr>
          <w:rFonts w:ascii="Times New Roman" w:hAnsi="Times New Roman" w:cs="Times New Roman"/>
        </w:rPr>
        <w:t xml:space="preserve"> column </w:t>
      </w:r>
      <w:r w:rsidRPr="00955AC1">
        <w:rPr>
          <w:rFonts w:ascii="Times New Roman" w:hAnsi="Times New Roman" w:cs="Times New Roman"/>
        </w:rPr>
        <w:t>should be sorted by “Type: Date”</w:t>
      </w:r>
    </w:p>
    <w:p w14:paraId="20EC5B97" w14:textId="43A84189" w:rsidR="0015268E" w:rsidRPr="00955AC1" w:rsidRDefault="0015268E" w:rsidP="006F437F">
      <w:pPr>
        <w:pStyle w:val="ListParagraph"/>
        <w:numPr>
          <w:ilvl w:val="0"/>
          <w:numId w:val="5"/>
        </w:numPr>
        <w:rPr>
          <w:rFonts w:ascii="Times New Roman" w:hAnsi="Times New Roman" w:cs="Times New Roman"/>
        </w:rPr>
      </w:pPr>
      <w:r w:rsidRPr="00955AC1">
        <w:rPr>
          <w:rFonts w:ascii="Times New Roman" w:hAnsi="Times New Roman" w:cs="Times New Roman"/>
        </w:rPr>
        <w:t xml:space="preserve">The </w:t>
      </w:r>
      <w:r w:rsidR="00F13F1A" w:rsidRPr="00955AC1">
        <w:rPr>
          <w:rFonts w:ascii="Times New Roman" w:hAnsi="Times New Roman" w:cs="Times New Roman"/>
          <w:b/>
          <w:bCs/>
        </w:rPr>
        <w:t>Category</w:t>
      </w:r>
      <w:r w:rsidR="00F13F1A" w:rsidRPr="00955AC1">
        <w:rPr>
          <w:rFonts w:ascii="Times New Roman" w:hAnsi="Times New Roman" w:cs="Times New Roman"/>
        </w:rPr>
        <w:t xml:space="preserve"> </w:t>
      </w:r>
      <w:r w:rsidR="00E45BA3" w:rsidRPr="00955AC1">
        <w:rPr>
          <w:rFonts w:ascii="Times New Roman" w:hAnsi="Times New Roman" w:cs="Times New Roman"/>
        </w:rPr>
        <w:t>column should be sorted by “Type: Number”</w:t>
      </w:r>
    </w:p>
    <w:p w14:paraId="29F1DB44" w14:textId="078E0062" w:rsidR="00C80CAC" w:rsidRPr="00955AC1" w:rsidRDefault="00BC6305" w:rsidP="00785F6D">
      <w:pPr>
        <w:rPr>
          <w:rFonts w:ascii="Times New Roman" w:hAnsi="Times New Roman" w:cs="Times New Roman"/>
        </w:rPr>
      </w:pPr>
      <w:r w:rsidRPr="00955AC1">
        <w:rPr>
          <w:rFonts w:ascii="Times New Roman" w:hAnsi="Times New Roman" w:cs="Times New Roman"/>
        </w:rPr>
        <w:t xml:space="preserve">Question categories are assigned a number </w:t>
      </w:r>
      <w:r w:rsidR="00C07BB7" w:rsidRPr="00955AC1">
        <w:rPr>
          <w:rFonts w:ascii="Times New Roman" w:hAnsi="Times New Roman" w:cs="Times New Roman"/>
        </w:rPr>
        <w:t xml:space="preserve">for purposes of </w:t>
      </w:r>
      <w:r w:rsidR="005B23E3" w:rsidRPr="00955AC1">
        <w:rPr>
          <w:rFonts w:ascii="Times New Roman" w:hAnsi="Times New Roman" w:cs="Times New Roman"/>
        </w:rPr>
        <w:t xml:space="preserve">table sorting. </w:t>
      </w:r>
      <w:r w:rsidR="005F0863" w:rsidRPr="00955AC1">
        <w:rPr>
          <w:rFonts w:ascii="Times New Roman" w:hAnsi="Times New Roman" w:cs="Times New Roman"/>
        </w:rPr>
        <w:t xml:space="preserve">Below are the category </w:t>
      </w:r>
      <w:r w:rsidR="00C563EB" w:rsidRPr="00955AC1">
        <w:rPr>
          <w:rFonts w:ascii="Times New Roman" w:hAnsi="Times New Roman" w:cs="Times New Roman"/>
        </w:rPr>
        <w:t xml:space="preserve">breakdowns in the Q&amp;A table: </w:t>
      </w:r>
    </w:p>
    <w:p w14:paraId="3E75901A" w14:textId="146C4CD6" w:rsidR="00C80CAC" w:rsidRPr="00955AC1" w:rsidRDefault="00C80CAC" w:rsidP="006F437F">
      <w:pPr>
        <w:pStyle w:val="ListParagraph"/>
        <w:numPr>
          <w:ilvl w:val="0"/>
          <w:numId w:val="2"/>
        </w:numPr>
        <w:rPr>
          <w:rFonts w:ascii="Times New Roman" w:hAnsi="Times New Roman" w:cs="Times New Roman"/>
        </w:rPr>
      </w:pPr>
      <w:r w:rsidRPr="00955AC1">
        <w:rPr>
          <w:rFonts w:ascii="Times New Roman" w:hAnsi="Times New Roman" w:cs="Times New Roman"/>
        </w:rPr>
        <w:t>1</w:t>
      </w:r>
      <w:r w:rsidR="00223423" w:rsidRPr="00955AC1">
        <w:rPr>
          <w:rFonts w:ascii="Times New Roman" w:hAnsi="Times New Roman" w:cs="Times New Roman"/>
        </w:rPr>
        <w:t xml:space="preserve"> </w:t>
      </w:r>
      <w:r w:rsidRPr="00955AC1">
        <w:rPr>
          <w:rFonts w:ascii="Times New Roman" w:hAnsi="Times New Roman" w:cs="Times New Roman"/>
        </w:rPr>
        <w:t>-</w:t>
      </w:r>
      <w:r w:rsidR="00223423" w:rsidRPr="00955AC1">
        <w:rPr>
          <w:rFonts w:ascii="Times New Roman" w:hAnsi="Times New Roman" w:cs="Times New Roman"/>
        </w:rPr>
        <w:t xml:space="preserve"> </w:t>
      </w:r>
      <w:r w:rsidRPr="00955AC1">
        <w:rPr>
          <w:rFonts w:ascii="Times New Roman" w:hAnsi="Times New Roman" w:cs="Times New Roman"/>
        </w:rPr>
        <w:t>Core Plan</w:t>
      </w:r>
    </w:p>
    <w:p w14:paraId="3F260B77" w14:textId="5241616D" w:rsidR="00C80CAC" w:rsidRPr="00955AC1" w:rsidRDefault="00C80CAC" w:rsidP="006F437F">
      <w:pPr>
        <w:pStyle w:val="ListParagraph"/>
        <w:numPr>
          <w:ilvl w:val="0"/>
          <w:numId w:val="2"/>
        </w:numPr>
        <w:rPr>
          <w:rFonts w:ascii="Times New Roman" w:hAnsi="Times New Roman" w:cs="Times New Roman"/>
        </w:rPr>
      </w:pPr>
      <w:r w:rsidRPr="00955AC1">
        <w:rPr>
          <w:rFonts w:ascii="Times New Roman" w:hAnsi="Times New Roman" w:cs="Times New Roman"/>
        </w:rPr>
        <w:t>2</w:t>
      </w:r>
      <w:r w:rsidR="00223423" w:rsidRPr="00955AC1">
        <w:rPr>
          <w:rFonts w:ascii="Times New Roman" w:hAnsi="Times New Roman" w:cs="Times New Roman"/>
        </w:rPr>
        <w:t xml:space="preserve"> </w:t>
      </w:r>
      <w:r w:rsidRPr="00955AC1">
        <w:rPr>
          <w:rFonts w:ascii="Times New Roman" w:hAnsi="Times New Roman" w:cs="Times New Roman"/>
        </w:rPr>
        <w:t>-</w:t>
      </w:r>
      <w:r w:rsidR="00223423" w:rsidRPr="00955AC1">
        <w:rPr>
          <w:rFonts w:ascii="Times New Roman" w:hAnsi="Times New Roman" w:cs="Times New Roman"/>
        </w:rPr>
        <w:t xml:space="preserve"> </w:t>
      </w:r>
      <w:r w:rsidRPr="00955AC1">
        <w:rPr>
          <w:rFonts w:ascii="Times New Roman" w:hAnsi="Times New Roman" w:cs="Times New Roman"/>
        </w:rPr>
        <w:t>Threshold</w:t>
      </w:r>
    </w:p>
    <w:p w14:paraId="31929BCA" w14:textId="04D17D46" w:rsidR="00C80CAC" w:rsidRPr="00955AC1" w:rsidRDefault="00C80CAC" w:rsidP="006F437F">
      <w:pPr>
        <w:pStyle w:val="ListParagraph"/>
        <w:numPr>
          <w:ilvl w:val="0"/>
          <w:numId w:val="2"/>
        </w:numPr>
        <w:rPr>
          <w:rFonts w:ascii="Times New Roman" w:hAnsi="Times New Roman" w:cs="Times New Roman"/>
        </w:rPr>
      </w:pPr>
      <w:r w:rsidRPr="00955AC1">
        <w:rPr>
          <w:rFonts w:ascii="Times New Roman" w:hAnsi="Times New Roman" w:cs="Times New Roman"/>
        </w:rPr>
        <w:t>3</w:t>
      </w:r>
      <w:r w:rsidR="00223423" w:rsidRPr="00955AC1">
        <w:rPr>
          <w:rFonts w:ascii="Times New Roman" w:hAnsi="Times New Roman" w:cs="Times New Roman"/>
        </w:rPr>
        <w:t xml:space="preserve"> </w:t>
      </w:r>
      <w:r w:rsidRPr="00955AC1">
        <w:rPr>
          <w:rFonts w:ascii="Times New Roman" w:hAnsi="Times New Roman" w:cs="Times New Roman"/>
        </w:rPr>
        <w:t>-</w:t>
      </w:r>
      <w:r w:rsidR="00223423" w:rsidRPr="00955AC1">
        <w:rPr>
          <w:rFonts w:ascii="Times New Roman" w:hAnsi="Times New Roman" w:cs="Times New Roman"/>
        </w:rPr>
        <w:t xml:space="preserve"> </w:t>
      </w:r>
      <w:r w:rsidRPr="00955AC1">
        <w:rPr>
          <w:rFonts w:ascii="Times New Roman" w:hAnsi="Times New Roman" w:cs="Times New Roman"/>
        </w:rPr>
        <w:t>Scoring</w:t>
      </w:r>
    </w:p>
    <w:p w14:paraId="2AD395B0" w14:textId="6A3B6B35" w:rsidR="00C80CAC" w:rsidRPr="00955AC1" w:rsidRDefault="00C80CAC" w:rsidP="006F437F">
      <w:pPr>
        <w:pStyle w:val="ListParagraph"/>
        <w:numPr>
          <w:ilvl w:val="0"/>
          <w:numId w:val="2"/>
        </w:numPr>
        <w:rPr>
          <w:rFonts w:ascii="Times New Roman" w:hAnsi="Times New Roman" w:cs="Times New Roman"/>
        </w:rPr>
      </w:pPr>
      <w:r w:rsidRPr="00955AC1">
        <w:rPr>
          <w:rFonts w:ascii="Times New Roman" w:hAnsi="Times New Roman" w:cs="Times New Roman"/>
        </w:rPr>
        <w:t>4</w:t>
      </w:r>
      <w:r w:rsidR="00223423" w:rsidRPr="00955AC1">
        <w:rPr>
          <w:rFonts w:ascii="Times New Roman" w:hAnsi="Times New Roman" w:cs="Times New Roman"/>
        </w:rPr>
        <w:t xml:space="preserve"> </w:t>
      </w:r>
      <w:r w:rsidRPr="00955AC1">
        <w:rPr>
          <w:rFonts w:ascii="Times New Roman" w:hAnsi="Times New Roman" w:cs="Times New Roman"/>
        </w:rPr>
        <w:t>-</w:t>
      </w:r>
      <w:r w:rsidR="00223423" w:rsidRPr="00955AC1">
        <w:rPr>
          <w:rFonts w:ascii="Times New Roman" w:hAnsi="Times New Roman" w:cs="Times New Roman"/>
        </w:rPr>
        <w:t xml:space="preserve"> </w:t>
      </w:r>
      <w:r w:rsidRPr="00955AC1">
        <w:rPr>
          <w:rFonts w:ascii="Times New Roman" w:hAnsi="Times New Roman" w:cs="Times New Roman"/>
        </w:rPr>
        <w:t>Compliance Appendix</w:t>
      </w:r>
    </w:p>
    <w:p w14:paraId="146DFBAF" w14:textId="26C78983" w:rsidR="00201415" w:rsidRPr="00955AC1" w:rsidRDefault="00E0233D" w:rsidP="006F437F">
      <w:pPr>
        <w:pStyle w:val="ListParagraph"/>
        <w:numPr>
          <w:ilvl w:val="0"/>
          <w:numId w:val="2"/>
        </w:numPr>
        <w:rPr>
          <w:rFonts w:ascii="Times New Roman" w:hAnsi="Times New Roman" w:cs="Times New Roman"/>
        </w:rPr>
      </w:pPr>
      <w:r w:rsidRPr="00955AC1">
        <w:rPr>
          <w:rFonts w:ascii="Times New Roman" w:hAnsi="Times New Roman" w:cs="Times New Roman"/>
        </w:rPr>
        <w:lastRenderedPageBreak/>
        <w:t>5</w:t>
      </w:r>
      <w:r w:rsidR="00223423" w:rsidRPr="00955AC1">
        <w:rPr>
          <w:rFonts w:ascii="Times New Roman" w:hAnsi="Times New Roman" w:cs="Times New Roman"/>
        </w:rPr>
        <w:t xml:space="preserve"> </w:t>
      </w:r>
      <w:r w:rsidR="00110808" w:rsidRPr="00955AC1">
        <w:rPr>
          <w:rFonts w:ascii="Times New Roman" w:hAnsi="Times New Roman" w:cs="Times New Roman"/>
        </w:rPr>
        <w:t>-</w:t>
      </w:r>
      <w:r w:rsidR="00223423" w:rsidRPr="00955AC1">
        <w:rPr>
          <w:rFonts w:ascii="Times New Roman" w:hAnsi="Times New Roman" w:cs="Times New Roman"/>
        </w:rPr>
        <w:t xml:space="preserve"> </w:t>
      </w:r>
      <w:proofErr w:type="spellStart"/>
      <w:r w:rsidR="00C72428" w:rsidRPr="00955AC1">
        <w:rPr>
          <w:rFonts w:ascii="Times New Roman" w:hAnsi="Times New Roman" w:cs="Times New Roman"/>
        </w:rPr>
        <w:t>Emphasys</w:t>
      </w:r>
      <w:proofErr w:type="spellEnd"/>
      <w:r w:rsidR="00C72428" w:rsidRPr="00955AC1">
        <w:rPr>
          <w:rFonts w:ascii="Times New Roman" w:hAnsi="Times New Roman" w:cs="Times New Roman"/>
        </w:rPr>
        <w:t xml:space="preserve"> </w:t>
      </w:r>
      <w:r w:rsidR="00A056E8" w:rsidRPr="00955AC1">
        <w:rPr>
          <w:rFonts w:ascii="Times New Roman" w:hAnsi="Times New Roman" w:cs="Times New Roman"/>
        </w:rPr>
        <w:t xml:space="preserve">Application Portal </w:t>
      </w:r>
    </w:p>
    <w:p w14:paraId="1F1797E7" w14:textId="0E7B2762" w:rsidR="00CA06E8" w:rsidRPr="00955AC1" w:rsidRDefault="00E0233D" w:rsidP="006F437F">
      <w:pPr>
        <w:pStyle w:val="ListParagraph"/>
        <w:numPr>
          <w:ilvl w:val="0"/>
          <w:numId w:val="2"/>
        </w:numPr>
        <w:rPr>
          <w:rFonts w:ascii="Times New Roman" w:hAnsi="Times New Roman" w:cs="Times New Roman"/>
        </w:rPr>
      </w:pPr>
      <w:r w:rsidRPr="00955AC1">
        <w:rPr>
          <w:rFonts w:ascii="Times New Roman" w:hAnsi="Times New Roman" w:cs="Times New Roman"/>
        </w:rPr>
        <w:t>6</w:t>
      </w:r>
      <w:r w:rsidR="00223423" w:rsidRPr="00955AC1">
        <w:rPr>
          <w:rFonts w:ascii="Times New Roman" w:hAnsi="Times New Roman" w:cs="Times New Roman"/>
        </w:rPr>
        <w:t xml:space="preserve"> </w:t>
      </w:r>
      <w:r w:rsidR="00A44A2A" w:rsidRPr="00955AC1">
        <w:rPr>
          <w:rFonts w:ascii="Times New Roman" w:hAnsi="Times New Roman" w:cs="Times New Roman"/>
        </w:rPr>
        <w:t>-</w:t>
      </w:r>
      <w:r w:rsidR="00223423" w:rsidRPr="00955AC1">
        <w:rPr>
          <w:rFonts w:ascii="Times New Roman" w:hAnsi="Times New Roman" w:cs="Times New Roman"/>
        </w:rPr>
        <w:t xml:space="preserve"> </w:t>
      </w:r>
      <w:r w:rsidR="00EE19FE" w:rsidRPr="00955AC1">
        <w:rPr>
          <w:rFonts w:ascii="Times New Roman" w:hAnsi="Times New Roman" w:cs="Times New Roman"/>
        </w:rPr>
        <w:t xml:space="preserve">4%/Bonds Round </w:t>
      </w:r>
      <w:r w:rsidR="00395C5D" w:rsidRPr="00955AC1">
        <w:rPr>
          <w:rFonts w:ascii="Times New Roman" w:hAnsi="Times New Roman" w:cs="Times New Roman"/>
        </w:rPr>
        <w:t xml:space="preserve">Application </w:t>
      </w:r>
      <w:r w:rsidR="003E467A" w:rsidRPr="00955AC1">
        <w:rPr>
          <w:rFonts w:ascii="Times New Roman" w:hAnsi="Times New Roman" w:cs="Times New Roman"/>
        </w:rPr>
        <w:t xml:space="preserve">Requirements and Procedures </w:t>
      </w:r>
      <w:r w:rsidR="003124AD" w:rsidRPr="00955AC1">
        <w:rPr>
          <w:rFonts w:ascii="Times New Roman" w:hAnsi="Times New Roman" w:cs="Times New Roman"/>
        </w:rPr>
        <w:t xml:space="preserve"> </w:t>
      </w:r>
    </w:p>
    <w:p w14:paraId="4D63FE65" w14:textId="09B9A7F0" w:rsidR="00E023E6" w:rsidRPr="00955AC1" w:rsidRDefault="006D4EE6" w:rsidP="006F437F">
      <w:pPr>
        <w:pStyle w:val="ListParagraph"/>
        <w:numPr>
          <w:ilvl w:val="0"/>
          <w:numId w:val="2"/>
        </w:numPr>
        <w:rPr>
          <w:rFonts w:ascii="Times New Roman" w:hAnsi="Times New Roman" w:cs="Times New Roman"/>
        </w:rPr>
      </w:pPr>
      <w:r w:rsidRPr="00955AC1">
        <w:rPr>
          <w:rFonts w:ascii="Times New Roman" w:hAnsi="Times New Roman" w:cs="Times New Roman"/>
        </w:rPr>
        <w:t>7</w:t>
      </w:r>
      <w:r w:rsidR="00EE6685" w:rsidRPr="00955AC1">
        <w:rPr>
          <w:rFonts w:ascii="Times New Roman" w:hAnsi="Times New Roman" w:cs="Times New Roman"/>
        </w:rPr>
        <w:t xml:space="preserve"> </w:t>
      </w:r>
      <w:r w:rsidR="00C80CAC" w:rsidRPr="00955AC1">
        <w:rPr>
          <w:rFonts w:ascii="Times New Roman" w:hAnsi="Times New Roman" w:cs="Times New Roman"/>
        </w:rPr>
        <w:t>-</w:t>
      </w:r>
      <w:r w:rsidR="00EE6685" w:rsidRPr="00955AC1">
        <w:rPr>
          <w:rFonts w:ascii="Times New Roman" w:hAnsi="Times New Roman" w:cs="Times New Roman"/>
        </w:rPr>
        <w:t xml:space="preserve"> </w:t>
      </w:r>
      <w:r w:rsidR="00C80CAC" w:rsidRPr="00955AC1">
        <w:rPr>
          <w:rFonts w:ascii="Times New Roman" w:hAnsi="Times New Roman" w:cs="Times New Roman"/>
        </w:rPr>
        <w:t xml:space="preserve">Other </w:t>
      </w:r>
    </w:p>
    <w:p w14:paraId="036C49B6" w14:textId="77777777" w:rsidR="00B6442F" w:rsidRPr="00955AC1" w:rsidRDefault="005D7CF0" w:rsidP="00C965C9">
      <w:pPr>
        <w:rPr>
          <w:rFonts w:ascii="Times New Roman" w:hAnsi="Times New Roman" w:cs="Times New Roman"/>
        </w:rPr>
      </w:pPr>
      <w:r w:rsidRPr="00955AC1">
        <w:rPr>
          <w:rFonts w:ascii="Times New Roman" w:hAnsi="Times New Roman" w:cs="Times New Roman"/>
        </w:rPr>
        <w:t xml:space="preserve">Category numbers take the </w:t>
      </w:r>
      <w:r w:rsidR="00B6442F" w:rsidRPr="00955AC1">
        <w:rPr>
          <w:rFonts w:ascii="Times New Roman" w:hAnsi="Times New Roman" w:cs="Times New Roman"/>
        </w:rPr>
        <w:t xml:space="preserve">following </w:t>
      </w:r>
      <w:r w:rsidRPr="00955AC1">
        <w:rPr>
          <w:rFonts w:ascii="Times New Roman" w:hAnsi="Times New Roman" w:cs="Times New Roman"/>
        </w:rPr>
        <w:t>form</w:t>
      </w:r>
      <w:r w:rsidR="00B6442F" w:rsidRPr="00955AC1">
        <w:rPr>
          <w:rFonts w:ascii="Times New Roman" w:hAnsi="Times New Roman" w:cs="Times New Roman"/>
        </w:rPr>
        <w:t>:</w:t>
      </w:r>
      <w:r w:rsidRPr="00955AC1">
        <w:rPr>
          <w:rFonts w:ascii="Times New Roman" w:hAnsi="Times New Roman" w:cs="Times New Roman"/>
        </w:rPr>
        <w:t xml:space="preserve"> </w:t>
      </w:r>
    </w:p>
    <w:p w14:paraId="7A53DB4B" w14:textId="698B7CC6" w:rsidR="00B6442F" w:rsidRPr="00955AC1" w:rsidRDefault="005D7CF0" w:rsidP="00F95A96">
      <w:pPr>
        <w:jc w:val="center"/>
        <w:rPr>
          <w:rFonts w:ascii="Times New Roman" w:hAnsi="Times New Roman" w:cs="Times New Roman"/>
        </w:rPr>
      </w:pPr>
      <w:r w:rsidRPr="00955AC1">
        <w:rPr>
          <w:rFonts w:ascii="Times New Roman" w:hAnsi="Times New Roman" w:cs="Times New Roman"/>
          <w:i/>
          <w:iCs/>
        </w:rPr>
        <w:t xml:space="preserve">[Category number] </w:t>
      </w:r>
      <w:r w:rsidRPr="00955AC1">
        <w:rPr>
          <w:rFonts w:ascii="Times New Roman" w:hAnsi="Times New Roman" w:cs="Times New Roman"/>
          <w:b/>
          <w:bCs/>
          <w:i/>
          <w:iCs/>
        </w:rPr>
        <w:t>.</w:t>
      </w:r>
      <w:r w:rsidRPr="00955AC1">
        <w:rPr>
          <w:rFonts w:ascii="Times New Roman" w:hAnsi="Times New Roman" w:cs="Times New Roman"/>
          <w:i/>
          <w:iCs/>
        </w:rPr>
        <w:t xml:space="preserve"> [subsection #]</w:t>
      </w:r>
    </w:p>
    <w:p w14:paraId="5E0DCD06" w14:textId="0C9F9CDF" w:rsidR="00C965C9" w:rsidRPr="00955AC1" w:rsidRDefault="001B2E62" w:rsidP="00C965C9">
      <w:pPr>
        <w:rPr>
          <w:rFonts w:ascii="Times New Roman" w:hAnsi="Times New Roman" w:cs="Times New Roman"/>
        </w:rPr>
      </w:pPr>
      <w:r w:rsidRPr="00955AC1">
        <w:rPr>
          <w:rFonts w:ascii="Times New Roman" w:hAnsi="Times New Roman" w:cs="Times New Roman"/>
        </w:rPr>
        <w:t>For example,</w:t>
      </w:r>
      <w:r w:rsidR="00860482" w:rsidRPr="00955AC1">
        <w:rPr>
          <w:rFonts w:ascii="Times New Roman" w:hAnsi="Times New Roman" w:cs="Times New Roman"/>
        </w:rPr>
        <w:t xml:space="preserve"> the 6</w:t>
      </w:r>
      <w:r w:rsidR="00860482" w:rsidRPr="00955AC1">
        <w:rPr>
          <w:rFonts w:ascii="Times New Roman" w:hAnsi="Times New Roman" w:cs="Times New Roman"/>
          <w:vertAlign w:val="superscript"/>
        </w:rPr>
        <w:t>th</w:t>
      </w:r>
      <w:r w:rsidR="00860482" w:rsidRPr="00955AC1">
        <w:rPr>
          <w:rFonts w:ascii="Times New Roman" w:hAnsi="Times New Roman" w:cs="Times New Roman"/>
        </w:rPr>
        <w:t xml:space="preserve"> section of</w:t>
      </w:r>
      <w:r w:rsidRPr="00955AC1">
        <w:rPr>
          <w:rFonts w:ascii="Times New Roman" w:hAnsi="Times New Roman" w:cs="Times New Roman"/>
        </w:rPr>
        <w:t xml:space="preserve"> </w:t>
      </w:r>
      <w:r w:rsidR="005A388A" w:rsidRPr="00955AC1">
        <w:rPr>
          <w:rFonts w:ascii="Times New Roman" w:hAnsi="Times New Roman" w:cs="Times New Roman"/>
          <w:i/>
          <w:iCs/>
        </w:rPr>
        <w:t>Core Plan</w:t>
      </w:r>
      <w:r w:rsidR="002B1FA3" w:rsidRPr="00955AC1">
        <w:rPr>
          <w:rFonts w:ascii="Times New Roman" w:hAnsi="Times New Roman" w:cs="Times New Roman"/>
          <w:i/>
          <w:iCs/>
        </w:rPr>
        <w:t xml:space="preserve"> </w:t>
      </w:r>
      <w:r w:rsidR="002B1FA3" w:rsidRPr="00955AC1">
        <w:rPr>
          <w:rFonts w:ascii="Times New Roman" w:hAnsi="Times New Roman" w:cs="Times New Roman"/>
        </w:rPr>
        <w:t>is</w:t>
      </w:r>
      <w:r w:rsidR="005A388A" w:rsidRPr="00955AC1">
        <w:rPr>
          <w:rFonts w:ascii="Times New Roman" w:hAnsi="Times New Roman" w:cs="Times New Roman"/>
          <w:i/>
          <w:iCs/>
        </w:rPr>
        <w:t xml:space="preserve"> </w:t>
      </w:r>
      <w:r w:rsidR="006E06E2" w:rsidRPr="00955AC1">
        <w:rPr>
          <w:rFonts w:ascii="Times New Roman" w:hAnsi="Times New Roman" w:cs="Times New Roman"/>
          <w:i/>
          <w:iCs/>
        </w:rPr>
        <w:t>9% Round Set Asides</w:t>
      </w:r>
      <w:r w:rsidR="002B1FA3" w:rsidRPr="00955AC1">
        <w:rPr>
          <w:rFonts w:ascii="Times New Roman" w:hAnsi="Times New Roman" w:cs="Times New Roman"/>
        </w:rPr>
        <w:t xml:space="preserve">. This section </w:t>
      </w:r>
      <w:r w:rsidR="006E06E2" w:rsidRPr="00955AC1">
        <w:rPr>
          <w:rFonts w:ascii="Times New Roman" w:hAnsi="Times New Roman" w:cs="Times New Roman"/>
        </w:rPr>
        <w:t xml:space="preserve">is </w:t>
      </w:r>
      <w:r w:rsidR="0085392D" w:rsidRPr="00955AC1">
        <w:rPr>
          <w:rFonts w:ascii="Times New Roman" w:hAnsi="Times New Roman" w:cs="Times New Roman"/>
        </w:rPr>
        <w:t xml:space="preserve">numbered as </w:t>
      </w:r>
      <w:r w:rsidR="005B4BDE" w:rsidRPr="00955AC1">
        <w:rPr>
          <w:rFonts w:ascii="Times New Roman" w:hAnsi="Times New Roman" w:cs="Times New Roman"/>
        </w:rPr>
        <w:t>“</w:t>
      </w:r>
      <w:r w:rsidR="0085392D" w:rsidRPr="00955AC1">
        <w:rPr>
          <w:rFonts w:ascii="Times New Roman" w:hAnsi="Times New Roman" w:cs="Times New Roman"/>
        </w:rPr>
        <w:t>1.</w:t>
      </w:r>
      <w:r w:rsidR="00C15AF0" w:rsidRPr="00955AC1">
        <w:rPr>
          <w:rFonts w:ascii="Times New Roman" w:hAnsi="Times New Roman" w:cs="Times New Roman"/>
        </w:rPr>
        <w:t>0</w:t>
      </w:r>
      <w:r w:rsidR="00001721" w:rsidRPr="00955AC1">
        <w:rPr>
          <w:rFonts w:ascii="Times New Roman" w:hAnsi="Times New Roman" w:cs="Times New Roman"/>
        </w:rPr>
        <w:t>6</w:t>
      </w:r>
      <w:r w:rsidR="005B4BDE" w:rsidRPr="00955AC1">
        <w:rPr>
          <w:rFonts w:ascii="Times New Roman" w:hAnsi="Times New Roman" w:cs="Times New Roman"/>
        </w:rPr>
        <w:t>”</w:t>
      </w:r>
      <w:r w:rsidR="00CF519E" w:rsidRPr="00955AC1">
        <w:rPr>
          <w:rFonts w:ascii="Times New Roman" w:hAnsi="Times New Roman" w:cs="Times New Roman"/>
        </w:rPr>
        <w:t xml:space="preserve"> </w:t>
      </w:r>
      <w:r w:rsidR="001E676A" w:rsidRPr="00955AC1">
        <w:rPr>
          <w:rFonts w:ascii="Times New Roman" w:hAnsi="Times New Roman" w:cs="Times New Roman"/>
        </w:rPr>
        <w:t xml:space="preserve">in the Q&amp;A table. </w:t>
      </w:r>
      <w:r w:rsidR="004A15F2" w:rsidRPr="00955AC1">
        <w:rPr>
          <w:rFonts w:ascii="Times New Roman" w:hAnsi="Times New Roman" w:cs="Times New Roman"/>
        </w:rPr>
        <w:br/>
      </w:r>
    </w:p>
    <w:p w14:paraId="74E0315E" w14:textId="6C93D75F" w:rsidR="00176327" w:rsidRPr="00955AC1" w:rsidRDefault="00CF0051" w:rsidP="00CC2BB6">
      <w:pPr>
        <w:pStyle w:val="Heading2"/>
        <w:rPr>
          <w:rFonts w:cs="Times New Roman"/>
        </w:rPr>
      </w:pPr>
      <w:r w:rsidRPr="00955AC1">
        <w:rPr>
          <w:rFonts w:cs="Times New Roman"/>
        </w:rPr>
        <w:t xml:space="preserve">Log of </w:t>
      </w:r>
      <w:r w:rsidR="001E0ADE" w:rsidRPr="00955AC1">
        <w:rPr>
          <w:rFonts w:cs="Times New Roman"/>
        </w:rPr>
        <w:t>Updates</w:t>
      </w:r>
      <w:r w:rsidR="00845192" w:rsidRPr="00955AC1">
        <w:rPr>
          <w:rFonts w:cs="Times New Roman"/>
        </w:rPr>
        <w:t xml:space="preserve"> to this Q&amp;A Document</w:t>
      </w:r>
    </w:p>
    <w:p w14:paraId="3E3AEE31" w14:textId="263ABEE5" w:rsidR="00292828" w:rsidRPr="00955AC1" w:rsidRDefault="00D77ADA" w:rsidP="00176327">
      <w:pPr>
        <w:rPr>
          <w:rFonts w:ascii="Times New Roman" w:hAnsi="Times New Roman" w:cs="Times New Roman"/>
        </w:rPr>
      </w:pPr>
      <w:r w:rsidRPr="00955AC1">
        <w:rPr>
          <w:rFonts w:ascii="Times New Roman" w:hAnsi="Times New Roman" w:cs="Times New Roman"/>
        </w:rPr>
        <w:t xml:space="preserve">This section </w:t>
      </w:r>
      <w:r w:rsidR="00D84E39" w:rsidRPr="00955AC1">
        <w:rPr>
          <w:rFonts w:ascii="Times New Roman" w:hAnsi="Times New Roman" w:cs="Times New Roman"/>
        </w:rPr>
        <w:t xml:space="preserve">provides a high-level description of </w:t>
      </w:r>
      <w:r w:rsidR="005306AE" w:rsidRPr="00955AC1">
        <w:rPr>
          <w:rFonts w:ascii="Times New Roman" w:hAnsi="Times New Roman" w:cs="Times New Roman"/>
        </w:rPr>
        <w:t>changes</w:t>
      </w:r>
      <w:r w:rsidR="004A29D5" w:rsidRPr="00955AC1">
        <w:rPr>
          <w:rFonts w:ascii="Times New Roman" w:hAnsi="Times New Roman" w:cs="Times New Roman"/>
        </w:rPr>
        <w:t xml:space="preserve"> made to the document from one version to the next.</w:t>
      </w:r>
    </w:p>
    <w:tbl>
      <w:tblPr>
        <w:tblStyle w:val="TableGrid"/>
        <w:tblW w:w="0" w:type="auto"/>
        <w:jc w:val="center"/>
        <w:tblLook w:val="04A0" w:firstRow="1" w:lastRow="0" w:firstColumn="1" w:lastColumn="0" w:noHBand="0" w:noVBand="1"/>
      </w:tblPr>
      <w:tblGrid>
        <w:gridCol w:w="1165"/>
        <w:gridCol w:w="8010"/>
      </w:tblGrid>
      <w:tr w:rsidR="00735BD9" w:rsidRPr="00955AC1" w14:paraId="291196A8" w14:textId="77777777" w:rsidTr="69621A9A">
        <w:trPr>
          <w:jc w:val="center"/>
        </w:trPr>
        <w:tc>
          <w:tcPr>
            <w:tcW w:w="1165" w:type="dxa"/>
            <w:shd w:val="clear" w:color="auto" w:fill="D9D9D9" w:themeFill="background1" w:themeFillShade="D9"/>
            <w:tcMar>
              <w:top w:w="72" w:type="dxa"/>
              <w:left w:w="115" w:type="dxa"/>
              <w:bottom w:w="72" w:type="dxa"/>
              <w:right w:w="115" w:type="dxa"/>
            </w:tcMar>
            <w:vAlign w:val="center"/>
          </w:tcPr>
          <w:p w14:paraId="2C115D17" w14:textId="77777777" w:rsidR="00735BD9" w:rsidRPr="00955AC1" w:rsidRDefault="00735BD9" w:rsidP="00820378">
            <w:pPr>
              <w:keepNext/>
              <w:jc w:val="center"/>
              <w:rPr>
                <w:rFonts w:ascii="Times New Roman" w:hAnsi="Times New Roman" w:cs="Times New Roman"/>
                <w:b/>
                <w:bCs/>
              </w:rPr>
            </w:pPr>
            <w:r w:rsidRPr="00955AC1">
              <w:rPr>
                <w:rFonts w:ascii="Times New Roman" w:hAnsi="Times New Roman" w:cs="Times New Roman"/>
                <w:b/>
                <w:bCs/>
              </w:rPr>
              <w:t>Update</w:t>
            </w:r>
          </w:p>
        </w:tc>
        <w:tc>
          <w:tcPr>
            <w:tcW w:w="8010" w:type="dxa"/>
            <w:shd w:val="clear" w:color="auto" w:fill="D9D9D9" w:themeFill="background1" w:themeFillShade="D9"/>
            <w:tcMar>
              <w:top w:w="72" w:type="dxa"/>
              <w:left w:w="115" w:type="dxa"/>
              <w:bottom w:w="72" w:type="dxa"/>
              <w:right w:w="115" w:type="dxa"/>
            </w:tcMar>
            <w:vAlign w:val="center"/>
          </w:tcPr>
          <w:p w14:paraId="312D11D3" w14:textId="77777777" w:rsidR="00735BD9" w:rsidRPr="00955AC1" w:rsidRDefault="00735BD9" w:rsidP="00820378">
            <w:pPr>
              <w:keepNext/>
              <w:jc w:val="center"/>
              <w:rPr>
                <w:rFonts w:ascii="Times New Roman" w:hAnsi="Times New Roman" w:cs="Times New Roman"/>
                <w:b/>
                <w:bCs/>
              </w:rPr>
            </w:pPr>
            <w:r w:rsidRPr="00955AC1">
              <w:rPr>
                <w:rFonts w:ascii="Times New Roman" w:hAnsi="Times New Roman" w:cs="Times New Roman"/>
                <w:b/>
                <w:bCs/>
              </w:rPr>
              <w:t>Changes</w:t>
            </w:r>
          </w:p>
        </w:tc>
      </w:tr>
      <w:tr w:rsidR="00F86ED9" w:rsidRPr="00955AC1" w14:paraId="4482F5E8" w14:textId="77777777" w:rsidTr="64301FE8">
        <w:trPr>
          <w:jc w:val="center"/>
        </w:trPr>
        <w:tc>
          <w:tcPr>
            <w:tcW w:w="1165" w:type="dxa"/>
            <w:tcMar>
              <w:top w:w="72" w:type="dxa"/>
              <w:left w:w="115" w:type="dxa"/>
              <w:bottom w:w="72" w:type="dxa"/>
              <w:right w:w="115" w:type="dxa"/>
            </w:tcMar>
            <w:vAlign w:val="center"/>
          </w:tcPr>
          <w:p w14:paraId="22E7816A" w14:textId="33C63C6F" w:rsidR="00F86ED9" w:rsidRDefault="00F86ED9" w:rsidP="64301FE8">
            <w:pPr>
              <w:rPr>
                <w:rFonts w:ascii="Times New Roman" w:hAnsi="Times New Roman" w:cs="Times New Roman"/>
              </w:rPr>
            </w:pPr>
            <w:r>
              <w:rPr>
                <w:rFonts w:ascii="Times New Roman" w:hAnsi="Times New Roman" w:cs="Times New Roman"/>
              </w:rPr>
              <w:t>10/12/22</w:t>
            </w:r>
          </w:p>
        </w:tc>
        <w:tc>
          <w:tcPr>
            <w:tcW w:w="8010" w:type="dxa"/>
            <w:tcMar>
              <w:top w:w="72" w:type="dxa"/>
              <w:left w:w="115" w:type="dxa"/>
              <w:bottom w:w="72" w:type="dxa"/>
              <w:right w:w="115" w:type="dxa"/>
            </w:tcMar>
            <w:vAlign w:val="center"/>
          </w:tcPr>
          <w:p w14:paraId="265C7861" w14:textId="1D3B49AA" w:rsidR="00F86ED9" w:rsidRDefault="00F86ED9" w:rsidP="64301FE8">
            <w:pPr>
              <w:pStyle w:val="ListParagraph"/>
              <w:numPr>
                <w:ilvl w:val="0"/>
                <w:numId w:val="65"/>
              </w:numPr>
              <w:rPr>
                <w:rFonts w:ascii="Times New Roman" w:hAnsi="Times New Roman" w:cs="Times New Roman"/>
              </w:rPr>
            </w:pPr>
            <w:r>
              <w:rPr>
                <w:rFonts w:ascii="Times New Roman" w:hAnsi="Times New Roman" w:cs="Times New Roman"/>
              </w:rPr>
              <w:t>New Q&amp;A set posted</w:t>
            </w:r>
          </w:p>
        </w:tc>
      </w:tr>
      <w:tr w:rsidR="005F6151" w:rsidRPr="00955AC1" w14:paraId="3589E33D" w14:textId="77777777" w:rsidTr="64301FE8">
        <w:trPr>
          <w:jc w:val="center"/>
        </w:trPr>
        <w:tc>
          <w:tcPr>
            <w:tcW w:w="1165" w:type="dxa"/>
            <w:tcMar>
              <w:top w:w="72" w:type="dxa"/>
              <w:left w:w="115" w:type="dxa"/>
              <w:bottom w:w="72" w:type="dxa"/>
              <w:right w:w="115" w:type="dxa"/>
            </w:tcMar>
            <w:vAlign w:val="center"/>
          </w:tcPr>
          <w:p w14:paraId="6CD4EF97" w14:textId="40079C4F" w:rsidR="005F6151" w:rsidRDefault="005F6151" w:rsidP="64301FE8">
            <w:pPr>
              <w:rPr>
                <w:rFonts w:ascii="Times New Roman" w:hAnsi="Times New Roman" w:cs="Times New Roman"/>
              </w:rPr>
            </w:pPr>
            <w:r>
              <w:rPr>
                <w:rFonts w:ascii="Times New Roman" w:hAnsi="Times New Roman" w:cs="Times New Roman"/>
              </w:rPr>
              <w:t>10/11/22</w:t>
            </w:r>
          </w:p>
        </w:tc>
        <w:tc>
          <w:tcPr>
            <w:tcW w:w="8010" w:type="dxa"/>
            <w:tcMar>
              <w:top w:w="72" w:type="dxa"/>
              <w:left w:w="115" w:type="dxa"/>
              <w:bottom w:w="72" w:type="dxa"/>
              <w:right w:w="115" w:type="dxa"/>
            </w:tcMar>
            <w:vAlign w:val="center"/>
          </w:tcPr>
          <w:p w14:paraId="3FF85962" w14:textId="4030F771" w:rsidR="005F6151" w:rsidRDefault="005F6151" w:rsidP="64301FE8">
            <w:pPr>
              <w:pStyle w:val="ListParagraph"/>
              <w:numPr>
                <w:ilvl w:val="0"/>
                <w:numId w:val="65"/>
              </w:numPr>
              <w:rPr>
                <w:rFonts w:ascii="Times New Roman" w:hAnsi="Times New Roman" w:cs="Times New Roman"/>
              </w:rPr>
            </w:pPr>
            <w:r>
              <w:rPr>
                <w:rFonts w:ascii="Times New Roman" w:hAnsi="Times New Roman" w:cs="Times New Roman"/>
              </w:rPr>
              <w:t>New Q&amp;A set posted</w:t>
            </w:r>
          </w:p>
        </w:tc>
      </w:tr>
      <w:tr w:rsidR="007424E0" w:rsidRPr="00955AC1" w14:paraId="4E709FB2" w14:textId="77777777" w:rsidTr="64301FE8">
        <w:trPr>
          <w:jc w:val="center"/>
        </w:trPr>
        <w:tc>
          <w:tcPr>
            <w:tcW w:w="1165" w:type="dxa"/>
            <w:tcMar>
              <w:top w:w="72" w:type="dxa"/>
              <w:left w:w="115" w:type="dxa"/>
              <w:bottom w:w="72" w:type="dxa"/>
              <w:right w:w="115" w:type="dxa"/>
            </w:tcMar>
            <w:vAlign w:val="center"/>
          </w:tcPr>
          <w:p w14:paraId="0DF12DF1" w14:textId="44A33254" w:rsidR="007424E0" w:rsidRDefault="007424E0" w:rsidP="64301FE8">
            <w:pPr>
              <w:rPr>
                <w:rFonts w:ascii="Times New Roman" w:hAnsi="Times New Roman" w:cs="Times New Roman"/>
              </w:rPr>
            </w:pPr>
            <w:r>
              <w:rPr>
                <w:rFonts w:ascii="Times New Roman" w:hAnsi="Times New Roman" w:cs="Times New Roman"/>
              </w:rPr>
              <w:t>9/29/22</w:t>
            </w:r>
          </w:p>
        </w:tc>
        <w:tc>
          <w:tcPr>
            <w:tcW w:w="8010" w:type="dxa"/>
            <w:tcMar>
              <w:top w:w="72" w:type="dxa"/>
              <w:left w:w="115" w:type="dxa"/>
              <w:bottom w:w="72" w:type="dxa"/>
              <w:right w:w="115" w:type="dxa"/>
            </w:tcMar>
            <w:vAlign w:val="center"/>
          </w:tcPr>
          <w:p w14:paraId="787C2A53" w14:textId="26CC7858" w:rsidR="007424E0" w:rsidRDefault="007424E0" w:rsidP="64301FE8">
            <w:pPr>
              <w:pStyle w:val="ListParagraph"/>
              <w:numPr>
                <w:ilvl w:val="0"/>
                <w:numId w:val="65"/>
              </w:numPr>
              <w:rPr>
                <w:rFonts w:ascii="Times New Roman" w:hAnsi="Times New Roman" w:cs="Times New Roman"/>
              </w:rPr>
            </w:pPr>
            <w:r>
              <w:rPr>
                <w:rFonts w:ascii="Times New Roman" w:hAnsi="Times New Roman" w:cs="Times New Roman"/>
              </w:rPr>
              <w:t>New Q&amp;A set posted</w:t>
            </w:r>
          </w:p>
        </w:tc>
      </w:tr>
      <w:tr w:rsidR="00955AC1" w:rsidRPr="00955AC1" w14:paraId="67589B53" w14:textId="77777777" w:rsidTr="64301FE8">
        <w:trPr>
          <w:jc w:val="center"/>
        </w:trPr>
        <w:tc>
          <w:tcPr>
            <w:tcW w:w="1165" w:type="dxa"/>
            <w:tcMar>
              <w:top w:w="72" w:type="dxa"/>
              <w:left w:w="115" w:type="dxa"/>
              <w:bottom w:w="72" w:type="dxa"/>
              <w:right w:w="115" w:type="dxa"/>
            </w:tcMar>
            <w:vAlign w:val="center"/>
          </w:tcPr>
          <w:p w14:paraId="6CF986BF" w14:textId="17FBB4B3" w:rsidR="00955AC1" w:rsidRPr="00955AC1" w:rsidRDefault="00955AC1" w:rsidP="64301FE8">
            <w:pPr>
              <w:rPr>
                <w:rFonts w:ascii="Times New Roman" w:hAnsi="Times New Roman" w:cs="Times New Roman"/>
              </w:rPr>
            </w:pPr>
            <w:r>
              <w:rPr>
                <w:rFonts w:ascii="Times New Roman" w:hAnsi="Times New Roman" w:cs="Times New Roman"/>
              </w:rPr>
              <w:t>9/27/22</w:t>
            </w:r>
          </w:p>
        </w:tc>
        <w:tc>
          <w:tcPr>
            <w:tcW w:w="8010" w:type="dxa"/>
            <w:tcMar>
              <w:top w:w="72" w:type="dxa"/>
              <w:left w:w="115" w:type="dxa"/>
              <w:bottom w:w="72" w:type="dxa"/>
              <w:right w:w="115" w:type="dxa"/>
            </w:tcMar>
            <w:vAlign w:val="center"/>
          </w:tcPr>
          <w:p w14:paraId="3BB34486" w14:textId="31514878" w:rsidR="00955AC1" w:rsidRPr="00955AC1" w:rsidRDefault="00955AC1" w:rsidP="64301FE8">
            <w:pPr>
              <w:pStyle w:val="ListParagraph"/>
              <w:numPr>
                <w:ilvl w:val="0"/>
                <w:numId w:val="65"/>
              </w:numPr>
              <w:rPr>
                <w:rFonts w:ascii="Times New Roman" w:hAnsi="Times New Roman" w:cs="Times New Roman"/>
              </w:rPr>
            </w:pPr>
            <w:r>
              <w:rPr>
                <w:rFonts w:ascii="Times New Roman" w:hAnsi="Times New Roman" w:cs="Times New Roman"/>
              </w:rPr>
              <w:t>New Q&amp;A set posted</w:t>
            </w:r>
          </w:p>
        </w:tc>
      </w:tr>
      <w:tr w:rsidR="64301FE8" w:rsidRPr="00955AC1" w14:paraId="30C72478" w14:textId="77777777" w:rsidTr="64301FE8">
        <w:trPr>
          <w:jc w:val="center"/>
        </w:trPr>
        <w:tc>
          <w:tcPr>
            <w:tcW w:w="1165" w:type="dxa"/>
            <w:tcMar>
              <w:top w:w="72" w:type="dxa"/>
              <w:left w:w="115" w:type="dxa"/>
              <w:bottom w:w="72" w:type="dxa"/>
              <w:right w:w="115" w:type="dxa"/>
            </w:tcMar>
            <w:vAlign w:val="center"/>
          </w:tcPr>
          <w:p w14:paraId="02F24BB7" w14:textId="7D763E5B" w:rsidR="16F503ED" w:rsidRPr="00955AC1" w:rsidRDefault="16F503ED" w:rsidP="64301FE8">
            <w:pPr>
              <w:rPr>
                <w:rFonts w:ascii="Times New Roman" w:hAnsi="Times New Roman" w:cs="Times New Roman"/>
              </w:rPr>
            </w:pPr>
            <w:r w:rsidRPr="00955AC1">
              <w:rPr>
                <w:rFonts w:ascii="Times New Roman" w:hAnsi="Times New Roman" w:cs="Times New Roman"/>
              </w:rPr>
              <w:t>9/22/22</w:t>
            </w:r>
          </w:p>
        </w:tc>
        <w:tc>
          <w:tcPr>
            <w:tcW w:w="8010" w:type="dxa"/>
            <w:tcMar>
              <w:top w:w="72" w:type="dxa"/>
              <w:left w:w="115" w:type="dxa"/>
              <w:bottom w:w="72" w:type="dxa"/>
              <w:right w:w="115" w:type="dxa"/>
            </w:tcMar>
            <w:vAlign w:val="center"/>
          </w:tcPr>
          <w:p w14:paraId="40966945" w14:textId="5C85BA73" w:rsidR="16F503ED" w:rsidRPr="00955AC1" w:rsidRDefault="16F503ED" w:rsidP="64301FE8">
            <w:pPr>
              <w:pStyle w:val="ListParagraph"/>
              <w:numPr>
                <w:ilvl w:val="0"/>
                <w:numId w:val="65"/>
              </w:numPr>
              <w:rPr>
                <w:rFonts w:eastAsiaTheme="minorEastAsia"/>
              </w:rPr>
            </w:pPr>
            <w:r w:rsidRPr="00955AC1">
              <w:rPr>
                <w:rFonts w:ascii="Times New Roman" w:hAnsi="Times New Roman" w:cs="Times New Roman"/>
              </w:rPr>
              <w:t>New Q&amp;A set posted</w:t>
            </w:r>
          </w:p>
        </w:tc>
      </w:tr>
      <w:tr w:rsidR="00BB1933" w:rsidRPr="00955AC1" w14:paraId="554E93C2" w14:textId="77777777" w:rsidTr="69621A9A">
        <w:trPr>
          <w:jc w:val="center"/>
        </w:trPr>
        <w:tc>
          <w:tcPr>
            <w:tcW w:w="1165" w:type="dxa"/>
            <w:tcMar>
              <w:top w:w="72" w:type="dxa"/>
              <w:left w:w="115" w:type="dxa"/>
              <w:bottom w:w="72" w:type="dxa"/>
              <w:right w:w="115" w:type="dxa"/>
            </w:tcMar>
            <w:vAlign w:val="center"/>
          </w:tcPr>
          <w:p w14:paraId="7F4FF8B0" w14:textId="47703888" w:rsidR="00BB1933" w:rsidRPr="00955AC1" w:rsidRDefault="00BB1933" w:rsidP="69621A9A">
            <w:pPr>
              <w:rPr>
                <w:rFonts w:ascii="Times New Roman" w:hAnsi="Times New Roman" w:cs="Times New Roman"/>
              </w:rPr>
            </w:pPr>
            <w:r w:rsidRPr="00955AC1">
              <w:rPr>
                <w:rFonts w:ascii="Times New Roman" w:hAnsi="Times New Roman" w:cs="Times New Roman"/>
              </w:rPr>
              <w:t>9/15/22</w:t>
            </w:r>
          </w:p>
        </w:tc>
        <w:tc>
          <w:tcPr>
            <w:tcW w:w="8010" w:type="dxa"/>
            <w:tcMar>
              <w:top w:w="72" w:type="dxa"/>
              <w:left w:w="115" w:type="dxa"/>
              <w:bottom w:w="72" w:type="dxa"/>
              <w:right w:w="115" w:type="dxa"/>
            </w:tcMar>
            <w:vAlign w:val="center"/>
          </w:tcPr>
          <w:p w14:paraId="3A0462C9" w14:textId="0590EA8F" w:rsidR="00BB1933" w:rsidRPr="00955AC1" w:rsidRDefault="00BB1933" w:rsidP="001C6EBF">
            <w:pPr>
              <w:pStyle w:val="ListParagraph"/>
              <w:numPr>
                <w:ilvl w:val="0"/>
                <w:numId w:val="1"/>
              </w:numPr>
              <w:rPr>
                <w:rFonts w:ascii="Times New Roman" w:hAnsi="Times New Roman" w:cs="Times New Roman"/>
              </w:rPr>
            </w:pPr>
            <w:r w:rsidRPr="00955AC1">
              <w:rPr>
                <w:rFonts w:ascii="Times New Roman" w:hAnsi="Times New Roman" w:cs="Times New Roman"/>
              </w:rPr>
              <w:t xml:space="preserve">New Q&amp;A set posted </w:t>
            </w:r>
          </w:p>
        </w:tc>
      </w:tr>
      <w:tr w:rsidR="0021779A" w:rsidRPr="00955AC1" w14:paraId="462F135A" w14:textId="77777777" w:rsidTr="69621A9A">
        <w:trPr>
          <w:jc w:val="center"/>
        </w:trPr>
        <w:tc>
          <w:tcPr>
            <w:tcW w:w="1165" w:type="dxa"/>
            <w:tcMar>
              <w:top w:w="72" w:type="dxa"/>
              <w:left w:w="115" w:type="dxa"/>
              <w:bottom w:w="72" w:type="dxa"/>
              <w:right w:w="115" w:type="dxa"/>
            </w:tcMar>
            <w:vAlign w:val="center"/>
          </w:tcPr>
          <w:p w14:paraId="0FA51827" w14:textId="0E937357" w:rsidR="0021779A" w:rsidRPr="00955AC1" w:rsidRDefault="0021779A" w:rsidP="69621A9A">
            <w:pPr>
              <w:rPr>
                <w:rFonts w:ascii="Times New Roman" w:hAnsi="Times New Roman" w:cs="Times New Roman"/>
              </w:rPr>
            </w:pPr>
            <w:r w:rsidRPr="00955AC1">
              <w:rPr>
                <w:rFonts w:ascii="Times New Roman" w:hAnsi="Times New Roman" w:cs="Times New Roman"/>
              </w:rPr>
              <w:t>9/13/22</w:t>
            </w:r>
          </w:p>
        </w:tc>
        <w:tc>
          <w:tcPr>
            <w:tcW w:w="8010" w:type="dxa"/>
            <w:tcMar>
              <w:top w:w="72" w:type="dxa"/>
              <w:left w:w="115" w:type="dxa"/>
              <w:bottom w:w="72" w:type="dxa"/>
              <w:right w:w="115" w:type="dxa"/>
            </w:tcMar>
            <w:vAlign w:val="center"/>
          </w:tcPr>
          <w:p w14:paraId="4B9C4C7C" w14:textId="7E3B551A" w:rsidR="0021779A" w:rsidRPr="00955AC1" w:rsidRDefault="0021779A" w:rsidP="001C6EBF">
            <w:pPr>
              <w:pStyle w:val="ListParagraph"/>
              <w:numPr>
                <w:ilvl w:val="0"/>
                <w:numId w:val="1"/>
              </w:numPr>
              <w:rPr>
                <w:rFonts w:ascii="Times New Roman" w:hAnsi="Times New Roman" w:cs="Times New Roman"/>
              </w:rPr>
            </w:pPr>
            <w:r w:rsidRPr="00955AC1">
              <w:rPr>
                <w:rFonts w:ascii="Times New Roman" w:hAnsi="Times New Roman" w:cs="Times New Roman"/>
              </w:rPr>
              <w:t>New Q&amp;A set posted</w:t>
            </w:r>
          </w:p>
        </w:tc>
      </w:tr>
      <w:tr w:rsidR="00766CD3" w:rsidRPr="00955AC1" w14:paraId="24B7FEB1" w14:textId="77777777" w:rsidTr="69621A9A">
        <w:trPr>
          <w:jc w:val="center"/>
        </w:trPr>
        <w:tc>
          <w:tcPr>
            <w:tcW w:w="1165" w:type="dxa"/>
            <w:tcMar>
              <w:top w:w="72" w:type="dxa"/>
              <w:left w:w="115" w:type="dxa"/>
              <w:bottom w:w="72" w:type="dxa"/>
              <w:right w:w="115" w:type="dxa"/>
            </w:tcMar>
            <w:vAlign w:val="center"/>
          </w:tcPr>
          <w:p w14:paraId="43D2DFC8" w14:textId="6735FA77" w:rsidR="00766CD3" w:rsidRPr="00955AC1" w:rsidRDefault="00766CD3" w:rsidP="69621A9A">
            <w:pPr>
              <w:rPr>
                <w:rFonts w:ascii="Times New Roman" w:hAnsi="Times New Roman" w:cs="Times New Roman"/>
              </w:rPr>
            </w:pPr>
            <w:r w:rsidRPr="00955AC1">
              <w:rPr>
                <w:rFonts w:ascii="Times New Roman" w:hAnsi="Times New Roman" w:cs="Times New Roman"/>
              </w:rPr>
              <w:t>9/7/22</w:t>
            </w:r>
          </w:p>
        </w:tc>
        <w:tc>
          <w:tcPr>
            <w:tcW w:w="8010" w:type="dxa"/>
            <w:tcMar>
              <w:top w:w="72" w:type="dxa"/>
              <w:left w:w="115" w:type="dxa"/>
              <w:bottom w:w="72" w:type="dxa"/>
              <w:right w:w="115" w:type="dxa"/>
            </w:tcMar>
            <w:vAlign w:val="center"/>
          </w:tcPr>
          <w:p w14:paraId="5AB9EE65" w14:textId="53042A9A" w:rsidR="00974330" w:rsidRPr="00955AC1" w:rsidRDefault="00974330" w:rsidP="001C6EBF">
            <w:pPr>
              <w:pStyle w:val="ListParagraph"/>
              <w:numPr>
                <w:ilvl w:val="0"/>
                <w:numId w:val="1"/>
              </w:numPr>
              <w:rPr>
                <w:rFonts w:ascii="Times New Roman" w:hAnsi="Times New Roman" w:cs="Times New Roman"/>
              </w:rPr>
            </w:pPr>
            <w:r w:rsidRPr="00955AC1">
              <w:rPr>
                <w:rFonts w:ascii="Times New Roman" w:hAnsi="Times New Roman" w:cs="Times New Roman"/>
              </w:rPr>
              <w:t xml:space="preserve">Changes to </w:t>
            </w:r>
            <w:r w:rsidR="00816BEC" w:rsidRPr="00955AC1">
              <w:rPr>
                <w:rFonts w:ascii="Times New Roman" w:hAnsi="Times New Roman" w:cs="Times New Roman"/>
                <w:b/>
                <w:bCs/>
              </w:rPr>
              <w:t>Part I. Overview</w:t>
            </w:r>
            <w:r w:rsidR="00816BEC" w:rsidRPr="00955AC1">
              <w:rPr>
                <w:rFonts w:ascii="Times New Roman" w:hAnsi="Times New Roman" w:cs="Times New Roman"/>
              </w:rPr>
              <w:t xml:space="preserve"> above</w:t>
            </w:r>
            <w:r w:rsidRPr="00955AC1">
              <w:rPr>
                <w:rFonts w:ascii="Times New Roman" w:hAnsi="Times New Roman" w:cs="Times New Roman"/>
              </w:rPr>
              <w:t>:</w:t>
            </w:r>
            <w:r w:rsidR="00816BEC" w:rsidRPr="00955AC1">
              <w:rPr>
                <w:rFonts w:ascii="Times New Roman" w:hAnsi="Times New Roman" w:cs="Times New Roman"/>
              </w:rPr>
              <w:t xml:space="preserve"> </w:t>
            </w:r>
          </w:p>
          <w:p w14:paraId="38B34607" w14:textId="1A8995A0" w:rsidR="003004B1" w:rsidRPr="00955AC1" w:rsidRDefault="00120595" w:rsidP="00F75B8F">
            <w:pPr>
              <w:pStyle w:val="ListParagraph"/>
              <w:numPr>
                <w:ilvl w:val="1"/>
                <w:numId w:val="1"/>
              </w:numPr>
              <w:rPr>
                <w:rFonts w:ascii="Times New Roman" w:hAnsi="Times New Roman" w:cs="Times New Roman"/>
              </w:rPr>
            </w:pPr>
            <w:r w:rsidRPr="00955AC1">
              <w:rPr>
                <w:rFonts w:ascii="Times New Roman" w:hAnsi="Times New Roman" w:cs="Times New Roman"/>
              </w:rPr>
              <w:t xml:space="preserve">Added </w:t>
            </w:r>
            <w:r w:rsidR="00E216A4" w:rsidRPr="00955AC1">
              <w:rPr>
                <w:rFonts w:ascii="Times New Roman" w:hAnsi="Times New Roman" w:cs="Times New Roman"/>
              </w:rPr>
              <w:t xml:space="preserve">subsection </w:t>
            </w:r>
            <w:r w:rsidR="00171549" w:rsidRPr="00955AC1">
              <w:rPr>
                <w:rFonts w:ascii="Times New Roman" w:hAnsi="Times New Roman" w:cs="Times New Roman"/>
                <w:b/>
                <w:bCs/>
              </w:rPr>
              <w:t>Note</w:t>
            </w:r>
            <w:r w:rsidR="004977A9" w:rsidRPr="00955AC1">
              <w:rPr>
                <w:rFonts w:ascii="Times New Roman" w:hAnsi="Times New Roman" w:cs="Times New Roman"/>
                <w:b/>
                <w:bCs/>
              </w:rPr>
              <w:t xml:space="preserve"> on</w:t>
            </w:r>
            <w:r w:rsidR="00171549" w:rsidRPr="00955AC1">
              <w:rPr>
                <w:rFonts w:ascii="Times New Roman" w:hAnsi="Times New Roman" w:cs="Times New Roman"/>
                <w:b/>
                <w:bCs/>
              </w:rPr>
              <w:t xml:space="preserve"> Q&amp;A Posted for 2022 9% Round</w:t>
            </w:r>
            <w:r w:rsidR="00171549" w:rsidRPr="00955AC1">
              <w:rPr>
                <w:rFonts w:ascii="Times New Roman" w:hAnsi="Times New Roman" w:cs="Times New Roman"/>
              </w:rPr>
              <w:t xml:space="preserve"> </w:t>
            </w:r>
          </w:p>
          <w:p w14:paraId="4A1E6E75" w14:textId="408D9FDB" w:rsidR="00D143D0" w:rsidRPr="00955AC1" w:rsidRDefault="00A74470" w:rsidP="00F75B8F">
            <w:pPr>
              <w:pStyle w:val="ListParagraph"/>
              <w:numPr>
                <w:ilvl w:val="1"/>
                <w:numId w:val="1"/>
              </w:numPr>
              <w:rPr>
                <w:rFonts w:ascii="Times New Roman" w:hAnsi="Times New Roman" w:cs="Times New Roman"/>
              </w:rPr>
            </w:pPr>
            <w:r w:rsidRPr="00955AC1">
              <w:rPr>
                <w:rFonts w:ascii="Times New Roman" w:hAnsi="Times New Roman" w:cs="Times New Roman"/>
              </w:rPr>
              <w:t xml:space="preserve">Category changes under </w:t>
            </w:r>
            <w:r w:rsidR="00D143D0" w:rsidRPr="00955AC1">
              <w:rPr>
                <w:rFonts w:ascii="Times New Roman" w:hAnsi="Times New Roman" w:cs="Times New Roman"/>
              </w:rPr>
              <w:t xml:space="preserve">subsection </w:t>
            </w:r>
            <w:r w:rsidR="00D143D0" w:rsidRPr="00955AC1">
              <w:rPr>
                <w:rFonts w:ascii="Times New Roman" w:hAnsi="Times New Roman" w:cs="Times New Roman"/>
                <w:b/>
                <w:bCs/>
              </w:rPr>
              <w:t>Navigating the Q&amp;A Table</w:t>
            </w:r>
            <w:r w:rsidRPr="00955AC1">
              <w:rPr>
                <w:rFonts w:ascii="Times New Roman" w:hAnsi="Times New Roman" w:cs="Times New Roman"/>
              </w:rPr>
              <w:t>:</w:t>
            </w:r>
            <w:r w:rsidR="000D57AA" w:rsidRPr="00955AC1">
              <w:rPr>
                <w:rFonts w:ascii="Times New Roman" w:hAnsi="Times New Roman" w:cs="Times New Roman"/>
              </w:rPr>
              <w:t xml:space="preserve"> </w:t>
            </w:r>
          </w:p>
          <w:p w14:paraId="6911271E" w14:textId="79297D4A" w:rsidR="00154B02" w:rsidRPr="00955AC1" w:rsidRDefault="00154B02" w:rsidP="00F75B8F">
            <w:pPr>
              <w:pStyle w:val="ListParagraph"/>
              <w:numPr>
                <w:ilvl w:val="2"/>
                <w:numId w:val="1"/>
              </w:numPr>
              <w:rPr>
                <w:rFonts w:ascii="Times New Roman" w:hAnsi="Times New Roman" w:cs="Times New Roman"/>
              </w:rPr>
            </w:pPr>
            <w:r w:rsidRPr="00955AC1">
              <w:rPr>
                <w:rFonts w:ascii="Times New Roman" w:hAnsi="Times New Roman" w:cs="Times New Roman"/>
              </w:rPr>
              <w:t>Added</w:t>
            </w:r>
            <w:r w:rsidR="00D27378" w:rsidRPr="00955AC1">
              <w:rPr>
                <w:rFonts w:ascii="Times New Roman" w:hAnsi="Times New Roman" w:cs="Times New Roman"/>
              </w:rPr>
              <w:t>: “</w:t>
            </w:r>
            <w:r w:rsidR="00315349" w:rsidRPr="00955AC1">
              <w:rPr>
                <w:rFonts w:ascii="Times New Roman" w:hAnsi="Times New Roman" w:cs="Times New Roman"/>
              </w:rPr>
              <w:t>4%/Bonds Round Application Requirements and Procedures</w:t>
            </w:r>
            <w:r w:rsidR="00DE1BF1" w:rsidRPr="00955AC1">
              <w:rPr>
                <w:rFonts w:ascii="Times New Roman" w:hAnsi="Times New Roman" w:cs="Times New Roman"/>
              </w:rPr>
              <w:t>”</w:t>
            </w:r>
          </w:p>
          <w:p w14:paraId="140E6AED" w14:textId="6D390D3F" w:rsidR="00DE1BF1" w:rsidRPr="00955AC1" w:rsidRDefault="004B4380" w:rsidP="009A5E6C">
            <w:pPr>
              <w:pStyle w:val="ListParagraph"/>
              <w:numPr>
                <w:ilvl w:val="2"/>
                <w:numId w:val="1"/>
              </w:numPr>
              <w:rPr>
                <w:rFonts w:ascii="Times New Roman" w:hAnsi="Times New Roman" w:cs="Times New Roman"/>
              </w:rPr>
            </w:pPr>
            <w:r w:rsidRPr="00955AC1">
              <w:rPr>
                <w:rFonts w:ascii="Times New Roman" w:hAnsi="Times New Roman" w:cs="Times New Roman"/>
              </w:rPr>
              <w:t>Deleted</w:t>
            </w:r>
            <w:r w:rsidR="00DE1BF1" w:rsidRPr="00955AC1">
              <w:rPr>
                <w:rFonts w:ascii="Times New Roman" w:hAnsi="Times New Roman" w:cs="Times New Roman"/>
              </w:rPr>
              <w:t>:</w:t>
            </w:r>
            <w:r w:rsidRPr="00955AC1">
              <w:rPr>
                <w:rFonts w:ascii="Times New Roman" w:hAnsi="Times New Roman" w:cs="Times New Roman"/>
              </w:rPr>
              <w:t xml:space="preserve"> “Manuals” </w:t>
            </w:r>
          </w:p>
          <w:p w14:paraId="68531747" w14:textId="206A7853" w:rsidR="00F74AB6" w:rsidRPr="00955AC1" w:rsidRDefault="004C5E35" w:rsidP="00EE089E">
            <w:pPr>
              <w:pStyle w:val="ListParagraph"/>
              <w:numPr>
                <w:ilvl w:val="3"/>
                <w:numId w:val="1"/>
              </w:numPr>
              <w:rPr>
                <w:rFonts w:ascii="Times New Roman" w:hAnsi="Times New Roman" w:cs="Times New Roman"/>
              </w:rPr>
            </w:pPr>
            <w:r w:rsidRPr="00955AC1">
              <w:rPr>
                <w:rFonts w:ascii="Times New Roman" w:hAnsi="Times New Roman" w:cs="Times New Roman"/>
              </w:rPr>
              <w:t xml:space="preserve">This impacted only Q&amp;A: </w:t>
            </w:r>
            <w:r w:rsidRPr="00955AC1">
              <w:rPr>
                <w:rFonts w:ascii="Times New Roman" w:hAnsi="Times New Roman" w:cs="Times New Roman"/>
                <w:b/>
                <w:bCs/>
              </w:rPr>
              <w:t>0725_HFDR-1</w:t>
            </w:r>
          </w:p>
          <w:p w14:paraId="51C1CE91" w14:textId="78582420" w:rsidR="00506960" w:rsidRPr="00955AC1" w:rsidRDefault="00DE1BF1" w:rsidP="00F75B8F">
            <w:pPr>
              <w:pStyle w:val="ListParagraph"/>
              <w:numPr>
                <w:ilvl w:val="3"/>
                <w:numId w:val="1"/>
              </w:numPr>
              <w:rPr>
                <w:rFonts w:ascii="Times New Roman" w:hAnsi="Times New Roman" w:cs="Times New Roman"/>
              </w:rPr>
            </w:pPr>
            <w:r w:rsidRPr="00955AC1">
              <w:rPr>
                <w:rFonts w:ascii="Times New Roman" w:hAnsi="Times New Roman" w:cs="Times New Roman"/>
              </w:rPr>
              <w:t>A</w:t>
            </w:r>
            <w:r w:rsidR="00FC2233" w:rsidRPr="00955AC1">
              <w:rPr>
                <w:rFonts w:ascii="Times New Roman" w:hAnsi="Times New Roman" w:cs="Times New Roman"/>
              </w:rPr>
              <w:t xml:space="preserve">ll </w:t>
            </w:r>
            <w:r w:rsidR="00EF3879" w:rsidRPr="00955AC1">
              <w:rPr>
                <w:rFonts w:ascii="Times New Roman" w:hAnsi="Times New Roman" w:cs="Times New Roman"/>
              </w:rPr>
              <w:t xml:space="preserve">other </w:t>
            </w:r>
            <w:r w:rsidR="0096557B" w:rsidRPr="00955AC1">
              <w:rPr>
                <w:rFonts w:ascii="Times New Roman" w:hAnsi="Times New Roman" w:cs="Times New Roman"/>
              </w:rPr>
              <w:t xml:space="preserve">questions pertaining to manuals </w:t>
            </w:r>
            <w:r w:rsidR="003C339F" w:rsidRPr="00955AC1">
              <w:rPr>
                <w:rFonts w:ascii="Times New Roman" w:hAnsi="Times New Roman" w:cs="Times New Roman"/>
              </w:rPr>
              <w:t xml:space="preserve">have </w:t>
            </w:r>
            <w:r w:rsidR="00355EF4" w:rsidRPr="00955AC1">
              <w:rPr>
                <w:rFonts w:ascii="Times New Roman" w:hAnsi="Times New Roman" w:cs="Times New Roman"/>
              </w:rPr>
              <w:t xml:space="preserve">up to this point </w:t>
            </w:r>
            <w:r w:rsidR="003C339F" w:rsidRPr="00955AC1">
              <w:rPr>
                <w:rFonts w:ascii="Times New Roman" w:hAnsi="Times New Roman" w:cs="Times New Roman"/>
              </w:rPr>
              <w:t xml:space="preserve">been posted </w:t>
            </w:r>
            <w:r w:rsidR="00FC2233" w:rsidRPr="00955AC1">
              <w:rPr>
                <w:rFonts w:ascii="Times New Roman" w:hAnsi="Times New Roman" w:cs="Times New Roman"/>
              </w:rPr>
              <w:t xml:space="preserve">under </w:t>
            </w:r>
            <w:r w:rsidR="00455045" w:rsidRPr="00955AC1">
              <w:rPr>
                <w:rFonts w:ascii="Times New Roman" w:hAnsi="Times New Roman" w:cs="Times New Roman"/>
              </w:rPr>
              <w:t xml:space="preserve">the </w:t>
            </w:r>
            <w:r w:rsidR="003E4150" w:rsidRPr="00955AC1">
              <w:rPr>
                <w:rFonts w:ascii="Times New Roman" w:hAnsi="Times New Roman" w:cs="Times New Roman"/>
              </w:rPr>
              <w:t xml:space="preserve">associated </w:t>
            </w:r>
            <w:r w:rsidR="00FC2233" w:rsidRPr="00955AC1">
              <w:rPr>
                <w:rFonts w:ascii="Times New Roman" w:hAnsi="Times New Roman" w:cs="Times New Roman"/>
              </w:rPr>
              <w:t xml:space="preserve">QAP </w:t>
            </w:r>
            <w:r w:rsidR="00FC2233" w:rsidRPr="00955AC1">
              <w:rPr>
                <w:rFonts w:ascii="Times New Roman" w:hAnsi="Times New Roman" w:cs="Times New Roman"/>
              </w:rPr>
              <w:lastRenderedPageBreak/>
              <w:t>section</w:t>
            </w:r>
            <w:r w:rsidR="00B67F3E" w:rsidRPr="00955AC1">
              <w:rPr>
                <w:rFonts w:ascii="Times New Roman" w:hAnsi="Times New Roman" w:cs="Times New Roman"/>
              </w:rPr>
              <w:t xml:space="preserve"> category</w:t>
            </w:r>
            <w:r w:rsidR="00976447" w:rsidRPr="00955AC1">
              <w:rPr>
                <w:rFonts w:ascii="Times New Roman" w:hAnsi="Times New Roman" w:cs="Times New Roman"/>
              </w:rPr>
              <w:t>.</w:t>
            </w:r>
            <w:r w:rsidR="001C719C" w:rsidRPr="00955AC1">
              <w:rPr>
                <w:rFonts w:ascii="Times New Roman" w:hAnsi="Times New Roman" w:cs="Times New Roman"/>
              </w:rPr>
              <w:br/>
            </w:r>
          </w:p>
          <w:p w14:paraId="1F24D845" w14:textId="1785C384" w:rsidR="008D5755" w:rsidRPr="00955AC1" w:rsidRDefault="00EE089E" w:rsidP="69621A9A">
            <w:pPr>
              <w:pStyle w:val="ListParagraph"/>
              <w:numPr>
                <w:ilvl w:val="0"/>
                <w:numId w:val="1"/>
              </w:numPr>
              <w:rPr>
                <w:rFonts w:ascii="Times New Roman" w:hAnsi="Times New Roman" w:cs="Times New Roman"/>
              </w:rPr>
            </w:pPr>
            <w:r w:rsidRPr="00955AC1">
              <w:rPr>
                <w:rFonts w:ascii="Times New Roman" w:hAnsi="Times New Roman" w:cs="Times New Roman"/>
              </w:rPr>
              <w:t xml:space="preserve">Changes to </w:t>
            </w:r>
            <w:r w:rsidR="008D5755" w:rsidRPr="00955AC1">
              <w:rPr>
                <w:rFonts w:ascii="Times New Roman" w:hAnsi="Times New Roman" w:cs="Times New Roman"/>
                <w:b/>
                <w:bCs/>
              </w:rPr>
              <w:t>Part II: Question and Answer Table</w:t>
            </w:r>
            <w:r w:rsidR="00CB63D6" w:rsidRPr="00955AC1">
              <w:rPr>
                <w:rFonts w:ascii="Times New Roman" w:hAnsi="Times New Roman" w:cs="Times New Roman"/>
                <w:b/>
                <w:bCs/>
              </w:rPr>
              <w:t xml:space="preserve"> </w:t>
            </w:r>
            <w:r w:rsidR="00CB63D6" w:rsidRPr="00955AC1">
              <w:rPr>
                <w:rFonts w:ascii="Times New Roman" w:hAnsi="Times New Roman" w:cs="Times New Roman"/>
              </w:rPr>
              <w:t>below:</w:t>
            </w:r>
            <w:r w:rsidR="008D5755" w:rsidRPr="00955AC1">
              <w:rPr>
                <w:rFonts w:ascii="Times New Roman" w:hAnsi="Times New Roman" w:cs="Times New Roman"/>
              </w:rPr>
              <w:t xml:space="preserve"> </w:t>
            </w:r>
          </w:p>
          <w:p w14:paraId="4C0D7CD4" w14:textId="3F66B7D4" w:rsidR="00CB63D6" w:rsidRPr="00955AC1" w:rsidRDefault="005177AC" w:rsidP="00EE6235">
            <w:pPr>
              <w:pStyle w:val="ListParagraph"/>
              <w:numPr>
                <w:ilvl w:val="1"/>
                <w:numId w:val="1"/>
              </w:numPr>
              <w:rPr>
                <w:rFonts w:ascii="Times New Roman" w:hAnsi="Times New Roman" w:cs="Times New Roman"/>
              </w:rPr>
            </w:pPr>
            <w:r w:rsidRPr="00955AC1">
              <w:rPr>
                <w:rFonts w:ascii="Times New Roman" w:hAnsi="Times New Roman" w:cs="Times New Roman"/>
              </w:rPr>
              <w:t>New Q&amp;A set posted</w:t>
            </w:r>
          </w:p>
          <w:p w14:paraId="44027487" w14:textId="77777777" w:rsidR="00487624" w:rsidRPr="00955AC1" w:rsidRDefault="00627E36" w:rsidP="00EE6235">
            <w:pPr>
              <w:pStyle w:val="ListParagraph"/>
              <w:numPr>
                <w:ilvl w:val="1"/>
                <w:numId w:val="1"/>
              </w:numPr>
              <w:rPr>
                <w:rFonts w:ascii="Times New Roman" w:hAnsi="Times New Roman" w:cs="Times New Roman"/>
              </w:rPr>
            </w:pPr>
            <w:r w:rsidRPr="00955AC1">
              <w:rPr>
                <w:rFonts w:ascii="Times New Roman" w:hAnsi="Times New Roman" w:cs="Times New Roman"/>
              </w:rPr>
              <w:t xml:space="preserve">Removed </w:t>
            </w:r>
            <w:r w:rsidR="00487624" w:rsidRPr="00955AC1">
              <w:rPr>
                <w:rFonts w:ascii="Times New Roman" w:hAnsi="Times New Roman" w:cs="Times New Roman"/>
              </w:rPr>
              <w:t>the following Q&amp;A postings:</w:t>
            </w:r>
          </w:p>
          <w:p w14:paraId="51B235D5" w14:textId="2326A1E0" w:rsidR="00627E36" w:rsidRPr="00955AC1" w:rsidRDefault="00627E36" w:rsidP="00487624">
            <w:pPr>
              <w:pStyle w:val="ListParagraph"/>
              <w:numPr>
                <w:ilvl w:val="2"/>
                <w:numId w:val="1"/>
              </w:numPr>
              <w:rPr>
                <w:rFonts w:ascii="Times New Roman" w:hAnsi="Times New Roman" w:cs="Times New Roman"/>
              </w:rPr>
            </w:pPr>
            <w:r w:rsidRPr="00955AC1">
              <w:rPr>
                <w:rFonts w:ascii="Times New Roman" w:hAnsi="Times New Roman" w:cs="Times New Roman"/>
              </w:rPr>
              <w:t xml:space="preserve">Q&amp;As </w:t>
            </w:r>
            <w:r w:rsidR="00BB36FB" w:rsidRPr="00955AC1">
              <w:rPr>
                <w:rFonts w:ascii="Times New Roman" w:hAnsi="Times New Roman" w:cs="Times New Roman"/>
              </w:rPr>
              <w:t xml:space="preserve">only </w:t>
            </w:r>
            <w:r w:rsidRPr="00955AC1">
              <w:rPr>
                <w:rFonts w:ascii="Times New Roman" w:hAnsi="Times New Roman" w:cs="Times New Roman"/>
              </w:rPr>
              <w:t>applicable to the 2022 9% Round</w:t>
            </w:r>
          </w:p>
          <w:p w14:paraId="39E939D0" w14:textId="74437C2E" w:rsidR="00487624" w:rsidRPr="00955AC1" w:rsidRDefault="00487624" w:rsidP="00F75B8F">
            <w:pPr>
              <w:pStyle w:val="ListParagraph"/>
              <w:numPr>
                <w:ilvl w:val="2"/>
                <w:numId w:val="1"/>
              </w:numPr>
              <w:rPr>
                <w:rFonts w:ascii="Times New Roman" w:hAnsi="Times New Roman" w:cs="Times New Roman"/>
              </w:rPr>
            </w:pPr>
            <w:r w:rsidRPr="00955AC1">
              <w:rPr>
                <w:rFonts w:ascii="Times New Roman" w:hAnsi="Times New Roman" w:cs="Times New Roman"/>
              </w:rPr>
              <w:t>Q&amp;As clarifying “Flexible Share” requirements</w:t>
            </w:r>
            <w:r w:rsidR="00957D8E" w:rsidRPr="00955AC1">
              <w:rPr>
                <w:rFonts w:ascii="Times New Roman" w:hAnsi="Times New Roman" w:cs="Times New Roman"/>
              </w:rPr>
              <w:t xml:space="preserve"> </w:t>
            </w:r>
          </w:p>
          <w:p w14:paraId="0BDFD340" w14:textId="1950F420" w:rsidR="00ED0D33" w:rsidRPr="00955AC1" w:rsidRDefault="00F568F7" w:rsidP="00F75B8F">
            <w:pPr>
              <w:pStyle w:val="ListParagraph"/>
              <w:numPr>
                <w:ilvl w:val="1"/>
                <w:numId w:val="1"/>
              </w:numPr>
              <w:rPr>
                <w:rFonts w:ascii="Times New Roman" w:hAnsi="Times New Roman" w:cs="Times New Roman"/>
              </w:rPr>
            </w:pPr>
            <w:r w:rsidRPr="00955AC1">
              <w:rPr>
                <w:rFonts w:ascii="Times New Roman" w:hAnsi="Times New Roman" w:cs="Times New Roman"/>
              </w:rPr>
              <w:t xml:space="preserve">Flagged Q&amp;As that reference the 9% Round </w:t>
            </w:r>
            <w:r w:rsidR="00506DFC" w:rsidRPr="00955AC1">
              <w:rPr>
                <w:rFonts w:ascii="Times New Roman" w:hAnsi="Times New Roman" w:cs="Times New Roman"/>
              </w:rPr>
              <w:t xml:space="preserve">but </w:t>
            </w:r>
            <w:r w:rsidRPr="00955AC1">
              <w:rPr>
                <w:rFonts w:ascii="Times New Roman" w:hAnsi="Times New Roman" w:cs="Times New Roman"/>
              </w:rPr>
              <w:t xml:space="preserve">contain information relevant to 4%/Bonds applications. </w:t>
            </w:r>
          </w:p>
        </w:tc>
      </w:tr>
      <w:tr w:rsidR="69621A9A" w:rsidRPr="00955AC1" w14:paraId="2C4B8E35" w14:textId="77777777" w:rsidTr="69621A9A">
        <w:trPr>
          <w:jc w:val="center"/>
        </w:trPr>
        <w:tc>
          <w:tcPr>
            <w:tcW w:w="1165" w:type="dxa"/>
            <w:tcMar>
              <w:top w:w="72" w:type="dxa"/>
              <w:left w:w="115" w:type="dxa"/>
              <w:bottom w:w="72" w:type="dxa"/>
              <w:right w:w="115" w:type="dxa"/>
            </w:tcMar>
            <w:vAlign w:val="center"/>
          </w:tcPr>
          <w:p w14:paraId="7AF76D1A" w14:textId="69E2066E" w:rsidR="7EC83113" w:rsidRPr="00955AC1" w:rsidRDefault="7EC83113" w:rsidP="69621A9A">
            <w:pPr>
              <w:rPr>
                <w:rFonts w:ascii="Times New Roman" w:hAnsi="Times New Roman" w:cs="Times New Roman"/>
              </w:rPr>
            </w:pPr>
            <w:r w:rsidRPr="00955AC1">
              <w:rPr>
                <w:rFonts w:ascii="Times New Roman" w:hAnsi="Times New Roman" w:cs="Times New Roman"/>
              </w:rPr>
              <w:lastRenderedPageBreak/>
              <w:t>8/31/22</w:t>
            </w:r>
          </w:p>
        </w:tc>
        <w:tc>
          <w:tcPr>
            <w:tcW w:w="8010" w:type="dxa"/>
            <w:tcMar>
              <w:top w:w="72" w:type="dxa"/>
              <w:left w:w="115" w:type="dxa"/>
              <w:bottom w:w="72" w:type="dxa"/>
              <w:right w:w="115" w:type="dxa"/>
            </w:tcMar>
            <w:vAlign w:val="center"/>
          </w:tcPr>
          <w:p w14:paraId="24932564" w14:textId="55D2E7A4" w:rsidR="7EC83113" w:rsidRPr="00955AC1" w:rsidRDefault="7EC83113" w:rsidP="69621A9A">
            <w:pPr>
              <w:pStyle w:val="ListParagraph"/>
              <w:numPr>
                <w:ilvl w:val="0"/>
                <w:numId w:val="1"/>
              </w:numPr>
              <w:rPr>
                <w:rFonts w:eastAsiaTheme="minorEastAsia"/>
              </w:rPr>
            </w:pPr>
            <w:r w:rsidRPr="00955AC1">
              <w:rPr>
                <w:rFonts w:ascii="Times New Roman" w:hAnsi="Times New Roman" w:cs="Times New Roman"/>
              </w:rPr>
              <w:t>New Q&amp;A set posted</w:t>
            </w:r>
          </w:p>
        </w:tc>
      </w:tr>
      <w:tr w:rsidR="028CE5D1" w:rsidRPr="00955AC1" w14:paraId="3394DB53" w14:textId="77777777" w:rsidTr="69621A9A">
        <w:trPr>
          <w:jc w:val="center"/>
        </w:trPr>
        <w:tc>
          <w:tcPr>
            <w:tcW w:w="1165" w:type="dxa"/>
            <w:tcMar>
              <w:top w:w="72" w:type="dxa"/>
              <w:left w:w="115" w:type="dxa"/>
              <w:bottom w:w="72" w:type="dxa"/>
              <w:right w:w="115" w:type="dxa"/>
            </w:tcMar>
            <w:vAlign w:val="center"/>
          </w:tcPr>
          <w:p w14:paraId="031DC86F" w14:textId="448F95DE" w:rsidR="028CE5D1" w:rsidRPr="00955AC1" w:rsidRDefault="028CE5D1" w:rsidP="028CE5D1">
            <w:pPr>
              <w:rPr>
                <w:rFonts w:ascii="Times New Roman" w:hAnsi="Times New Roman" w:cs="Times New Roman"/>
              </w:rPr>
            </w:pPr>
            <w:r w:rsidRPr="00955AC1">
              <w:rPr>
                <w:rFonts w:ascii="Times New Roman" w:hAnsi="Times New Roman" w:cs="Times New Roman"/>
              </w:rPr>
              <w:t>8/5/22</w:t>
            </w:r>
          </w:p>
        </w:tc>
        <w:tc>
          <w:tcPr>
            <w:tcW w:w="8010" w:type="dxa"/>
            <w:tcMar>
              <w:top w:w="72" w:type="dxa"/>
              <w:left w:w="115" w:type="dxa"/>
              <w:bottom w:w="72" w:type="dxa"/>
              <w:right w:w="115" w:type="dxa"/>
            </w:tcMar>
            <w:vAlign w:val="center"/>
          </w:tcPr>
          <w:p w14:paraId="38B2AAB5" w14:textId="622FF6CF" w:rsidR="028CE5D1" w:rsidRPr="00955AC1" w:rsidRDefault="028CE5D1" w:rsidP="006F437F">
            <w:pPr>
              <w:pStyle w:val="ListParagraph"/>
              <w:numPr>
                <w:ilvl w:val="0"/>
                <w:numId w:val="57"/>
              </w:numPr>
              <w:rPr>
                <w:rFonts w:eastAsiaTheme="minorEastAsia"/>
              </w:rPr>
            </w:pPr>
            <w:r w:rsidRPr="00955AC1">
              <w:rPr>
                <w:rFonts w:ascii="Times New Roman" w:hAnsi="Times New Roman" w:cs="Times New Roman"/>
              </w:rPr>
              <w:t xml:space="preserve">New Q&amp;A set posted </w:t>
            </w:r>
          </w:p>
        </w:tc>
      </w:tr>
      <w:tr w:rsidR="00735BD9" w:rsidRPr="00955AC1" w14:paraId="5FAB8981" w14:textId="77777777" w:rsidTr="69621A9A">
        <w:trPr>
          <w:jc w:val="center"/>
        </w:trPr>
        <w:tc>
          <w:tcPr>
            <w:tcW w:w="1165" w:type="dxa"/>
            <w:tcMar>
              <w:top w:w="72" w:type="dxa"/>
              <w:left w:w="115" w:type="dxa"/>
              <w:bottom w:w="72" w:type="dxa"/>
              <w:right w:w="115" w:type="dxa"/>
            </w:tcMar>
            <w:vAlign w:val="center"/>
          </w:tcPr>
          <w:p w14:paraId="22CD7E0E" w14:textId="77777777" w:rsidR="00735BD9" w:rsidRPr="00955AC1" w:rsidRDefault="00735BD9" w:rsidP="1995616E">
            <w:pPr>
              <w:rPr>
                <w:rFonts w:ascii="Times New Roman" w:hAnsi="Times New Roman" w:cs="Times New Roman"/>
              </w:rPr>
            </w:pPr>
            <w:r w:rsidRPr="00955AC1">
              <w:rPr>
                <w:rFonts w:ascii="Times New Roman" w:hAnsi="Times New Roman" w:cs="Times New Roman"/>
              </w:rPr>
              <w:t>7/27/22</w:t>
            </w:r>
          </w:p>
        </w:tc>
        <w:tc>
          <w:tcPr>
            <w:tcW w:w="8010" w:type="dxa"/>
            <w:tcMar>
              <w:top w:w="72" w:type="dxa"/>
              <w:left w:w="115" w:type="dxa"/>
              <w:bottom w:w="72" w:type="dxa"/>
              <w:right w:w="115" w:type="dxa"/>
            </w:tcMar>
            <w:vAlign w:val="center"/>
          </w:tcPr>
          <w:p w14:paraId="2BF2B29F" w14:textId="41893189" w:rsidR="00754644" w:rsidRPr="00955AC1" w:rsidRDefault="00682D4F" w:rsidP="006F437F">
            <w:pPr>
              <w:pStyle w:val="ListParagraph"/>
              <w:numPr>
                <w:ilvl w:val="0"/>
                <w:numId w:val="4"/>
              </w:numPr>
              <w:rPr>
                <w:rFonts w:ascii="Times New Roman" w:hAnsi="Times New Roman" w:cs="Times New Roman"/>
              </w:rPr>
            </w:pPr>
            <w:r w:rsidRPr="00955AC1">
              <w:rPr>
                <w:rFonts w:ascii="Times New Roman" w:hAnsi="Times New Roman" w:cs="Times New Roman"/>
              </w:rPr>
              <w:t>Updated</w:t>
            </w:r>
            <w:r w:rsidRPr="00955AC1">
              <w:rPr>
                <w:rFonts w:ascii="Times New Roman" w:hAnsi="Times New Roman" w:cs="Times New Roman"/>
                <w:b/>
                <w:bCs/>
              </w:rPr>
              <w:t xml:space="preserve"> </w:t>
            </w:r>
            <w:r w:rsidR="00754644" w:rsidRPr="00955AC1">
              <w:rPr>
                <w:rFonts w:ascii="Times New Roman" w:hAnsi="Times New Roman" w:cs="Times New Roman"/>
                <w:b/>
                <w:bCs/>
              </w:rPr>
              <w:t>Part I. Overview</w:t>
            </w:r>
            <w:r w:rsidRPr="00955AC1">
              <w:rPr>
                <w:rFonts w:ascii="Times New Roman" w:hAnsi="Times New Roman" w:cs="Times New Roman"/>
                <w:b/>
                <w:bCs/>
              </w:rPr>
              <w:t xml:space="preserve">, </w:t>
            </w:r>
            <w:r w:rsidRPr="00955AC1">
              <w:rPr>
                <w:rFonts w:ascii="Times New Roman" w:hAnsi="Times New Roman" w:cs="Times New Roman"/>
              </w:rPr>
              <w:t>subsection</w:t>
            </w:r>
            <w:r w:rsidRPr="00955AC1">
              <w:rPr>
                <w:rFonts w:ascii="Times New Roman" w:hAnsi="Times New Roman" w:cs="Times New Roman"/>
                <w:b/>
                <w:bCs/>
              </w:rPr>
              <w:t xml:space="preserve"> Deadline to Submit Questions for 4%/Bonds Competitive Round</w:t>
            </w:r>
            <w:r w:rsidR="00754644" w:rsidRPr="00955AC1">
              <w:rPr>
                <w:rFonts w:ascii="Times New Roman" w:hAnsi="Times New Roman" w:cs="Times New Roman"/>
              </w:rPr>
              <w:t>:</w:t>
            </w:r>
          </w:p>
          <w:p w14:paraId="14FD9C45" w14:textId="05D87C2E" w:rsidR="00754644" w:rsidRPr="00955AC1" w:rsidRDefault="005D7E95" w:rsidP="006F437F">
            <w:pPr>
              <w:pStyle w:val="ListParagraph"/>
              <w:numPr>
                <w:ilvl w:val="1"/>
                <w:numId w:val="4"/>
              </w:numPr>
              <w:rPr>
                <w:rFonts w:ascii="Times New Roman" w:hAnsi="Times New Roman" w:cs="Times New Roman"/>
              </w:rPr>
            </w:pPr>
            <w:r w:rsidRPr="00955AC1">
              <w:rPr>
                <w:rFonts w:ascii="Times New Roman" w:hAnsi="Times New Roman" w:cs="Times New Roman"/>
              </w:rPr>
              <w:t xml:space="preserve">Posted 4%/Bonds Competitive Round Q&amp;A </w:t>
            </w:r>
            <w:r w:rsidR="00157F34" w:rsidRPr="00955AC1">
              <w:rPr>
                <w:rFonts w:ascii="Times New Roman" w:hAnsi="Times New Roman" w:cs="Times New Roman"/>
              </w:rPr>
              <w:t xml:space="preserve">submission </w:t>
            </w:r>
            <w:r w:rsidRPr="00955AC1">
              <w:rPr>
                <w:rFonts w:ascii="Times New Roman" w:hAnsi="Times New Roman" w:cs="Times New Roman"/>
              </w:rPr>
              <w:t>deadline</w:t>
            </w:r>
            <w:r w:rsidR="009D2635" w:rsidRPr="00955AC1">
              <w:rPr>
                <w:rFonts w:ascii="Times New Roman" w:hAnsi="Times New Roman" w:cs="Times New Roman"/>
              </w:rPr>
              <w:br/>
            </w:r>
            <w:r w:rsidRPr="00955AC1">
              <w:rPr>
                <w:rFonts w:ascii="Times New Roman" w:hAnsi="Times New Roman" w:cs="Times New Roman"/>
              </w:rPr>
              <w:t xml:space="preserve"> </w:t>
            </w:r>
          </w:p>
          <w:p w14:paraId="24B4BB60" w14:textId="77777777" w:rsidR="00682D4F" w:rsidRPr="00955AC1" w:rsidRDefault="00682D4F" w:rsidP="006F437F">
            <w:pPr>
              <w:pStyle w:val="ListParagraph"/>
              <w:numPr>
                <w:ilvl w:val="0"/>
                <w:numId w:val="4"/>
              </w:numPr>
              <w:rPr>
                <w:rFonts w:ascii="Times New Roman" w:hAnsi="Times New Roman" w:cs="Times New Roman"/>
              </w:rPr>
            </w:pPr>
            <w:r w:rsidRPr="00955AC1">
              <w:rPr>
                <w:rFonts w:ascii="Times New Roman" w:hAnsi="Times New Roman" w:cs="Times New Roman"/>
              </w:rPr>
              <w:t xml:space="preserve">Updated </w:t>
            </w:r>
            <w:r w:rsidRPr="00955AC1">
              <w:rPr>
                <w:rFonts w:ascii="Times New Roman" w:hAnsi="Times New Roman" w:cs="Times New Roman"/>
                <w:b/>
                <w:bCs/>
              </w:rPr>
              <w:t>Part I. Overview</w:t>
            </w:r>
            <w:r w:rsidRPr="00955AC1">
              <w:rPr>
                <w:rFonts w:ascii="Times New Roman" w:hAnsi="Times New Roman" w:cs="Times New Roman"/>
              </w:rPr>
              <w:t xml:space="preserve">, subsection </w:t>
            </w:r>
            <w:r w:rsidRPr="00955AC1">
              <w:rPr>
                <w:rFonts w:ascii="Times New Roman" w:hAnsi="Times New Roman" w:cs="Times New Roman"/>
                <w:b/>
                <w:bCs/>
              </w:rPr>
              <w:t>Navigating the Q&amp;A Table</w:t>
            </w:r>
            <w:r w:rsidRPr="00955AC1">
              <w:rPr>
                <w:rFonts w:ascii="Times New Roman" w:hAnsi="Times New Roman" w:cs="Times New Roman"/>
              </w:rPr>
              <w:t xml:space="preserve">: </w:t>
            </w:r>
          </w:p>
          <w:p w14:paraId="4788ED88" w14:textId="5D2094FA" w:rsidR="00190F1D" w:rsidRPr="00955AC1" w:rsidRDefault="00735BD9" w:rsidP="006F437F">
            <w:pPr>
              <w:pStyle w:val="ListParagraph"/>
              <w:numPr>
                <w:ilvl w:val="1"/>
                <w:numId w:val="4"/>
              </w:numPr>
              <w:rPr>
                <w:rFonts w:ascii="Times New Roman" w:hAnsi="Times New Roman" w:cs="Times New Roman"/>
              </w:rPr>
            </w:pPr>
            <w:r w:rsidRPr="00955AC1">
              <w:rPr>
                <w:rFonts w:ascii="Times New Roman" w:hAnsi="Times New Roman" w:cs="Times New Roman"/>
              </w:rPr>
              <w:t>Added</w:t>
            </w:r>
            <w:r w:rsidR="007A5DCC" w:rsidRPr="00955AC1">
              <w:rPr>
                <w:rFonts w:ascii="Times New Roman" w:hAnsi="Times New Roman" w:cs="Times New Roman"/>
              </w:rPr>
              <w:t xml:space="preserve"> category “8</w:t>
            </w:r>
            <w:r w:rsidR="004D5F7A" w:rsidRPr="00955AC1">
              <w:rPr>
                <w:rFonts w:ascii="Times New Roman" w:hAnsi="Times New Roman" w:cs="Times New Roman"/>
              </w:rPr>
              <w:t xml:space="preserve">” </w:t>
            </w:r>
            <w:r w:rsidR="004B6463" w:rsidRPr="00955AC1">
              <w:rPr>
                <w:rFonts w:ascii="Times New Roman" w:hAnsi="Times New Roman" w:cs="Times New Roman"/>
              </w:rPr>
              <w:t xml:space="preserve">for questions about </w:t>
            </w:r>
            <w:r w:rsidR="007A5DCC" w:rsidRPr="00955AC1">
              <w:rPr>
                <w:rFonts w:ascii="Times New Roman" w:hAnsi="Times New Roman" w:cs="Times New Roman"/>
              </w:rPr>
              <w:t xml:space="preserve">4%/Bonds Competitive Round Administration </w:t>
            </w:r>
            <w:r w:rsidR="009D2635" w:rsidRPr="00955AC1">
              <w:rPr>
                <w:rFonts w:ascii="Times New Roman" w:hAnsi="Times New Roman" w:cs="Times New Roman"/>
              </w:rPr>
              <w:br/>
            </w:r>
          </w:p>
          <w:p w14:paraId="69F52E98" w14:textId="77777777" w:rsidR="00110520" w:rsidRPr="00955AC1" w:rsidRDefault="00110520" w:rsidP="006F437F">
            <w:pPr>
              <w:pStyle w:val="ListParagraph"/>
              <w:numPr>
                <w:ilvl w:val="0"/>
                <w:numId w:val="4"/>
              </w:numPr>
              <w:rPr>
                <w:rFonts w:ascii="Times New Roman" w:hAnsi="Times New Roman" w:cs="Times New Roman"/>
              </w:rPr>
            </w:pPr>
            <w:r w:rsidRPr="00955AC1">
              <w:rPr>
                <w:rFonts w:ascii="Times New Roman" w:hAnsi="Times New Roman" w:cs="Times New Roman"/>
              </w:rPr>
              <w:t xml:space="preserve">Updated </w:t>
            </w:r>
            <w:r w:rsidRPr="00955AC1">
              <w:rPr>
                <w:rFonts w:ascii="Times New Roman" w:hAnsi="Times New Roman" w:cs="Times New Roman"/>
                <w:b/>
                <w:bCs/>
              </w:rPr>
              <w:t>Part II: Question and Answer Table</w:t>
            </w:r>
            <w:r w:rsidRPr="00955AC1">
              <w:rPr>
                <w:rFonts w:ascii="Times New Roman" w:hAnsi="Times New Roman" w:cs="Times New Roman"/>
              </w:rPr>
              <w:t>:</w:t>
            </w:r>
          </w:p>
          <w:p w14:paraId="2EA3DEEA" w14:textId="35926876" w:rsidR="003239CC" w:rsidRPr="00955AC1" w:rsidRDefault="00872FD0" w:rsidP="006F437F">
            <w:pPr>
              <w:pStyle w:val="ListParagraph"/>
              <w:numPr>
                <w:ilvl w:val="1"/>
                <w:numId w:val="4"/>
              </w:numPr>
              <w:rPr>
                <w:rFonts w:ascii="Times New Roman" w:hAnsi="Times New Roman" w:cs="Times New Roman"/>
              </w:rPr>
            </w:pPr>
            <w:r w:rsidRPr="00955AC1">
              <w:rPr>
                <w:rFonts w:ascii="Times New Roman" w:hAnsi="Times New Roman" w:cs="Times New Roman"/>
              </w:rPr>
              <w:t>F</w:t>
            </w:r>
            <w:r w:rsidR="003239CC" w:rsidRPr="00955AC1">
              <w:rPr>
                <w:rFonts w:ascii="Times New Roman" w:hAnsi="Times New Roman" w:cs="Times New Roman"/>
              </w:rPr>
              <w:t xml:space="preserve">irst Q&amp;A </w:t>
            </w:r>
            <w:r w:rsidR="00110520" w:rsidRPr="00955AC1">
              <w:rPr>
                <w:rFonts w:ascii="Times New Roman" w:hAnsi="Times New Roman" w:cs="Times New Roman"/>
              </w:rPr>
              <w:t xml:space="preserve">set </w:t>
            </w:r>
            <w:r w:rsidR="003239CC" w:rsidRPr="00955AC1">
              <w:rPr>
                <w:rFonts w:ascii="Times New Roman" w:hAnsi="Times New Roman" w:cs="Times New Roman"/>
              </w:rPr>
              <w:t>posted for purposes of the 4%/Bonds Competitive Round</w:t>
            </w:r>
            <w:r w:rsidR="0022267E" w:rsidRPr="00955AC1">
              <w:rPr>
                <w:rFonts w:ascii="Times New Roman" w:hAnsi="Times New Roman" w:cs="Times New Roman"/>
              </w:rPr>
              <w:t xml:space="preserve">. </w:t>
            </w:r>
          </w:p>
        </w:tc>
      </w:tr>
    </w:tbl>
    <w:p w14:paraId="09C9DF0C" w14:textId="028B2F61" w:rsidR="005873CE" w:rsidRPr="00955AC1" w:rsidRDefault="005873CE">
      <w:pPr>
        <w:rPr>
          <w:rFonts w:ascii="Times New Roman" w:hAnsi="Times New Roman" w:cs="Times New Roman"/>
        </w:rPr>
      </w:pPr>
    </w:p>
    <w:p w14:paraId="576F9EA1" w14:textId="77777777" w:rsidR="00246189" w:rsidRPr="00955AC1" w:rsidRDefault="00246189">
      <w:pPr>
        <w:rPr>
          <w:rFonts w:ascii="Times New Roman" w:eastAsiaTheme="majorEastAsia" w:hAnsi="Times New Roman" w:cs="Times New Roman"/>
          <w:color w:val="2F5496" w:themeColor="accent1" w:themeShade="BF"/>
          <w:sz w:val="32"/>
          <w:szCs w:val="32"/>
        </w:rPr>
      </w:pPr>
      <w:r w:rsidRPr="00955AC1">
        <w:rPr>
          <w:rFonts w:cs="Times New Roman"/>
        </w:rPr>
        <w:br w:type="page"/>
      </w:r>
    </w:p>
    <w:p w14:paraId="6863E81D" w14:textId="08E86B78" w:rsidR="00A75466" w:rsidRPr="00955AC1" w:rsidRDefault="00E54915" w:rsidP="00D477ED">
      <w:pPr>
        <w:pStyle w:val="Heading1"/>
        <w:rPr>
          <w:rFonts w:cs="Times New Roman"/>
        </w:rPr>
      </w:pPr>
      <w:r w:rsidRPr="00955AC1">
        <w:rPr>
          <w:rFonts w:cs="Times New Roman"/>
        </w:rPr>
        <w:lastRenderedPageBreak/>
        <w:t xml:space="preserve">Part II: </w:t>
      </w:r>
      <w:r w:rsidR="00137597" w:rsidRPr="00955AC1">
        <w:rPr>
          <w:rFonts w:cs="Times New Roman"/>
        </w:rPr>
        <w:t>Question and Answer Table</w:t>
      </w:r>
      <w:r w:rsidR="00D477ED" w:rsidRPr="00955AC1">
        <w:rPr>
          <w:rFonts w:cs="Times New Roman"/>
        </w:rPr>
        <w:br/>
      </w:r>
    </w:p>
    <w:tbl>
      <w:tblPr>
        <w:tblStyle w:val="TableGrid"/>
        <w:tblW w:w="13945" w:type="dxa"/>
        <w:jc w:val="center"/>
        <w:tblLook w:val="04A0" w:firstRow="1" w:lastRow="0" w:firstColumn="1" w:lastColumn="0" w:noHBand="0" w:noVBand="1"/>
      </w:tblPr>
      <w:tblGrid>
        <w:gridCol w:w="1697"/>
        <w:gridCol w:w="2663"/>
        <w:gridCol w:w="9585"/>
      </w:tblGrid>
      <w:tr w:rsidR="00412798" w:rsidRPr="007424E0" w14:paraId="63D5FBAF" w14:textId="77777777" w:rsidTr="64301FE8">
        <w:trPr>
          <w:tblHeader/>
          <w:jc w:val="center"/>
        </w:trPr>
        <w:tc>
          <w:tcPr>
            <w:tcW w:w="1697" w:type="dxa"/>
            <w:shd w:val="clear" w:color="auto" w:fill="D9D9D9" w:themeFill="background1" w:themeFillShade="D9"/>
            <w:tcMar>
              <w:top w:w="72" w:type="dxa"/>
              <w:left w:w="115" w:type="dxa"/>
              <w:bottom w:w="72" w:type="dxa"/>
              <w:right w:w="115" w:type="dxa"/>
            </w:tcMar>
            <w:vAlign w:val="center"/>
          </w:tcPr>
          <w:p w14:paraId="25963E33" w14:textId="77777777" w:rsidR="00412798" w:rsidRPr="007424E0" w:rsidRDefault="00412798" w:rsidP="00163089">
            <w:pPr>
              <w:jc w:val="center"/>
              <w:rPr>
                <w:rFonts w:ascii="Times New Roman" w:hAnsi="Times New Roman" w:cs="Times New Roman"/>
                <w:b/>
                <w:bCs/>
                <w:noProof/>
              </w:rPr>
            </w:pPr>
            <w:r w:rsidRPr="007424E0">
              <w:rPr>
                <w:rFonts w:ascii="Times New Roman" w:hAnsi="Times New Roman" w:cs="Times New Roman"/>
                <w:b/>
                <w:bCs/>
                <w:noProof/>
              </w:rPr>
              <w:t>Date</w:t>
            </w:r>
          </w:p>
          <w:p w14:paraId="0FDCEA98" w14:textId="77777777" w:rsidR="00412798" w:rsidRPr="007424E0" w:rsidRDefault="00412798" w:rsidP="00163089">
            <w:pPr>
              <w:jc w:val="center"/>
              <w:rPr>
                <w:rFonts w:ascii="Times New Roman" w:hAnsi="Times New Roman" w:cs="Times New Roman"/>
                <w:b/>
                <w:bCs/>
                <w:noProof/>
              </w:rPr>
            </w:pPr>
            <w:r w:rsidRPr="007424E0">
              <w:rPr>
                <w:rFonts w:ascii="Times New Roman" w:hAnsi="Times New Roman" w:cs="Times New Roman"/>
                <w:b/>
                <w:bCs/>
                <w:noProof/>
              </w:rPr>
              <w:t>Posted</w:t>
            </w:r>
          </w:p>
        </w:tc>
        <w:tc>
          <w:tcPr>
            <w:tcW w:w="2663" w:type="dxa"/>
            <w:shd w:val="clear" w:color="auto" w:fill="D9D9D9" w:themeFill="background1" w:themeFillShade="D9"/>
            <w:tcMar>
              <w:top w:w="72" w:type="dxa"/>
              <w:left w:w="115" w:type="dxa"/>
              <w:bottom w:w="72" w:type="dxa"/>
              <w:right w:w="115" w:type="dxa"/>
            </w:tcMar>
            <w:vAlign w:val="center"/>
          </w:tcPr>
          <w:p w14:paraId="2920884F" w14:textId="77777777" w:rsidR="00412798" w:rsidRPr="007424E0" w:rsidRDefault="00412798" w:rsidP="00163089">
            <w:pPr>
              <w:jc w:val="center"/>
              <w:rPr>
                <w:rFonts w:ascii="Times New Roman" w:hAnsi="Times New Roman" w:cs="Times New Roman"/>
                <w:b/>
                <w:bCs/>
                <w:noProof/>
              </w:rPr>
            </w:pPr>
            <w:r w:rsidRPr="007424E0">
              <w:rPr>
                <w:rFonts w:ascii="Times New Roman" w:hAnsi="Times New Roman" w:cs="Times New Roman"/>
                <w:b/>
                <w:bCs/>
                <w:noProof/>
              </w:rPr>
              <w:t>Category</w:t>
            </w:r>
          </w:p>
        </w:tc>
        <w:tc>
          <w:tcPr>
            <w:tcW w:w="9585" w:type="dxa"/>
            <w:shd w:val="clear" w:color="auto" w:fill="D9D9D9" w:themeFill="background1" w:themeFillShade="D9"/>
            <w:tcMar>
              <w:top w:w="72" w:type="dxa"/>
              <w:left w:w="115" w:type="dxa"/>
              <w:bottom w:w="72" w:type="dxa"/>
              <w:right w:w="115" w:type="dxa"/>
            </w:tcMar>
            <w:vAlign w:val="center"/>
          </w:tcPr>
          <w:p w14:paraId="601A164A" w14:textId="77777777" w:rsidR="00412798" w:rsidRPr="007424E0" w:rsidRDefault="00412798" w:rsidP="00163089">
            <w:pPr>
              <w:jc w:val="center"/>
              <w:rPr>
                <w:rFonts w:ascii="Times New Roman" w:hAnsi="Times New Roman" w:cs="Times New Roman"/>
                <w:b/>
                <w:bCs/>
                <w:noProof/>
              </w:rPr>
            </w:pPr>
            <w:r w:rsidRPr="007424E0">
              <w:rPr>
                <w:rFonts w:ascii="Times New Roman" w:hAnsi="Times New Roman" w:cs="Times New Roman"/>
                <w:b/>
                <w:bCs/>
                <w:noProof/>
              </w:rPr>
              <w:t>Question and Answer</w:t>
            </w:r>
          </w:p>
        </w:tc>
      </w:tr>
      <w:tr w:rsidR="00412798" w:rsidRPr="007424E0" w14:paraId="1AD1F8F0"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23254A82" w14:textId="77777777" w:rsidR="00412798" w:rsidRPr="00502544" w:rsidRDefault="00412798" w:rsidP="000F6D48">
            <w:pP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10/12/22</w:t>
            </w:r>
          </w:p>
        </w:tc>
        <w:tc>
          <w:tcPr>
            <w:tcW w:w="2663" w:type="dxa"/>
            <w:shd w:val="clear" w:color="auto" w:fill="auto"/>
            <w:tcMar>
              <w:top w:w="72" w:type="dxa"/>
              <w:left w:w="115" w:type="dxa"/>
              <w:bottom w:w="72" w:type="dxa"/>
              <w:right w:w="115" w:type="dxa"/>
            </w:tcMar>
            <w:vAlign w:val="center"/>
          </w:tcPr>
          <w:p w14:paraId="68A82036"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1.10</w:t>
            </w:r>
          </w:p>
          <w:p w14:paraId="14E8A04C"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Core Plan;</w:t>
            </w:r>
          </w:p>
          <w:p w14:paraId="3B5A2D92" w14:textId="77777777" w:rsidR="00412798" w:rsidRPr="00502544" w:rsidRDefault="00412798" w:rsidP="00185971">
            <w:pPr>
              <w:rPr>
                <w:rFonts w:ascii="Times New Roman" w:hAnsi="Times New Roman" w:cs="Times New Roman"/>
                <w:sz w:val="20"/>
                <w:szCs w:val="20"/>
              </w:rPr>
            </w:pPr>
            <w:r>
              <w:rPr>
                <w:rFonts w:ascii="Times New Roman" w:hAnsi="Times New Roman" w:cs="Times New Roman"/>
                <w:sz w:val="20"/>
                <w:szCs w:val="20"/>
              </w:rPr>
              <w:t>4% Federal Credit – Bond Financed Projects</w:t>
            </w:r>
          </w:p>
        </w:tc>
        <w:tc>
          <w:tcPr>
            <w:tcW w:w="9585" w:type="dxa"/>
            <w:shd w:val="clear" w:color="auto" w:fill="auto"/>
            <w:tcMar>
              <w:top w:w="72" w:type="dxa"/>
              <w:left w:w="115" w:type="dxa"/>
              <w:bottom w:w="72" w:type="dxa"/>
              <w:right w:w="115" w:type="dxa"/>
            </w:tcMar>
            <w:vAlign w:val="center"/>
          </w:tcPr>
          <w:p w14:paraId="0D930918" w14:textId="77777777" w:rsidR="00412798" w:rsidRPr="00A37261" w:rsidRDefault="00412798" w:rsidP="00A37261">
            <w:pPr>
              <w:textAlignment w:val="baseline"/>
              <w:rPr>
                <w:rFonts w:ascii="Times New Roman" w:eastAsia="Times New Roman" w:hAnsi="Times New Roman" w:cs="Times New Roman"/>
                <w:b/>
                <w:bCs/>
                <w:sz w:val="20"/>
                <w:szCs w:val="20"/>
              </w:rPr>
            </w:pPr>
            <w:r w:rsidRPr="00A37261">
              <w:rPr>
                <w:rFonts w:ascii="Times New Roman" w:eastAsia="Times New Roman" w:hAnsi="Times New Roman" w:cs="Times New Roman"/>
                <w:b/>
                <w:bCs/>
                <w:sz w:val="20"/>
                <w:szCs w:val="20"/>
              </w:rPr>
              <w:t xml:space="preserve">Question ID: </w:t>
            </w:r>
            <w:r w:rsidRPr="00A37261">
              <w:rPr>
                <w:rFonts w:ascii="Times New Roman" w:eastAsia="Times New Roman" w:hAnsi="Times New Roman" w:cs="Times New Roman"/>
                <w:sz w:val="20"/>
                <w:szCs w:val="20"/>
              </w:rPr>
              <w:t>999133578 </w:t>
            </w:r>
          </w:p>
          <w:p w14:paraId="5CD08308" w14:textId="77777777" w:rsidR="00412798" w:rsidRPr="00A37261" w:rsidRDefault="00412798" w:rsidP="00A37261">
            <w:pPr>
              <w:textAlignment w:val="baseline"/>
              <w:rPr>
                <w:rFonts w:ascii="Times New Roman" w:eastAsia="Times New Roman" w:hAnsi="Times New Roman" w:cs="Times New Roman"/>
                <w:sz w:val="20"/>
                <w:szCs w:val="20"/>
              </w:rPr>
            </w:pPr>
            <w:r w:rsidRPr="00A37261">
              <w:rPr>
                <w:rFonts w:ascii="Times New Roman" w:eastAsia="Times New Roman" w:hAnsi="Times New Roman" w:cs="Times New Roman"/>
                <w:sz w:val="20"/>
                <w:szCs w:val="20"/>
              </w:rPr>
              <w:t>Would Ownership/Development interest count in a case where a development organization owns a passive 0.01% Special Limited Partner interest, but is not a developer in the project nor involved in the GP in any way? In other words, would that tiny passive interest count towards the two award limit? </w:t>
            </w:r>
            <w:r w:rsidRPr="00A37261">
              <w:rPr>
                <w:rFonts w:ascii="Times New Roman" w:eastAsia="Times New Roman" w:hAnsi="Times New Roman" w:cs="Times New Roman"/>
                <w:sz w:val="20"/>
                <w:szCs w:val="20"/>
              </w:rPr>
              <w:br/>
              <w:t> </w:t>
            </w:r>
          </w:p>
          <w:p w14:paraId="463FB547" w14:textId="77777777" w:rsidR="00412798" w:rsidRPr="00A37261" w:rsidRDefault="00412798" w:rsidP="00A37261">
            <w:pPr>
              <w:textAlignment w:val="baseline"/>
              <w:rPr>
                <w:rFonts w:ascii="Times New Roman" w:eastAsia="Times New Roman" w:hAnsi="Times New Roman" w:cs="Times New Roman"/>
                <w:b/>
                <w:bCs/>
                <w:sz w:val="20"/>
                <w:szCs w:val="20"/>
              </w:rPr>
            </w:pPr>
            <w:r w:rsidRPr="00A37261">
              <w:rPr>
                <w:rFonts w:ascii="Times New Roman" w:eastAsia="Times New Roman" w:hAnsi="Times New Roman" w:cs="Times New Roman"/>
                <w:b/>
                <w:bCs/>
                <w:sz w:val="20"/>
                <w:szCs w:val="20"/>
              </w:rPr>
              <w:t>Answer:  </w:t>
            </w:r>
          </w:p>
          <w:p w14:paraId="151A49CD" w14:textId="77777777" w:rsidR="00412798" w:rsidRPr="00A37261" w:rsidRDefault="00412798" w:rsidP="00A37261">
            <w:pPr>
              <w:textAlignment w:val="baseline"/>
              <w:rPr>
                <w:rFonts w:ascii="Times New Roman" w:eastAsia="Times New Roman" w:hAnsi="Times New Roman" w:cs="Times New Roman"/>
                <w:sz w:val="20"/>
                <w:szCs w:val="20"/>
              </w:rPr>
            </w:pPr>
            <w:r w:rsidRPr="00A37261">
              <w:rPr>
                <w:rFonts w:ascii="Times New Roman" w:eastAsia="Times New Roman" w:hAnsi="Times New Roman" w:cs="Times New Roman"/>
                <w:sz w:val="20"/>
                <w:szCs w:val="20"/>
              </w:rPr>
              <w:t xml:space="preserve">From </w:t>
            </w:r>
            <w:r w:rsidRPr="00A37261">
              <w:rPr>
                <w:rFonts w:ascii="Times New Roman" w:eastAsia="Times New Roman" w:hAnsi="Times New Roman" w:cs="Times New Roman"/>
                <w:b/>
                <w:bCs/>
                <w:sz w:val="20"/>
                <w:szCs w:val="20"/>
              </w:rPr>
              <w:t>(Core Plan) 4% Federal Credit – Bond Financed Projects</w:t>
            </w:r>
            <w:r w:rsidRPr="00A37261">
              <w:rPr>
                <w:rFonts w:ascii="Times New Roman" w:eastAsia="Times New Roman" w:hAnsi="Times New Roman" w:cs="Times New Roman"/>
                <w:sz w:val="20"/>
                <w:szCs w:val="20"/>
              </w:rPr>
              <w:t xml:space="preserve">, </w:t>
            </w:r>
            <w:r w:rsidRPr="00A37261">
              <w:rPr>
                <w:rFonts w:ascii="Times New Roman" w:eastAsia="Times New Roman" w:hAnsi="Times New Roman" w:cs="Times New Roman"/>
                <w:i/>
                <w:iCs/>
                <w:sz w:val="20"/>
                <w:szCs w:val="20"/>
              </w:rPr>
              <w:t>“The above limitations apply to Ownership interests of all proposed Project Participants except for Syndicators and Management Companies.”</w:t>
            </w:r>
            <w:r w:rsidRPr="00A37261">
              <w:rPr>
                <w:rFonts w:ascii="Times New Roman" w:eastAsia="Times New Roman" w:hAnsi="Times New Roman" w:cs="Times New Roman"/>
                <w:sz w:val="20"/>
                <w:szCs w:val="20"/>
              </w:rPr>
              <w:t xml:space="preserve"> Further, the QAP defines Project Participants as </w:t>
            </w:r>
            <w:r w:rsidRPr="00A37261">
              <w:rPr>
                <w:rFonts w:ascii="Times New Roman" w:eastAsia="Times New Roman" w:hAnsi="Times New Roman" w:cs="Times New Roman"/>
                <w:i/>
                <w:iCs/>
                <w:sz w:val="20"/>
                <w:szCs w:val="20"/>
              </w:rPr>
              <w:t>“the Owner, Developer, Management Company, Consultants, and Syndicator.”</w:t>
            </w:r>
            <w:r w:rsidRPr="00A37261">
              <w:rPr>
                <w:rFonts w:ascii="Times New Roman" w:eastAsia="Times New Roman" w:hAnsi="Times New Roman" w:cs="Times New Roman"/>
                <w:sz w:val="20"/>
                <w:szCs w:val="20"/>
              </w:rPr>
              <w:t> </w:t>
            </w:r>
          </w:p>
          <w:p w14:paraId="2C8DEB41" w14:textId="77777777" w:rsidR="00412798" w:rsidRPr="00A37261" w:rsidRDefault="00412798" w:rsidP="00A37261">
            <w:pPr>
              <w:textAlignment w:val="baseline"/>
              <w:rPr>
                <w:rFonts w:ascii="Times New Roman" w:eastAsia="Times New Roman" w:hAnsi="Times New Roman" w:cs="Times New Roman"/>
                <w:sz w:val="20"/>
                <w:szCs w:val="20"/>
              </w:rPr>
            </w:pPr>
            <w:r w:rsidRPr="00A37261">
              <w:rPr>
                <w:rFonts w:ascii="Times New Roman" w:eastAsia="Times New Roman" w:hAnsi="Times New Roman" w:cs="Times New Roman"/>
                <w:sz w:val="20"/>
                <w:szCs w:val="20"/>
              </w:rPr>
              <w:t> </w:t>
            </w:r>
          </w:p>
          <w:p w14:paraId="5B86F5C7" w14:textId="77777777" w:rsidR="00412798" w:rsidRPr="00A37261" w:rsidRDefault="00412798" w:rsidP="00A37261">
            <w:pPr>
              <w:textAlignment w:val="baseline"/>
              <w:rPr>
                <w:rFonts w:ascii="Times New Roman" w:eastAsia="Times New Roman" w:hAnsi="Times New Roman" w:cs="Times New Roman"/>
                <w:sz w:val="20"/>
                <w:szCs w:val="20"/>
              </w:rPr>
            </w:pPr>
            <w:r w:rsidRPr="00A37261">
              <w:rPr>
                <w:rFonts w:ascii="Times New Roman" w:eastAsia="Times New Roman" w:hAnsi="Times New Roman" w:cs="Times New Roman"/>
                <w:sz w:val="20"/>
                <w:szCs w:val="20"/>
              </w:rPr>
              <w:t>If the entity in question is a Project Participant, as defined in the QAP, and this entity is not a Syndicator or a Management company, then the application and award limitations apply even for small ownership interests.</w:t>
            </w:r>
          </w:p>
          <w:p w14:paraId="638FB2F9" w14:textId="77777777" w:rsidR="00412798" w:rsidRPr="00074BA3" w:rsidRDefault="00412798" w:rsidP="00074BA3">
            <w:pPr>
              <w:textAlignment w:val="baseline"/>
              <w:rPr>
                <w:rFonts w:ascii="Times New Roman" w:eastAsia="Times New Roman" w:hAnsi="Times New Roman" w:cs="Times New Roman"/>
                <w:b/>
                <w:bCs/>
                <w:sz w:val="20"/>
                <w:szCs w:val="20"/>
              </w:rPr>
            </w:pPr>
          </w:p>
        </w:tc>
      </w:tr>
      <w:tr w:rsidR="00412798" w:rsidRPr="007424E0" w14:paraId="14A82F1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0447DA0B" w14:textId="77777777" w:rsidR="00412798" w:rsidRPr="00502544" w:rsidRDefault="00412798" w:rsidP="000F6D48">
            <w:pP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10/12/22</w:t>
            </w:r>
          </w:p>
        </w:tc>
        <w:tc>
          <w:tcPr>
            <w:tcW w:w="2663" w:type="dxa"/>
            <w:shd w:val="clear" w:color="auto" w:fill="auto"/>
            <w:tcMar>
              <w:top w:w="72" w:type="dxa"/>
              <w:left w:w="115" w:type="dxa"/>
              <w:bottom w:w="72" w:type="dxa"/>
              <w:right w:w="115" w:type="dxa"/>
            </w:tcMar>
            <w:vAlign w:val="center"/>
          </w:tcPr>
          <w:p w14:paraId="53849D14"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1.10</w:t>
            </w:r>
          </w:p>
          <w:p w14:paraId="218AF43D"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Core Plan;</w:t>
            </w:r>
          </w:p>
          <w:p w14:paraId="6AC8982E" w14:textId="77777777" w:rsidR="00412798" w:rsidRPr="00502544" w:rsidRDefault="00412798" w:rsidP="00185971">
            <w:pPr>
              <w:rPr>
                <w:rFonts w:ascii="Times New Roman" w:hAnsi="Times New Roman" w:cs="Times New Roman"/>
                <w:sz w:val="20"/>
                <w:szCs w:val="20"/>
              </w:rPr>
            </w:pPr>
            <w:r>
              <w:rPr>
                <w:rFonts w:ascii="Times New Roman" w:hAnsi="Times New Roman" w:cs="Times New Roman"/>
                <w:sz w:val="20"/>
                <w:szCs w:val="20"/>
              </w:rPr>
              <w:t>4% Federal Credit – Bond Financed Projects</w:t>
            </w:r>
          </w:p>
        </w:tc>
        <w:tc>
          <w:tcPr>
            <w:tcW w:w="9585" w:type="dxa"/>
            <w:shd w:val="clear" w:color="auto" w:fill="auto"/>
            <w:tcMar>
              <w:top w:w="72" w:type="dxa"/>
              <w:left w:w="115" w:type="dxa"/>
              <w:bottom w:w="72" w:type="dxa"/>
              <w:right w:w="115" w:type="dxa"/>
            </w:tcMar>
            <w:vAlign w:val="center"/>
          </w:tcPr>
          <w:p w14:paraId="2C831C9D"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normaltextrun"/>
                <w:b/>
                <w:bCs/>
                <w:sz w:val="20"/>
                <w:szCs w:val="20"/>
              </w:rPr>
              <w:t xml:space="preserve">Question ID: </w:t>
            </w:r>
            <w:r w:rsidRPr="005A31F5">
              <w:rPr>
                <w:rStyle w:val="normaltextrun"/>
                <w:sz w:val="20"/>
                <w:szCs w:val="20"/>
              </w:rPr>
              <w:t>1015486767_2</w:t>
            </w:r>
            <w:r w:rsidRPr="00F972D0">
              <w:rPr>
                <w:rStyle w:val="eop"/>
                <w:sz w:val="20"/>
                <w:szCs w:val="20"/>
              </w:rPr>
              <w:t> </w:t>
            </w:r>
          </w:p>
          <w:p w14:paraId="3CED8F46"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normaltextrun"/>
                <w:b/>
                <w:bCs/>
                <w:sz w:val="20"/>
                <w:szCs w:val="20"/>
              </w:rPr>
              <w:t xml:space="preserve">(Core </w:t>
            </w:r>
            <w:r w:rsidRPr="00257F02">
              <w:rPr>
                <w:rStyle w:val="normaltextrun"/>
                <w:b/>
                <w:bCs/>
                <w:sz w:val="20"/>
                <w:szCs w:val="20"/>
              </w:rPr>
              <w:t>Plan) 4% Federal Credit</w:t>
            </w:r>
            <w:r>
              <w:rPr>
                <w:rStyle w:val="normaltextrun"/>
                <w:b/>
                <w:bCs/>
              </w:rPr>
              <w:t xml:space="preserve"> - </w:t>
            </w:r>
            <w:r w:rsidRPr="00F972D0">
              <w:rPr>
                <w:rStyle w:val="normaltextrun"/>
                <w:b/>
                <w:bCs/>
                <w:sz w:val="20"/>
                <w:szCs w:val="20"/>
              </w:rPr>
              <w:t>Bond Financed Projects</w:t>
            </w:r>
            <w:r w:rsidRPr="00F972D0">
              <w:rPr>
                <w:rStyle w:val="normaltextrun"/>
                <w:sz w:val="20"/>
                <w:szCs w:val="20"/>
              </w:rPr>
              <w:t xml:space="preserve">, subsection </w:t>
            </w:r>
            <w:r w:rsidRPr="005A31F5">
              <w:rPr>
                <w:rStyle w:val="normaltextrun"/>
                <w:b/>
                <w:bCs/>
                <w:sz w:val="20"/>
                <w:szCs w:val="20"/>
              </w:rPr>
              <w:t>D. Award Limitation</w:t>
            </w:r>
            <w:r>
              <w:rPr>
                <w:rStyle w:val="normaltextrun"/>
                <w:sz w:val="20"/>
                <w:szCs w:val="20"/>
              </w:rPr>
              <w:t xml:space="preserve"> states</w:t>
            </w:r>
            <w:r w:rsidRPr="00F972D0">
              <w:rPr>
                <w:rStyle w:val="normaltextrun"/>
                <w:color w:val="000000"/>
                <w:sz w:val="20"/>
                <w:szCs w:val="20"/>
              </w:rPr>
              <w:t xml:space="preserve">: </w:t>
            </w:r>
            <w:r w:rsidRPr="002A0556">
              <w:rPr>
                <w:rStyle w:val="normaltextrun"/>
                <w:i/>
                <w:iCs/>
                <w:color w:val="000000"/>
                <w:sz w:val="20"/>
                <w:szCs w:val="20"/>
              </w:rPr>
              <w:t>“Applicants may have direct or indirect Ownership/Development interest in a maximum of two (2) selected projects. The above limitations apply to Ownership interests of all proposed Project Participants except for Syndicators and Management Companies.”</w:t>
            </w:r>
            <w:r w:rsidRPr="00F972D0">
              <w:rPr>
                <w:rStyle w:val="normaltextrun"/>
                <w:color w:val="000000"/>
                <w:sz w:val="20"/>
                <w:szCs w:val="20"/>
              </w:rPr>
              <w:t>  </w:t>
            </w:r>
            <w:r w:rsidRPr="00F972D0">
              <w:rPr>
                <w:rStyle w:val="eop"/>
                <w:color w:val="000000"/>
                <w:sz w:val="20"/>
                <w:szCs w:val="20"/>
              </w:rPr>
              <w:t> </w:t>
            </w:r>
          </w:p>
          <w:p w14:paraId="009E3AEA"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scxw111085187"/>
                <w:rFonts w:eastAsiaTheme="majorEastAsia"/>
                <w:sz w:val="20"/>
                <w:szCs w:val="20"/>
              </w:rPr>
              <w:t> </w:t>
            </w:r>
            <w:r w:rsidRPr="00F972D0">
              <w:rPr>
                <w:sz w:val="20"/>
                <w:szCs w:val="20"/>
              </w:rPr>
              <w:br/>
            </w:r>
            <w:r w:rsidRPr="00F972D0">
              <w:rPr>
                <w:rStyle w:val="normaltextrun"/>
                <w:color w:val="000000"/>
                <w:sz w:val="20"/>
                <w:szCs w:val="20"/>
              </w:rPr>
              <w:t>It is our understanding that an applicant may submit more than two projects where the applicant has direct or indirect ownership/interest in all of them, but that applicant is limited to receiving a maximum of two selected/awarded projects in this 2022 4% round, is that correct? </w:t>
            </w:r>
            <w:r w:rsidRPr="00F972D0">
              <w:rPr>
                <w:rStyle w:val="eop"/>
                <w:color w:val="000000"/>
                <w:sz w:val="20"/>
                <w:szCs w:val="20"/>
              </w:rPr>
              <w:t> </w:t>
            </w:r>
          </w:p>
          <w:p w14:paraId="5146C540"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eop"/>
                <w:color w:val="000000"/>
                <w:sz w:val="20"/>
                <w:szCs w:val="20"/>
              </w:rPr>
              <w:t> </w:t>
            </w:r>
          </w:p>
          <w:p w14:paraId="230A0278"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normaltextrun"/>
                <w:b/>
                <w:bCs/>
                <w:sz w:val="20"/>
                <w:szCs w:val="20"/>
              </w:rPr>
              <w:t>Answer</w:t>
            </w:r>
            <w:r w:rsidRPr="00F972D0">
              <w:rPr>
                <w:rStyle w:val="normaltextrun"/>
                <w:sz w:val="20"/>
                <w:szCs w:val="20"/>
              </w:rPr>
              <w:t>: </w:t>
            </w:r>
            <w:r w:rsidRPr="00F972D0">
              <w:rPr>
                <w:rStyle w:val="eop"/>
                <w:sz w:val="20"/>
                <w:szCs w:val="20"/>
              </w:rPr>
              <w:t> </w:t>
            </w:r>
          </w:p>
          <w:p w14:paraId="520D68D8"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normaltextrun"/>
                <w:sz w:val="20"/>
                <w:szCs w:val="20"/>
              </w:rPr>
              <w:t xml:space="preserve">This interpretation is incorrect. The above QAP quote references </w:t>
            </w:r>
            <w:r w:rsidRPr="00F972D0">
              <w:rPr>
                <w:rStyle w:val="normaltextrun"/>
                <w:sz w:val="20"/>
                <w:szCs w:val="20"/>
                <w:u w:val="single"/>
              </w:rPr>
              <w:t>award limitations</w:t>
            </w:r>
            <w:r w:rsidRPr="00F972D0">
              <w:rPr>
                <w:rStyle w:val="normaltextrun"/>
                <w:sz w:val="20"/>
                <w:szCs w:val="20"/>
              </w:rPr>
              <w:t xml:space="preserve">, whereas the above question asks about the </w:t>
            </w:r>
            <w:r w:rsidRPr="00F972D0">
              <w:rPr>
                <w:rStyle w:val="normaltextrun"/>
                <w:sz w:val="20"/>
                <w:szCs w:val="20"/>
                <w:u w:val="single"/>
              </w:rPr>
              <w:t>limitation for competitive review submissions</w:t>
            </w:r>
            <w:r w:rsidRPr="00F972D0">
              <w:rPr>
                <w:rStyle w:val="normaltextrun"/>
                <w:sz w:val="20"/>
                <w:szCs w:val="20"/>
              </w:rPr>
              <w:t xml:space="preserve">. In addition to the awards limitation language referenced above, </w:t>
            </w:r>
            <w:r w:rsidRPr="00F972D0">
              <w:rPr>
                <w:rStyle w:val="normaltextrun"/>
                <w:b/>
                <w:bCs/>
                <w:sz w:val="20"/>
                <w:szCs w:val="20"/>
              </w:rPr>
              <w:t xml:space="preserve">(Core </w:t>
            </w:r>
            <w:r w:rsidRPr="00257F02">
              <w:rPr>
                <w:rStyle w:val="normaltextrun"/>
                <w:b/>
                <w:bCs/>
                <w:sz w:val="20"/>
                <w:szCs w:val="20"/>
              </w:rPr>
              <w:t>Plan) 4% Federal Credit</w:t>
            </w:r>
            <w:r>
              <w:rPr>
                <w:rStyle w:val="normaltextrun"/>
                <w:b/>
                <w:bCs/>
              </w:rPr>
              <w:t xml:space="preserve"> - </w:t>
            </w:r>
            <w:r w:rsidRPr="00F972D0">
              <w:rPr>
                <w:rStyle w:val="normaltextrun"/>
                <w:b/>
                <w:bCs/>
                <w:sz w:val="20"/>
                <w:szCs w:val="20"/>
              </w:rPr>
              <w:t>Bond Financed Projects</w:t>
            </w:r>
            <w:r w:rsidRPr="00F972D0">
              <w:rPr>
                <w:rStyle w:val="normaltextrun"/>
                <w:sz w:val="20"/>
                <w:szCs w:val="20"/>
              </w:rPr>
              <w:t xml:space="preserve">, subsection </w:t>
            </w:r>
            <w:r w:rsidRPr="00F972D0">
              <w:rPr>
                <w:rStyle w:val="normaltextrun"/>
                <w:b/>
                <w:bCs/>
                <w:sz w:val="20"/>
                <w:szCs w:val="20"/>
              </w:rPr>
              <w:t>C. Additional Requirements for 4% Credit Applications</w:t>
            </w:r>
            <w:r w:rsidRPr="00F972D0">
              <w:rPr>
                <w:rStyle w:val="normaltextrun"/>
                <w:sz w:val="20"/>
                <w:szCs w:val="20"/>
              </w:rPr>
              <w:t xml:space="preserve"> states the following limitations regarding competitive review submissions: </w:t>
            </w:r>
            <w:r w:rsidRPr="00F972D0">
              <w:rPr>
                <w:rStyle w:val="eop"/>
                <w:sz w:val="20"/>
                <w:szCs w:val="20"/>
              </w:rPr>
              <w:t> </w:t>
            </w:r>
          </w:p>
          <w:p w14:paraId="677C0999"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eop"/>
                <w:sz w:val="20"/>
                <w:szCs w:val="20"/>
              </w:rPr>
              <w:t> </w:t>
            </w:r>
          </w:p>
          <w:p w14:paraId="1C891856" w14:textId="77777777" w:rsidR="00412798" w:rsidRPr="00F972D0" w:rsidRDefault="00412798" w:rsidP="00F972D0">
            <w:pPr>
              <w:pStyle w:val="paragraph"/>
              <w:spacing w:before="0" w:beforeAutospacing="0" w:after="0" w:afterAutospacing="0"/>
              <w:ind w:left="720"/>
              <w:textAlignment w:val="baseline"/>
              <w:rPr>
                <w:sz w:val="20"/>
                <w:szCs w:val="20"/>
              </w:rPr>
            </w:pPr>
            <w:r w:rsidRPr="00F972D0">
              <w:rPr>
                <w:rStyle w:val="normaltextrun"/>
                <w:i/>
                <w:iCs/>
                <w:sz w:val="20"/>
                <w:szCs w:val="20"/>
              </w:rPr>
              <w:t xml:space="preserve">“Two </w:t>
            </w:r>
            <w:r w:rsidRPr="00F972D0">
              <w:rPr>
                <w:rStyle w:val="normaltextrun"/>
                <w:i/>
                <w:iCs/>
                <w:sz w:val="20"/>
                <w:szCs w:val="20"/>
                <w:u w:val="single"/>
              </w:rPr>
              <w:t>competitive review submissions</w:t>
            </w:r>
            <w:r w:rsidRPr="00F972D0">
              <w:rPr>
                <w:rStyle w:val="normaltextrun"/>
                <w:i/>
                <w:iCs/>
                <w:sz w:val="20"/>
                <w:szCs w:val="20"/>
              </w:rPr>
              <w:t xml:space="preserve"> per qualified Developer. A Developer may submit one additional </w:t>
            </w:r>
            <w:r w:rsidRPr="00F972D0">
              <w:rPr>
                <w:rStyle w:val="normaltextrun"/>
                <w:i/>
                <w:iCs/>
                <w:sz w:val="20"/>
                <w:szCs w:val="20"/>
                <w:u w:val="single"/>
              </w:rPr>
              <w:t>competitive review submission</w:t>
            </w:r>
            <w:r w:rsidRPr="00F972D0">
              <w:rPr>
                <w:rStyle w:val="normaltextrun"/>
                <w:i/>
                <w:iCs/>
                <w:sz w:val="20"/>
                <w:szCs w:val="20"/>
              </w:rPr>
              <w:t xml:space="preserve"> if submitting under a joint venture with either of the following:</w:t>
            </w:r>
            <w:r w:rsidRPr="00F972D0">
              <w:rPr>
                <w:rStyle w:val="scxw111085187"/>
                <w:rFonts w:eastAsiaTheme="majorEastAsia"/>
                <w:sz w:val="20"/>
                <w:szCs w:val="20"/>
              </w:rPr>
              <w:t> </w:t>
            </w:r>
            <w:r w:rsidRPr="00F972D0">
              <w:rPr>
                <w:sz w:val="20"/>
                <w:szCs w:val="20"/>
              </w:rPr>
              <w:br/>
            </w:r>
            <w:r w:rsidRPr="00F972D0">
              <w:rPr>
                <w:rStyle w:val="eop"/>
                <w:sz w:val="20"/>
                <w:szCs w:val="20"/>
              </w:rPr>
              <w:t> </w:t>
            </w:r>
          </w:p>
          <w:p w14:paraId="52776858" w14:textId="77777777" w:rsidR="00412798" w:rsidRPr="00F972D0" w:rsidRDefault="00412798" w:rsidP="00B32E32">
            <w:pPr>
              <w:pStyle w:val="paragraph"/>
              <w:numPr>
                <w:ilvl w:val="0"/>
                <w:numId w:val="71"/>
              </w:numPr>
              <w:spacing w:before="0" w:beforeAutospacing="0" w:after="0" w:afterAutospacing="0"/>
              <w:ind w:left="1440" w:firstLine="0"/>
              <w:textAlignment w:val="baseline"/>
              <w:rPr>
                <w:sz w:val="20"/>
                <w:szCs w:val="20"/>
              </w:rPr>
            </w:pPr>
            <w:r w:rsidRPr="00F972D0">
              <w:rPr>
                <w:rStyle w:val="normaltextrun"/>
                <w:i/>
                <w:iCs/>
                <w:sz w:val="20"/>
                <w:szCs w:val="20"/>
              </w:rPr>
              <w:lastRenderedPageBreak/>
              <w:t>A Developer qualifying under Probationary Participation who currently owns and operates at least one Successful Tax Credit Project.</w:t>
            </w:r>
            <w:r w:rsidRPr="00F972D0">
              <w:rPr>
                <w:rStyle w:val="eop"/>
                <w:sz w:val="20"/>
                <w:szCs w:val="20"/>
              </w:rPr>
              <w:t> </w:t>
            </w:r>
          </w:p>
          <w:p w14:paraId="49EACE49" w14:textId="77777777" w:rsidR="00412798" w:rsidRPr="00F972D0" w:rsidRDefault="00412798" w:rsidP="00B32E32">
            <w:pPr>
              <w:pStyle w:val="paragraph"/>
              <w:numPr>
                <w:ilvl w:val="0"/>
                <w:numId w:val="71"/>
              </w:numPr>
              <w:spacing w:before="0" w:beforeAutospacing="0" w:after="0" w:afterAutospacing="0"/>
              <w:ind w:left="1440" w:firstLine="0"/>
              <w:textAlignment w:val="baseline"/>
              <w:rPr>
                <w:sz w:val="20"/>
                <w:szCs w:val="20"/>
              </w:rPr>
            </w:pPr>
            <w:r w:rsidRPr="00F972D0">
              <w:rPr>
                <w:rStyle w:val="normaltextrun"/>
                <w:i/>
                <w:iCs/>
                <w:sz w:val="20"/>
                <w:szCs w:val="20"/>
              </w:rPr>
              <w:t>Public Housing Authority</w:t>
            </w:r>
            <w:r w:rsidRPr="00F972D0">
              <w:rPr>
                <w:rStyle w:val="eop"/>
                <w:sz w:val="20"/>
                <w:szCs w:val="20"/>
              </w:rPr>
              <w:t> </w:t>
            </w:r>
          </w:p>
          <w:p w14:paraId="4FF8A9F3" w14:textId="77777777" w:rsidR="00412798" w:rsidRPr="00F972D0" w:rsidRDefault="00412798" w:rsidP="00F972D0">
            <w:pPr>
              <w:pStyle w:val="paragraph"/>
              <w:spacing w:before="0" w:beforeAutospacing="0" w:after="0" w:afterAutospacing="0"/>
              <w:ind w:left="720"/>
              <w:textAlignment w:val="baseline"/>
              <w:rPr>
                <w:sz w:val="20"/>
                <w:szCs w:val="20"/>
              </w:rPr>
            </w:pPr>
            <w:r w:rsidRPr="00F972D0">
              <w:rPr>
                <w:rStyle w:val="scxw111085187"/>
                <w:rFonts w:eastAsiaTheme="majorEastAsia"/>
                <w:sz w:val="20"/>
                <w:szCs w:val="20"/>
              </w:rPr>
              <w:t> </w:t>
            </w:r>
            <w:r w:rsidRPr="00F972D0">
              <w:rPr>
                <w:sz w:val="20"/>
                <w:szCs w:val="20"/>
              </w:rPr>
              <w:br/>
            </w:r>
            <w:r w:rsidRPr="00F972D0">
              <w:rPr>
                <w:rStyle w:val="normaltextrun"/>
                <w:i/>
                <w:iCs/>
                <w:sz w:val="20"/>
                <w:szCs w:val="20"/>
              </w:rPr>
              <w:t>Joint ventures between two fully Qualified Developers may submit three applications.”</w:t>
            </w:r>
            <w:r w:rsidRPr="00F972D0">
              <w:rPr>
                <w:rStyle w:val="eop"/>
                <w:sz w:val="20"/>
                <w:szCs w:val="20"/>
              </w:rPr>
              <w:t> </w:t>
            </w:r>
          </w:p>
          <w:p w14:paraId="119CAA8B"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eop"/>
                <w:sz w:val="20"/>
                <w:szCs w:val="20"/>
              </w:rPr>
              <w:t> </w:t>
            </w:r>
          </w:p>
          <w:p w14:paraId="4247531D"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normaltextrun"/>
                <w:sz w:val="20"/>
                <w:szCs w:val="20"/>
              </w:rPr>
              <w:t xml:space="preserve">Further, below subsection </w:t>
            </w:r>
            <w:r w:rsidRPr="00F972D0">
              <w:rPr>
                <w:rStyle w:val="normaltextrun"/>
                <w:b/>
                <w:bCs/>
                <w:sz w:val="20"/>
                <w:szCs w:val="20"/>
              </w:rPr>
              <w:t>C.</w:t>
            </w:r>
            <w:r w:rsidRPr="00F972D0">
              <w:rPr>
                <w:rStyle w:val="normaltextrun"/>
                <w:sz w:val="20"/>
                <w:szCs w:val="20"/>
              </w:rPr>
              <w:t xml:space="preserve"> </w:t>
            </w:r>
            <w:r w:rsidRPr="00F972D0">
              <w:rPr>
                <w:rStyle w:val="normaltextrun"/>
                <w:b/>
                <w:bCs/>
                <w:sz w:val="20"/>
                <w:szCs w:val="20"/>
              </w:rPr>
              <w:t>Additional Requirements for 4% Credit Applications</w:t>
            </w:r>
            <w:r w:rsidRPr="00F972D0">
              <w:rPr>
                <w:rStyle w:val="normaltextrun"/>
                <w:sz w:val="20"/>
                <w:szCs w:val="20"/>
              </w:rPr>
              <w:t xml:space="preserve"> and </w:t>
            </w:r>
            <w:r w:rsidRPr="00F972D0">
              <w:rPr>
                <w:rStyle w:val="normaltextrun"/>
                <w:b/>
                <w:bCs/>
                <w:sz w:val="20"/>
                <w:szCs w:val="20"/>
              </w:rPr>
              <w:t>D.</w:t>
            </w:r>
            <w:r w:rsidRPr="00F972D0">
              <w:rPr>
                <w:rStyle w:val="normaltextrun"/>
                <w:sz w:val="20"/>
                <w:szCs w:val="20"/>
              </w:rPr>
              <w:t xml:space="preserve"> </w:t>
            </w:r>
            <w:r w:rsidRPr="00F972D0">
              <w:rPr>
                <w:rStyle w:val="normaltextrun"/>
                <w:b/>
                <w:bCs/>
                <w:sz w:val="20"/>
                <w:szCs w:val="20"/>
              </w:rPr>
              <w:t>Award Limitation</w:t>
            </w:r>
            <w:r w:rsidRPr="00F972D0">
              <w:rPr>
                <w:rStyle w:val="normaltextrun"/>
                <w:sz w:val="20"/>
                <w:szCs w:val="20"/>
              </w:rPr>
              <w:t>, the QAP states:</w:t>
            </w:r>
            <w:r w:rsidRPr="00F972D0">
              <w:rPr>
                <w:rStyle w:val="eop"/>
                <w:sz w:val="20"/>
                <w:szCs w:val="20"/>
              </w:rPr>
              <w:t> </w:t>
            </w:r>
          </w:p>
          <w:p w14:paraId="454C575A"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eop"/>
                <w:sz w:val="20"/>
                <w:szCs w:val="20"/>
              </w:rPr>
              <w:t> </w:t>
            </w:r>
          </w:p>
          <w:p w14:paraId="1CBFED0B" w14:textId="77777777" w:rsidR="00412798" w:rsidRPr="00F972D0" w:rsidRDefault="00412798" w:rsidP="00F972D0">
            <w:pPr>
              <w:pStyle w:val="paragraph"/>
              <w:spacing w:before="0" w:beforeAutospacing="0" w:after="0" w:afterAutospacing="0"/>
              <w:ind w:left="720"/>
              <w:textAlignment w:val="baseline"/>
              <w:rPr>
                <w:sz w:val="20"/>
                <w:szCs w:val="20"/>
              </w:rPr>
            </w:pPr>
            <w:r w:rsidRPr="00F972D0">
              <w:rPr>
                <w:rStyle w:val="normaltextrun"/>
                <w:i/>
                <w:iCs/>
                <w:sz w:val="20"/>
                <w:szCs w:val="20"/>
              </w:rPr>
              <w:t>“The above limitations apply to Ownership interests of all proposed Project Participants except for Syndicators and Management Companies. If DCA determines that a Project Participant has proposed Ownership interests in excess of the above limitations, only the first submission will be eligible.”</w:t>
            </w:r>
            <w:r w:rsidRPr="00F972D0">
              <w:rPr>
                <w:rStyle w:val="eop"/>
                <w:sz w:val="20"/>
                <w:szCs w:val="20"/>
              </w:rPr>
              <w:t> </w:t>
            </w:r>
          </w:p>
          <w:p w14:paraId="09F56E34" w14:textId="77777777" w:rsidR="00412798" w:rsidRPr="00F972D0" w:rsidRDefault="00412798" w:rsidP="00F972D0">
            <w:pPr>
              <w:pStyle w:val="paragraph"/>
              <w:spacing w:before="0" w:beforeAutospacing="0" w:after="0" w:afterAutospacing="0"/>
              <w:textAlignment w:val="baseline"/>
              <w:rPr>
                <w:sz w:val="20"/>
                <w:szCs w:val="20"/>
              </w:rPr>
            </w:pPr>
            <w:r w:rsidRPr="00F972D0">
              <w:rPr>
                <w:rStyle w:val="eop"/>
                <w:sz w:val="20"/>
                <w:szCs w:val="20"/>
              </w:rPr>
              <w:t> </w:t>
            </w:r>
          </w:p>
          <w:p w14:paraId="27918501" w14:textId="77777777" w:rsidR="00412798" w:rsidRPr="00F972D0" w:rsidRDefault="00412798" w:rsidP="00EA3025">
            <w:pPr>
              <w:pStyle w:val="paragraph"/>
              <w:spacing w:before="0" w:beforeAutospacing="0" w:after="0" w:afterAutospacing="0"/>
              <w:textAlignment w:val="baseline"/>
              <w:rPr>
                <w:sz w:val="20"/>
                <w:szCs w:val="20"/>
              </w:rPr>
            </w:pPr>
            <w:r w:rsidRPr="00F972D0">
              <w:rPr>
                <w:rStyle w:val="normaltextrun"/>
                <w:sz w:val="20"/>
                <w:szCs w:val="20"/>
              </w:rPr>
              <w:t>Therefore, the competitive review submission limitation is 2 or 3 depending on whether the developer is partnering in accordance with any of the above-described partnership types. No Project Participant may submit more than 2 or 3 competitive review submissions. </w:t>
            </w:r>
            <w:r w:rsidRPr="00F972D0">
              <w:rPr>
                <w:rStyle w:val="eop"/>
                <w:sz w:val="20"/>
                <w:szCs w:val="20"/>
              </w:rPr>
              <w:t> </w:t>
            </w:r>
          </w:p>
        </w:tc>
      </w:tr>
      <w:tr w:rsidR="00412798" w:rsidRPr="007424E0" w14:paraId="76EAE4AE"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13242469" w14:textId="77777777" w:rsidR="00412798" w:rsidRPr="00502544" w:rsidRDefault="00412798" w:rsidP="000F6D48">
            <w:pP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lastRenderedPageBreak/>
              <w:t>10/12/22</w:t>
            </w:r>
          </w:p>
        </w:tc>
        <w:tc>
          <w:tcPr>
            <w:tcW w:w="2663" w:type="dxa"/>
            <w:shd w:val="clear" w:color="auto" w:fill="auto"/>
            <w:tcMar>
              <w:top w:w="72" w:type="dxa"/>
              <w:left w:w="115" w:type="dxa"/>
              <w:bottom w:w="72" w:type="dxa"/>
              <w:right w:w="115" w:type="dxa"/>
            </w:tcMar>
            <w:vAlign w:val="center"/>
          </w:tcPr>
          <w:p w14:paraId="6C957E73"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2.20</w:t>
            </w:r>
          </w:p>
          <w:p w14:paraId="3E20E55C"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Threshold Criteria;</w:t>
            </w:r>
          </w:p>
          <w:p w14:paraId="0F0BBD56" w14:textId="77777777" w:rsidR="00412798" w:rsidRPr="00502544" w:rsidRDefault="00412798" w:rsidP="00185971">
            <w:pPr>
              <w:rPr>
                <w:rFonts w:ascii="Times New Roman" w:hAnsi="Times New Roman" w:cs="Times New Roman"/>
                <w:sz w:val="20"/>
                <w:szCs w:val="20"/>
              </w:rPr>
            </w:pPr>
            <w:r>
              <w:rPr>
                <w:rFonts w:ascii="Times New Roman" w:hAnsi="Times New Roman" w:cs="Times New Roman"/>
                <w:sz w:val="20"/>
                <w:szCs w:val="20"/>
              </w:rPr>
              <w:t>Experience, Capacity, and Performance Requirements for General Partner and Developer Entities</w:t>
            </w:r>
          </w:p>
        </w:tc>
        <w:tc>
          <w:tcPr>
            <w:tcW w:w="9585" w:type="dxa"/>
            <w:shd w:val="clear" w:color="auto" w:fill="auto"/>
            <w:tcMar>
              <w:top w:w="72" w:type="dxa"/>
              <w:left w:w="115" w:type="dxa"/>
              <w:bottom w:w="72" w:type="dxa"/>
              <w:right w:w="115" w:type="dxa"/>
            </w:tcMar>
            <w:vAlign w:val="center"/>
          </w:tcPr>
          <w:p w14:paraId="506B4796" w14:textId="77777777" w:rsidR="00412798" w:rsidRPr="00B47CDE" w:rsidRDefault="00412798" w:rsidP="00B47CDE">
            <w:pPr>
              <w:textAlignment w:val="baseline"/>
              <w:rPr>
                <w:rFonts w:ascii="Times New Roman" w:eastAsia="Times New Roman" w:hAnsi="Times New Roman" w:cs="Times New Roman"/>
                <w:sz w:val="20"/>
                <w:szCs w:val="20"/>
              </w:rPr>
            </w:pPr>
            <w:r w:rsidRPr="00B47CDE">
              <w:rPr>
                <w:rFonts w:ascii="Times New Roman" w:eastAsia="Times New Roman" w:hAnsi="Times New Roman" w:cs="Times New Roman"/>
                <w:b/>
                <w:bCs/>
                <w:sz w:val="20"/>
                <w:szCs w:val="20"/>
              </w:rPr>
              <w:t xml:space="preserve">Question ID:  </w:t>
            </w:r>
            <w:r w:rsidRPr="00B47CDE">
              <w:rPr>
                <w:rFonts w:ascii="Times New Roman" w:eastAsia="Times New Roman" w:hAnsi="Times New Roman" w:cs="Times New Roman"/>
                <w:sz w:val="20"/>
                <w:szCs w:val="20"/>
              </w:rPr>
              <w:t>1015734464 </w:t>
            </w:r>
          </w:p>
          <w:p w14:paraId="3EA619F0" w14:textId="77777777" w:rsidR="00412798" w:rsidRPr="00B47CDE" w:rsidRDefault="00412798" w:rsidP="00B47CDE">
            <w:pPr>
              <w:textAlignment w:val="baseline"/>
              <w:rPr>
                <w:rFonts w:ascii="Times New Roman" w:eastAsia="Times New Roman" w:hAnsi="Times New Roman" w:cs="Times New Roman"/>
                <w:sz w:val="20"/>
                <w:szCs w:val="20"/>
              </w:rPr>
            </w:pPr>
            <w:r w:rsidRPr="00B47CDE">
              <w:rPr>
                <w:rFonts w:ascii="Times New Roman" w:eastAsia="Times New Roman" w:hAnsi="Times New Roman" w:cs="Times New Roman"/>
                <w:sz w:val="20"/>
                <w:szCs w:val="20"/>
              </w:rPr>
              <w:t xml:space="preserve">I have a question regarding the Performance Workbook for the Core Application. I believe this was touched on during the workshop. I believe I heard something regarding the Performance Workbook requirements being different if the GP and Developer in the application have previously (within the past year) been approved by DCA as part of the performance workbook submission. Would you be able to clarify </w:t>
            </w:r>
            <w:r>
              <w:rPr>
                <w:rFonts w:ascii="Times New Roman" w:eastAsia="Times New Roman" w:hAnsi="Times New Roman" w:cs="Times New Roman"/>
                <w:sz w:val="20"/>
                <w:szCs w:val="20"/>
              </w:rPr>
              <w:t>i</w:t>
            </w:r>
            <w:r w:rsidRPr="00B47CDE">
              <w:rPr>
                <w:rFonts w:ascii="Times New Roman" w:eastAsia="Times New Roman" w:hAnsi="Times New Roman" w:cs="Times New Roman"/>
                <w:sz w:val="20"/>
                <w:szCs w:val="20"/>
              </w:rPr>
              <w:t>f there are any different requirements for the Performance Workbook if the GP and Developer have been approved by DCA within the last 12 months? </w:t>
            </w:r>
          </w:p>
          <w:p w14:paraId="053DDADE" w14:textId="77777777" w:rsidR="00412798" w:rsidRPr="00B47CDE" w:rsidRDefault="00412798" w:rsidP="00B47CDE">
            <w:pPr>
              <w:textAlignment w:val="baseline"/>
              <w:rPr>
                <w:rFonts w:ascii="Times New Roman" w:eastAsia="Times New Roman" w:hAnsi="Times New Roman" w:cs="Times New Roman"/>
                <w:b/>
                <w:bCs/>
                <w:sz w:val="20"/>
                <w:szCs w:val="20"/>
              </w:rPr>
            </w:pPr>
            <w:r w:rsidRPr="00B47CDE">
              <w:rPr>
                <w:rFonts w:ascii="Times New Roman" w:eastAsia="Times New Roman" w:hAnsi="Times New Roman" w:cs="Times New Roman"/>
                <w:b/>
                <w:bCs/>
                <w:sz w:val="20"/>
                <w:szCs w:val="20"/>
              </w:rPr>
              <w:t> </w:t>
            </w:r>
          </w:p>
          <w:p w14:paraId="31021F7C" w14:textId="77777777" w:rsidR="00412798" w:rsidRPr="00B47CDE" w:rsidRDefault="00412798" w:rsidP="00B47CDE">
            <w:pPr>
              <w:textAlignment w:val="baseline"/>
              <w:rPr>
                <w:rFonts w:ascii="Times New Roman" w:eastAsia="Times New Roman" w:hAnsi="Times New Roman" w:cs="Times New Roman"/>
                <w:b/>
                <w:bCs/>
                <w:sz w:val="20"/>
                <w:szCs w:val="20"/>
              </w:rPr>
            </w:pPr>
            <w:r w:rsidRPr="00B47CDE">
              <w:rPr>
                <w:rFonts w:ascii="Times New Roman" w:eastAsia="Times New Roman" w:hAnsi="Times New Roman" w:cs="Times New Roman"/>
                <w:b/>
                <w:bCs/>
                <w:sz w:val="20"/>
                <w:szCs w:val="20"/>
              </w:rPr>
              <w:t>Answer:  </w:t>
            </w:r>
          </w:p>
          <w:p w14:paraId="397EB1A9" w14:textId="77777777" w:rsidR="00412798" w:rsidRPr="00B47CDE" w:rsidRDefault="00412798" w:rsidP="00B47CDE">
            <w:pPr>
              <w:textAlignment w:val="baseline"/>
              <w:rPr>
                <w:rFonts w:ascii="Times New Roman" w:eastAsia="Times New Roman" w:hAnsi="Times New Roman" w:cs="Times New Roman"/>
                <w:sz w:val="20"/>
                <w:szCs w:val="20"/>
              </w:rPr>
            </w:pPr>
            <w:r w:rsidRPr="00B47CDE">
              <w:rPr>
                <w:rFonts w:ascii="Times New Roman" w:eastAsia="Times New Roman" w:hAnsi="Times New Roman" w:cs="Times New Roman"/>
                <w:b/>
                <w:bCs/>
                <w:sz w:val="20"/>
                <w:szCs w:val="20"/>
              </w:rPr>
              <w:t xml:space="preserve">(Threshold Criteria) Experience, Capacity, and Performance Requirements </w:t>
            </w:r>
            <w:r w:rsidRPr="00B47CDE">
              <w:rPr>
                <w:rFonts w:ascii="Times New Roman" w:eastAsia="Times New Roman" w:hAnsi="Times New Roman" w:cs="Times New Roman"/>
                <w:sz w:val="20"/>
                <w:szCs w:val="20"/>
              </w:rPr>
              <w:t>states:  </w:t>
            </w:r>
          </w:p>
          <w:p w14:paraId="4C728386" w14:textId="77777777" w:rsidR="00412798" w:rsidRPr="00B47CDE" w:rsidRDefault="00412798" w:rsidP="00B47CDE">
            <w:pPr>
              <w:textAlignment w:val="baseline"/>
              <w:rPr>
                <w:rFonts w:ascii="Times New Roman" w:eastAsia="Times New Roman" w:hAnsi="Times New Roman" w:cs="Times New Roman"/>
                <w:i/>
                <w:iCs/>
                <w:sz w:val="20"/>
                <w:szCs w:val="20"/>
              </w:rPr>
            </w:pPr>
            <w:r w:rsidRPr="00B47CDE">
              <w:rPr>
                <w:rFonts w:ascii="Times New Roman" w:eastAsia="Times New Roman" w:hAnsi="Times New Roman" w:cs="Times New Roman"/>
                <w:i/>
                <w:iCs/>
                <w:sz w:val="20"/>
                <w:szCs w:val="20"/>
              </w:rPr>
              <w:t>“A certifying entity that was deemed to meet experience requirements in 2021 is only exempt from submitting documentation of experience for the 2022 round. All other sections…of the performance workbook must be completed. Only those certifying entities that have received a determination letter of “Qualified” in the 2021 round will be deemed to qualify under grandfathering for experience purposes.” </w:t>
            </w:r>
          </w:p>
          <w:p w14:paraId="602C916E" w14:textId="77777777" w:rsidR="00412798" w:rsidRPr="00B47CDE" w:rsidRDefault="00412798" w:rsidP="00B47CDE">
            <w:pPr>
              <w:textAlignment w:val="baseline"/>
              <w:rPr>
                <w:rFonts w:ascii="Times New Roman" w:eastAsia="Times New Roman" w:hAnsi="Times New Roman" w:cs="Times New Roman"/>
                <w:i/>
                <w:iCs/>
                <w:sz w:val="20"/>
                <w:szCs w:val="20"/>
              </w:rPr>
            </w:pPr>
            <w:r w:rsidRPr="00B47CDE">
              <w:rPr>
                <w:rFonts w:ascii="Times New Roman" w:eastAsia="Times New Roman" w:hAnsi="Times New Roman" w:cs="Times New Roman"/>
                <w:i/>
                <w:iCs/>
                <w:sz w:val="20"/>
                <w:szCs w:val="20"/>
              </w:rPr>
              <w:t> </w:t>
            </w:r>
          </w:p>
          <w:p w14:paraId="28D41C6D" w14:textId="77777777" w:rsidR="00412798" w:rsidRPr="00B47CDE" w:rsidRDefault="00412798" w:rsidP="00B47CDE">
            <w:pPr>
              <w:textAlignment w:val="baseline"/>
              <w:rPr>
                <w:rFonts w:ascii="Times New Roman" w:eastAsia="Times New Roman" w:hAnsi="Times New Roman" w:cs="Times New Roman"/>
                <w:sz w:val="20"/>
                <w:szCs w:val="20"/>
              </w:rPr>
            </w:pPr>
            <w:r w:rsidRPr="00B47CDE">
              <w:rPr>
                <w:rFonts w:ascii="Times New Roman" w:eastAsia="Times New Roman" w:hAnsi="Times New Roman" w:cs="Times New Roman"/>
                <w:sz w:val="20"/>
                <w:szCs w:val="20"/>
              </w:rPr>
              <w:t>To emphasize:  </w:t>
            </w:r>
          </w:p>
          <w:p w14:paraId="6C5357EA" w14:textId="77777777" w:rsidR="00412798" w:rsidRPr="00B47CDE" w:rsidRDefault="00412798" w:rsidP="00B47CDE">
            <w:pPr>
              <w:numPr>
                <w:ilvl w:val="0"/>
                <w:numId w:val="70"/>
              </w:numPr>
              <w:textAlignment w:val="baseline"/>
              <w:rPr>
                <w:rFonts w:ascii="Times New Roman" w:eastAsia="Times New Roman" w:hAnsi="Times New Roman" w:cs="Times New Roman"/>
                <w:sz w:val="20"/>
                <w:szCs w:val="20"/>
              </w:rPr>
            </w:pPr>
            <w:r w:rsidRPr="00B47CDE">
              <w:rPr>
                <w:rFonts w:ascii="Times New Roman" w:eastAsia="Times New Roman" w:hAnsi="Times New Roman" w:cs="Times New Roman"/>
                <w:sz w:val="20"/>
                <w:szCs w:val="20"/>
              </w:rPr>
              <w:t>The “grandfathering” process mentioned in the QAP only applies to the “Experience” portion of the qualifications review. This provision does not apply to other components of the qualifications review.   </w:t>
            </w:r>
          </w:p>
          <w:p w14:paraId="54608F70" w14:textId="77777777" w:rsidR="00412798" w:rsidRPr="00B47CDE" w:rsidRDefault="00412798" w:rsidP="00B47CDE">
            <w:pPr>
              <w:numPr>
                <w:ilvl w:val="0"/>
                <w:numId w:val="70"/>
              </w:numPr>
              <w:textAlignment w:val="baseline"/>
              <w:rPr>
                <w:rFonts w:ascii="Times New Roman" w:eastAsia="Times New Roman" w:hAnsi="Times New Roman" w:cs="Times New Roman"/>
                <w:sz w:val="20"/>
                <w:szCs w:val="20"/>
              </w:rPr>
            </w:pPr>
            <w:r w:rsidRPr="00B47CDE">
              <w:rPr>
                <w:rFonts w:ascii="Times New Roman" w:eastAsia="Times New Roman" w:hAnsi="Times New Roman" w:cs="Times New Roman"/>
                <w:sz w:val="20"/>
                <w:szCs w:val="20"/>
              </w:rPr>
              <w:t>Qualifications review is applied to the team, not individual developers. So “grandfathering” only applies if the “Project Team” (see QAP definition) is the same.  </w:t>
            </w:r>
          </w:p>
          <w:p w14:paraId="176B9707" w14:textId="77777777" w:rsidR="00412798" w:rsidRPr="00B47CDE" w:rsidRDefault="00412798" w:rsidP="00B47CDE">
            <w:pPr>
              <w:numPr>
                <w:ilvl w:val="0"/>
                <w:numId w:val="70"/>
              </w:numPr>
              <w:textAlignment w:val="baseline"/>
              <w:rPr>
                <w:rFonts w:ascii="Times New Roman" w:eastAsia="Times New Roman" w:hAnsi="Times New Roman" w:cs="Times New Roman"/>
                <w:sz w:val="20"/>
                <w:szCs w:val="20"/>
              </w:rPr>
            </w:pPr>
            <w:r w:rsidRPr="00B47CDE">
              <w:rPr>
                <w:rFonts w:ascii="Times New Roman" w:eastAsia="Times New Roman" w:hAnsi="Times New Roman" w:cs="Times New Roman"/>
                <w:sz w:val="20"/>
                <w:szCs w:val="20"/>
              </w:rPr>
              <w:lastRenderedPageBreak/>
              <w:t xml:space="preserve">If the team is the same and you received DCA approval during the 2022 9% Round, please see </w:t>
            </w:r>
            <w:r w:rsidRPr="002F2A50">
              <w:rPr>
                <w:rFonts w:ascii="Times New Roman" w:eastAsia="Times New Roman" w:hAnsi="Times New Roman" w:cs="Times New Roman"/>
                <w:b/>
                <w:bCs/>
                <w:sz w:val="20"/>
                <w:szCs w:val="20"/>
              </w:rPr>
              <w:t>Question ID 998963315_2</w:t>
            </w:r>
            <w:r w:rsidRPr="00B47CDE">
              <w:rPr>
                <w:rFonts w:ascii="Times New Roman" w:eastAsia="Times New Roman" w:hAnsi="Times New Roman" w:cs="Times New Roman"/>
                <w:sz w:val="20"/>
                <w:szCs w:val="20"/>
              </w:rPr>
              <w:t>.  </w:t>
            </w:r>
          </w:p>
          <w:p w14:paraId="158DAB22" w14:textId="77777777" w:rsidR="00412798" w:rsidRPr="00624747" w:rsidRDefault="00412798" w:rsidP="00074BA3">
            <w:pPr>
              <w:numPr>
                <w:ilvl w:val="0"/>
                <w:numId w:val="70"/>
              </w:numPr>
              <w:textAlignment w:val="baseline"/>
              <w:rPr>
                <w:rFonts w:ascii="Times New Roman" w:eastAsia="Times New Roman" w:hAnsi="Times New Roman" w:cs="Times New Roman"/>
                <w:i/>
                <w:iCs/>
                <w:sz w:val="20"/>
                <w:szCs w:val="20"/>
              </w:rPr>
            </w:pPr>
            <w:r w:rsidRPr="00B47CDE">
              <w:rPr>
                <w:rFonts w:ascii="Times New Roman" w:eastAsia="Times New Roman" w:hAnsi="Times New Roman" w:cs="Times New Roman"/>
                <w:sz w:val="20"/>
                <w:szCs w:val="20"/>
              </w:rPr>
              <w:t xml:space="preserve">The Performance Workbook states </w:t>
            </w:r>
            <w:r w:rsidRPr="009E4B1A">
              <w:rPr>
                <w:rFonts w:ascii="Times New Roman" w:eastAsia="Times New Roman" w:hAnsi="Times New Roman" w:cs="Times New Roman"/>
                <w:sz w:val="20"/>
                <w:szCs w:val="20"/>
              </w:rPr>
              <w:t>that</w:t>
            </w:r>
            <w:r w:rsidRPr="00B47CDE">
              <w:rPr>
                <w:rFonts w:ascii="Times New Roman" w:eastAsia="Times New Roman" w:hAnsi="Times New Roman" w:cs="Times New Roman"/>
                <w:i/>
                <w:iCs/>
                <w:sz w:val="20"/>
                <w:szCs w:val="20"/>
              </w:rPr>
              <w:t xml:space="preserve"> “any general partner, developer, consultant with more than 5% ownership interest, or principal must submit individual Performance Questionnaire, Compliance History Forms (All States and GA), and Performance Workbook Certification Letter.</w:t>
            </w:r>
            <w:r w:rsidRPr="00F86ED9">
              <w:rPr>
                <w:rFonts w:ascii="Times New Roman" w:eastAsia="Times New Roman" w:hAnsi="Times New Roman" w:cs="Times New Roman"/>
                <w:i/>
                <w:iCs/>
                <w:sz w:val="20"/>
                <w:szCs w:val="20"/>
              </w:rPr>
              <w:t>”</w:t>
            </w:r>
          </w:p>
        </w:tc>
      </w:tr>
      <w:tr w:rsidR="00412798" w:rsidRPr="007424E0" w14:paraId="27F55F49"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2C53E34B" w14:textId="77777777" w:rsidR="00412798" w:rsidRPr="00502544" w:rsidRDefault="00412798" w:rsidP="000F6D48">
            <w:pP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lastRenderedPageBreak/>
              <w:t>10/12/22</w:t>
            </w:r>
          </w:p>
        </w:tc>
        <w:tc>
          <w:tcPr>
            <w:tcW w:w="2663" w:type="dxa"/>
            <w:shd w:val="clear" w:color="auto" w:fill="auto"/>
            <w:tcMar>
              <w:top w:w="72" w:type="dxa"/>
              <w:left w:w="115" w:type="dxa"/>
              <w:bottom w:w="72" w:type="dxa"/>
              <w:right w:w="115" w:type="dxa"/>
            </w:tcMar>
            <w:vAlign w:val="center"/>
          </w:tcPr>
          <w:p w14:paraId="2943864B"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3.15</w:t>
            </w:r>
          </w:p>
          <w:p w14:paraId="1E83C11E"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Scoring Criteria;</w:t>
            </w:r>
          </w:p>
          <w:p w14:paraId="3F945585" w14:textId="77777777" w:rsidR="00412798" w:rsidRPr="00502544" w:rsidRDefault="00412798" w:rsidP="00185971">
            <w:pPr>
              <w:rPr>
                <w:rFonts w:ascii="Times New Roman" w:hAnsi="Times New Roman" w:cs="Times New Roman"/>
                <w:sz w:val="20"/>
                <w:szCs w:val="20"/>
              </w:rPr>
            </w:pPr>
            <w:r>
              <w:rPr>
                <w:rFonts w:ascii="Times New Roman" w:hAnsi="Times New Roman" w:cs="Times New Roman"/>
                <w:sz w:val="20"/>
                <w:szCs w:val="20"/>
              </w:rPr>
              <w:t>Extended Affordability Commitment</w:t>
            </w:r>
          </w:p>
        </w:tc>
        <w:tc>
          <w:tcPr>
            <w:tcW w:w="9585" w:type="dxa"/>
            <w:shd w:val="clear" w:color="auto" w:fill="auto"/>
            <w:tcMar>
              <w:top w:w="72" w:type="dxa"/>
              <w:left w:w="115" w:type="dxa"/>
              <w:bottom w:w="72" w:type="dxa"/>
              <w:right w:w="115" w:type="dxa"/>
            </w:tcMar>
            <w:vAlign w:val="center"/>
          </w:tcPr>
          <w:p w14:paraId="38A19CF1" w14:textId="77777777" w:rsidR="00412798" w:rsidRPr="00A722DE" w:rsidRDefault="00412798" w:rsidP="00A722DE">
            <w:pPr>
              <w:textAlignment w:val="baseline"/>
              <w:rPr>
                <w:rFonts w:ascii="Times New Roman" w:eastAsia="Times New Roman" w:hAnsi="Times New Roman" w:cs="Times New Roman"/>
                <w:sz w:val="20"/>
                <w:szCs w:val="20"/>
              </w:rPr>
            </w:pPr>
            <w:r w:rsidRPr="00A722DE">
              <w:rPr>
                <w:rFonts w:ascii="Times New Roman" w:eastAsia="Times New Roman" w:hAnsi="Times New Roman" w:cs="Times New Roman"/>
                <w:b/>
                <w:bCs/>
                <w:sz w:val="20"/>
                <w:szCs w:val="20"/>
              </w:rPr>
              <w:t xml:space="preserve">Question ID: </w:t>
            </w:r>
            <w:r w:rsidRPr="00A722DE">
              <w:rPr>
                <w:rFonts w:ascii="Times New Roman" w:eastAsia="Times New Roman" w:hAnsi="Times New Roman" w:cs="Times New Roman"/>
                <w:sz w:val="20"/>
                <w:szCs w:val="20"/>
              </w:rPr>
              <w:t>1020229763 </w:t>
            </w:r>
          </w:p>
          <w:p w14:paraId="2B0EAA49" w14:textId="77777777" w:rsidR="00412798" w:rsidRPr="00A722DE" w:rsidRDefault="00412798" w:rsidP="00A722DE">
            <w:pPr>
              <w:textAlignment w:val="baseline"/>
              <w:rPr>
                <w:rFonts w:ascii="Times New Roman" w:eastAsia="Times New Roman" w:hAnsi="Times New Roman" w:cs="Times New Roman"/>
                <w:sz w:val="20"/>
                <w:szCs w:val="20"/>
              </w:rPr>
            </w:pPr>
            <w:r w:rsidRPr="00A722DE">
              <w:rPr>
                <w:rFonts w:ascii="Times New Roman" w:eastAsia="Times New Roman" w:hAnsi="Times New Roman" w:cs="Times New Roman"/>
                <w:sz w:val="20"/>
                <w:szCs w:val="20"/>
              </w:rPr>
              <w:t xml:space="preserve">Can you confirm that under </w:t>
            </w:r>
            <w:r w:rsidRPr="00643E2A">
              <w:rPr>
                <w:rFonts w:ascii="Times New Roman" w:eastAsia="Times New Roman" w:hAnsi="Times New Roman" w:cs="Times New Roman"/>
                <w:b/>
                <w:bCs/>
                <w:sz w:val="20"/>
                <w:szCs w:val="20"/>
              </w:rPr>
              <w:t>(</w:t>
            </w:r>
            <w:r w:rsidRPr="00A722DE">
              <w:rPr>
                <w:rFonts w:ascii="Times New Roman" w:eastAsia="Times New Roman" w:hAnsi="Times New Roman" w:cs="Times New Roman"/>
                <w:b/>
                <w:bCs/>
                <w:sz w:val="20"/>
                <w:szCs w:val="20"/>
              </w:rPr>
              <w:t>Scoring</w:t>
            </w:r>
            <w:r w:rsidRPr="00643E2A">
              <w:rPr>
                <w:rFonts w:ascii="Times New Roman" w:eastAsia="Times New Roman" w:hAnsi="Times New Roman" w:cs="Times New Roman"/>
                <w:b/>
                <w:bCs/>
                <w:sz w:val="20"/>
                <w:szCs w:val="20"/>
              </w:rPr>
              <w:t>) Extended Affordability Commitment</w:t>
            </w:r>
            <w:r>
              <w:rPr>
                <w:rFonts w:ascii="Times New Roman" w:eastAsia="Times New Roman" w:hAnsi="Times New Roman" w:cs="Times New Roman"/>
                <w:sz w:val="20"/>
                <w:szCs w:val="20"/>
              </w:rPr>
              <w:t xml:space="preserve">, </w:t>
            </w:r>
            <w:r w:rsidRPr="00A722DE">
              <w:rPr>
                <w:rFonts w:ascii="Times New Roman" w:eastAsia="Times New Roman" w:hAnsi="Times New Roman" w:cs="Times New Roman"/>
                <w:sz w:val="20"/>
                <w:szCs w:val="20"/>
              </w:rPr>
              <w:t>the acceptable exhibit is a letter from the controlling principal? </w:t>
            </w:r>
          </w:p>
          <w:p w14:paraId="6CA77919" w14:textId="77777777" w:rsidR="00412798" w:rsidRPr="00A722DE" w:rsidRDefault="00412798" w:rsidP="00A722DE">
            <w:pPr>
              <w:textAlignment w:val="baseline"/>
              <w:rPr>
                <w:rFonts w:ascii="Times New Roman" w:eastAsia="Times New Roman" w:hAnsi="Times New Roman" w:cs="Times New Roman"/>
                <w:sz w:val="20"/>
                <w:szCs w:val="20"/>
              </w:rPr>
            </w:pPr>
            <w:r w:rsidRPr="00A722DE">
              <w:rPr>
                <w:rFonts w:ascii="Times New Roman" w:eastAsia="Times New Roman" w:hAnsi="Times New Roman" w:cs="Times New Roman"/>
                <w:sz w:val="20"/>
                <w:szCs w:val="20"/>
              </w:rPr>
              <w:t> </w:t>
            </w:r>
          </w:p>
          <w:p w14:paraId="6FDDB854" w14:textId="77777777" w:rsidR="00412798" w:rsidRPr="00624747" w:rsidRDefault="00412798" w:rsidP="00074BA3">
            <w:pPr>
              <w:textAlignment w:val="baseline"/>
              <w:rPr>
                <w:rFonts w:ascii="Times New Roman" w:eastAsia="Times New Roman" w:hAnsi="Times New Roman" w:cs="Times New Roman"/>
                <w:sz w:val="20"/>
                <w:szCs w:val="20"/>
              </w:rPr>
            </w:pPr>
            <w:r w:rsidRPr="00A722DE">
              <w:rPr>
                <w:rFonts w:ascii="Times New Roman" w:eastAsia="Times New Roman" w:hAnsi="Times New Roman" w:cs="Times New Roman"/>
                <w:b/>
                <w:bCs/>
                <w:sz w:val="20"/>
                <w:szCs w:val="20"/>
              </w:rPr>
              <w:t>Answer</w:t>
            </w:r>
            <w:r w:rsidRPr="00A722DE">
              <w:rPr>
                <w:rFonts w:ascii="Times New Roman" w:eastAsia="Times New Roman" w:hAnsi="Times New Roman" w:cs="Times New Roman"/>
                <w:sz w:val="20"/>
                <w:szCs w:val="20"/>
              </w:rPr>
              <w:t>:   </w:t>
            </w:r>
            <w:r w:rsidRPr="00A722DE">
              <w:rPr>
                <w:rFonts w:ascii="Times New Roman" w:eastAsia="Times New Roman" w:hAnsi="Times New Roman" w:cs="Times New Roman"/>
                <w:sz w:val="20"/>
                <w:szCs w:val="20"/>
              </w:rPr>
              <w:br/>
            </w:r>
            <w:r w:rsidRPr="00A722DE">
              <w:rPr>
                <w:rFonts w:ascii="Times New Roman" w:eastAsia="Times New Roman" w:hAnsi="Times New Roman" w:cs="Times New Roman"/>
                <w:color w:val="15232B"/>
                <w:sz w:val="20"/>
                <w:szCs w:val="20"/>
              </w:rPr>
              <w:t>DCA assumes this question is referring to subsections A. and C., where no “Minimum Documentation” is listed. The Applicant commitments for A. and C. under this section are captured in the Scoring Criteria tab of the Core Application. No documentation is required.  </w:t>
            </w:r>
          </w:p>
        </w:tc>
      </w:tr>
      <w:tr w:rsidR="00412798" w:rsidRPr="007424E0" w14:paraId="16308985"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0B55353C" w14:textId="77777777" w:rsidR="00412798" w:rsidRPr="00502544" w:rsidRDefault="00412798" w:rsidP="000F6D48">
            <w:pPr>
              <w:rPr>
                <w:rFonts w:ascii="Times New Roman" w:eastAsia="Times New Roman" w:hAnsi="Times New Roman" w:cs="Times New Roman"/>
                <w:noProof/>
                <w:sz w:val="20"/>
                <w:szCs w:val="20"/>
              </w:rPr>
            </w:pPr>
            <w:r>
              <w:rPr>
                <w:rFonts w:ascii="Times New Roman" w:eastAsia="Times New Roman" w:hAnsi="Times New Roman" w:cs="Times New Roman"/>
                <w:noProof/>
                <w:sz w:val="20"/>
                <w:szCs w:val="20"/>
              </w:rPr>
              <w:t>10/12/22</w:t>
            </w:r>
          </w:p>
        </w:tc>
        <w:tc>
          <w:tcPr>
            <w:tcW w:w="2663" w:type="dxa"/>
            <w:shd w:val="clear" w:color="auto" w:fill="auto"/>
            <w:tcMar>
              <w:top w:w="72" w:type="dxa"/>
              <w:left w:w="115" w:type="dxa"/>
              <w:bottom w:w="72" w:type="dxa"/>
              <w:right w:w="115" w:type="dxa"/>
            </w:tcMar>
            <w:vAlign w:val="center"/>
          </w:tcPr>
          <w:p w14:paraId="5EE7FDBC"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3.23</w:t>
            </w:r>
          </w:p>
          <w:p w14:paraId="04FE0552" w14:textId="77777777" w:rsidR="00412798" w:rsidRDefault="00412798" w:rsidP="00185971">
            <w:pPr>
              <w:rPr>
                <w:rFonts w:ascii="Times New Roman" w:hAnsi="Times New Roman" w:cs="Times New Roman"/>
                <w:sz w:val="20"/>
                <w:szCs w:val="20"/>
              </w:rPr>
            </w:pPr>
            <w:r>
              <w:rPr>
                <w:rFonts w:ascii="Times New Roman" w:hAnsi="Times New Roman" w:cs="Times New Roman"/>
                <w:sz w:val="20"/>
                <w:szCs w:val="20"/>
              </w:rPr>
              <w:t>Scoring Criteria;</w:t>
            </w:r>
          </w:p>
          <w:p w14:paraId="201EBD1C" w14:textId="77777777" w:rsidR="00412798" w:rsidRPr="005E09D3" w:rsidRDefault="00412798" w:rsidP="00185971">
            <w:pPr>
              <w:rPr>
                <w:rFonts w:ascii="Times New Roman" w:hAnsi="Times New Roman" w:cs="Times New Roman"/>
                <w:sz w:val="20"/>
                <w:szCs w:val="20"/>
              </w:rPr>
            </w:pPr>
            <w:r>
              <w:rPr>
                <w:rFonts w:ascii="Times New Roman" w:hAnsi="Times New Roman" w:cs="Times New Roman"/>
                <w:sz w:val="20"/>
                <w:szCs w:val="20"/>
              </w:rPr>
              <w:t>Compliance Performance</w:t>
            </w:r>
          </w:p>
        </w:tc>
        <w:tc>
          <w:tcPr>
            <w:tcW w:w="9585" w:type="dxa"/>
            <w:shd w:val="clear" w:color="auto" w:fill="auto"/>
            <w:tcMar>
              <w:top w:w="72" w:type="dxa"/>
              <w:left w:w="115" w:type="dxa"/>
              <w:bottom w:w="72" w:type="dxa"/>
              <w:right w:w="115" w:type="dxa"/>
            </w:tcMar>
            <w:vAlign w:val="center"/>
          </w:tcPr>
          <w:p w14:paraId="564995FD" w14:textId="77777777" w:rsidR="00412798" w:rsidRPr="005E09D3" w:rsidRDefault="00412798" w:rsidP="005E09D3">
            <w:pPr>
              <w:textAlignment w:val="baseline"/>
              <w:rPr>
                <w:rFonts w:ascii="Times New Roman" w:eastAsia="Times New Roman" w:hAnsi="Times New Roman" w:cs="Times New Roman"/>
                <w:sz w:val="20"/>
                <w:szCs w:val="20"/>
              </w:rPr>
            </w:pPr>
            <w:r w:rsidRPr="005E09D3">
              <w:rPr>
                <w:rFonts w:ascii="Times New Roman" w:eastAsia="Times New Roman" w:hAnsi="Times New Roman" w:cs="Times New Roman"/>
                <w:b/>
                <w:bCs/>
                <w:sz w:val="20"/>
                <w:szCs w:val="20"/>
              </w:rPr>
              <w:t xml:space="preserve">Question ID:  </w:t>
            </w:r>
            <w:r w:rsidRPr="005E09D3">
              <w:rPr>
                <w:rFonts w:ascii="Times New Roman" w:eastAsia="Times New Roman" w:hAnsi="Times New Roman" w:cs="Times New Roman"/>
                <w:sz w:val="20"/>
                <w:szCs w:val="20"/>
              </w:rPr>
              <w:t>1020229763_2 </w:t>
            </w:r>
          </w:p>
          <w:p w14:paraId="600BFB4D" w14:textId="77777777" w:rsidR="00412798" w:rsidRPr="005E09D3" w:rsidRDefault="00412798" w:rsidP="005E09D3">
            <w:pPr>
              <w:textAlignment w:val="baseline"/>
              <w:rPr>
                <w:rFonts w:ascii="Times New Roman" w:eastAsia="Times New Roman" w:hAnsi="Times New Roman" w:cs="Times New Roman"/>
                <w:sz w:val="20"/>
                <w:szCs w:val="20"/>
              </w:rPr>
            </w:pPr>
            <w:r w:rsidRPr="005E09D3">
              <w:rPr>
                <w:rFonts w:ascii="Times New Roman" w:eastAsia="Times New Roman" w:hAnsi="Times New Roman" w:cs="Times New Roman"/>
                <w:color w:val="000000"/>
                <w:sz w:val="20"/>
                <w:szCs w:val="20"/>
              </w:rPr>
              <w:t xml:space="preserve">Under </w:t>
            </w:r>
            <w:r w:rsidRPr="00644A5E">
              <w:rPr>
                <w:rFonts w:ascii="Times New Roman" w:eastAsia="Times New Roman" w:hAnsi="Times New Roman" w:cs="Times New Roman"/>
                <w:b/>
                <w:bCs/>
                <w:color w:val="000000"/>
                <w:sz w:val="20"/>
                <w:szCs w:val="20"/>
              </w:rPr>
              <w:t>(Scoring) Compliance Performance</w:t>
            </w:r>
            <w:r>
              <w:rPr>
                <w:rFonts w:ascii="Times New Roman" w:eastAsia="Times New Roman" w:hAnsi="Times New Roman" w:cs="Times New Roman"/>
                <w:color w:val="000000"/>
                <w:sz w:val="20"/>
                <w:szCs w:val="20"/>
              </w:rPr>
              <w:t xml:space="preserve">, </w:t>
            </w:r>
            <w:r w:rsidRPr="005E09D3">
              <w:rPr>
                <w:rFonts w:ascii="Times New Roman" w:eastAsia="Times New Roman" w:hAnsi="Times New Roman" w:cs="Times New Roman"/>
                <w:color w:val="000000"/>
                <w:sz w:val="20"/>
                <w:szCs w:val="20"/>
              </w:rPr>
              <w:t>does an applicant with no Georgia projects receive the starting 10</w:t>
            </w:r>
            <w:r>
              <w:rPr>
                <w:rFonts w:ascii="Times New Roman" w:eastAsia="Times New Roman" w:hAnsi="Times New Roman" w:cs="Times New Roman"/>
                <w:color w:val="000000"/>
                <w:sz w:val="20"/>
                <w:szCs w:val="20"/>
              </w:rPr>
              <w:t xml:space="preserve"> </w:t>
            </w:r>
            <w:r w:rsidRPr="005E09D3">
              <w:rPr>
                <w:rFonts w:ascii="Times New Roman" w:eastAsia="Times New Roman" w:hAnsi="Times New Roman" w:cs="Times New Roman"/>
                <w:color w:val="000000"/>
                <w:sz w:val="20"/>
                <w:szCs w:val="20"/>
              </w:rPr>
              <w:t>points? If not is there a way it can obtain them? </w:t>
            </w:r>
          </w:p>
          <w:p w14:paraId="46B4A47F" w14:textId="77777777" w:rsidR="00412798" w:rsidRPr="005E09D3" w:rsidRDefault="00412798" w:rsidP="005E09D3">
            <w:pPr>
              <w:textAlignment w:val="baseline"/>
              <w:rPr>
                <w:rFonts w:ascii="Times New Roman" w:eastAsia="Times New Roman" w:hAnsi="Times New Roman" w:cs="Times New Roman"/>
                <w:sz w:val="20"/>
                <w:szCs w:val="20"/>
              </w:rPr>
            </w:pPr>
            <w:r w:rsidRPr="005E09D3">
              <w:rPr>
                <w:rFonts w:ascii="Times New Roman" w:eastAsia="Times New Roman" w:hAnsi="Times New Roman" w:cs="Times New Roman"/>
                <w:color w:val="000000"/>
                <w:sz w:val="20"/>
                <w:szCs w:val="20"/>
              </w:rPr>
              <w:t> </w:t>
            </w:r>
          </w:p>
          <w:p w14:paraId="1B1768B7" w14:textId="77777777" w:rsidR="00412798" w:rsidRPr="005E09D3" w:rsidRDefault="00412798" w:rsidP="005E09D3">
            <w:pPr>
              <w:textAlignment w:val="baseline"/>
              <w:rPr>
                <w:rFonts w:ascii="Times New Roman" w:eastAsia="Times New Roman" w:hAnsi="Times New Roman" w:cs="Times New Roman"/>
                <w:sz w:val="20"/>
                <w:szCs w:val="20"/>
              </w:rPr>
            </w:pPr>
            <w:r w:rsidRPr="005E09D3">
              <w:rPr>
                <w:rFonts w:ascii="Times New Roman" w:eastAsia="Times New Roman" w:hAnsi="Times New Roman" w:cs="Times New Roman"/>
                <w:b/>
                <w:bCs/>
                <w:sz w:val="20"/>
                <w:szCs w:val="20"/>
              </w:rPr>
              <w:t>Answer</w:t>
            </w:r>
            <w:r w:rsidRPr="005E09D3">
              <w:rPr>
                <w:rFonts w:ascii="Times New Roman" w:eastAsia="Times New Roman" w:hAnsi="Times New Roman" w:cs="Times New Roman"/>
                <w:sz w:val="20"/>
                <w:szCs w:val="20"/>
              </w:rPr>
              <w:t>:   </w:t>
            </w:r>
          </w:p>
          <w:p w14:paraId="6C190061" w14:textId="77777777" w:rsidR="00412798" w:rsidRPr="00624747" w:rsidRDefault="00412798" w:rsidP="00074BA3">
            <w:pPr>
              <w:textAlignment w:val="baseline"/>
              <w:rPr>
                <w:rFonts w:ascii="Times New Roman" w:eastAsia="Times New Roman" w:hAnsi="Times New Roman" w:cs="Times New Roman"/>
                <w:sz w:val="20"/>
                <w:szCs w:val="20"/>
              </w:rPr>
            </w:pPr>
            <w:r w:rsidRPr="00134B12">
              <w:rPr>
                <w:rFonts w:ascii="Times New Roman" w:eastAsia="Times New Roman" w:hAnsi="Times New Roman" w:cs="Times New Roman"/>
                <w:b/>
                <w:bCs/>
                <w:sz w:val="20"/>
                <w:szCs w:val="20"/>
              </w:rPr>
              <w:t>(Scoring) Compliance</w:t>
            </w:r>
            <w:r>
              <w:rPr>
                <w:rFonts w:ascii="Times New Roman" w:eastAsia="Times New Roman" w:hAnsi="Times New Roman" w:cs="Times New Roman"/>
                <w:sz w:val="20"/>
                <w:szCs w:val="20"/>
              </w:rPr>
              <w:t xml:space="preserve"> </w:t>
            </w:r>
            <w:r w:rsidRPr="00624747">
              <w:rPr>
                <w:rFonts w:ascii="Times New Roman" w:eastAsia="Times New Roman" w:hAnsi="Times New Roman" w:cs="Times New Roman"/>
                <w:b/>
                <w:bCs/>
                <w:sz w:val="20"/>
                <w:szCs w:val="20"/>
              </w:rPr>
              <w:t>Performance</w:t>
            </w:r>
            <w:r>
              <w:rPr>
                <w:rFonts w:ascii="Times New Roman" w:eastAsia="Times New Roman" w:hAnsi="Times New Roman" w:cs="Times New Roman"/>
                <w:sz w:val="20"/>
                <w:szCs w:val="20"/>
              </w:rPr>
              <w:t xml:space="preserve"> states, </w:t>
            </w:r>
            <w:r w:rsidRPr="005E09D3">
              <w:rPr>
                <w:rFonts w:ascii="Times New Roman" w:eastAsia="Times New Roman" w:hAnsi="Times New Roman" w:cs="Times New Roman"/>
                <w:i/>
                <w:iCs/>
                <w:sz w:val="20"/>
                <w:szCs w:val="20"/>
              </w:rPr>
              <w:t>“Each Application will start with an award of ten (10) Performance Points.”</w:t>
            </w:r>
            <w:r w:rsidRPr="005E09D3">
              <w:rPr>
                <w:rFonts w:ascii="Times New Roman" w:eastAsia="Times New Roman" w:hAnsi="Times New Roman" w:cs="Times New Roman"/>
                <w:sz w:val="20"/>
                <w:szCs w:val="20"/>
              </w:rPr>
              <w:t xml:space="preserve"> All applications begin with those ten points, but points may be deducted thereafter for the reasons listed in the scoring section.   </w:t>
            </w:r>
          </w:p>
        </w:tc>
      </w:tr>
      <w:tr w:rsidR="00412798" w:rsidRPr="007424E0" w14:paraId="7B70291B"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5F186597" w14:textId="77777777" w:rsidR="00412798" w:rsidRPr="00502544" w:rsidRDefault="00412798" w:rsidP="000F6D48">
            <w:pPr>
              <w:rPr>
                <w:rFonts w:ascii="Times New Roman" w:eastAsia="Times New Roman" w:hAnsi="Times New Roman" w:cs="Times New Roman"/>
                <w:noProof/>
                <w:sz w:val="20"/>
                <w:szCs w:val="20"/>
              </w:rPr>
            </w:pPr>
            <w:r w:rsidRPr="00502544">
              <w:rPr>
                <w:rFonts w:ascii="Times New Roman" w:eastAsia="Times New Roman" w:hAnsi="Times New Roman" w:cs="Times New Roman"/>
                <w:noProof/>
                <w:sz w:val="20"/>
                <w:szCs w:val="20"/>
              </w:rPr>
              <w:t>10/11/22</w:t>
            </w:r>
          </w:p>
        </w:tc>
        <w:tc>
          <w:tcPr>
            <w:tcW w:w="2663" w:type="dxa"/>
            <w:shd w:val="clear" w:color="auto" w:fill="auto"/>
            <w:tcMar>
              <w:top w:w="72" w:type="dxa"/>
              <w:left w:w="115" w:type="dxa"/>
              <w:bottom w:w="72" w:type="dxa"/>
              <w:right w:w="115" w:type="dxa"/>
            </w:tcMar>
            <w:vAlign w:val="center"/>
          </w:tcPr>
          <w:p w14:paraId="45FE4D7D"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2.07</w:t>
            </w:r>
          </w:p>
          <w:p w14:paraId="47EF8303"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Threshold Criteria;</w:t>
            </w:r>
          </w:p>
          <w:p w14:paraId="4A81D252"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Environmental Requirements</w:t>
            </w:r>
          </w:p>
        </w:tc>
        <w:tc>
          <w:tcPr>
            <w:tcW w:w="9585" w:type="dxa"/>
            <w:shd w:val="clear" w:color="auto" w:fill="auto"/>
            <w:tcMar>
              <w:top w:w="72" w:type="dxa"/>
              <w:left w:w="115" w:type="dxa"/>
              <w:bottom w:w="72" w:type="dxa"/>
              <w:right w:w="115" w:type="dxa"/>
            </w:tcMar>
            <w:vAlign w:val="center"/>
          </w:tcPr>
          <w:p w14:paraId="716E7186" w14:textId="77777777" w:rsidR="00412798" w:rsidRPr="00074BA3" w:rsidRDefault="00412798" w:rsidP="00074BA3">
            <w:pPr>
              <w:textAlignment w:val="baseline"/>
              <w:rPr>
                <w:rFonts w:ascii="Times New Roman" w:eastAsia="Times New Roman" w:hAnsi="Times New Roman" w:cs="Times New Roman"/>
                <w:sz w:val="20"/>
                <w:szCs w:val="20"/>
              </w:rPr>
            </w:pPr>
            <w:r w:rsidRPr="00074BA3">
              <w:rPr>
                <w:rFonts w:ascii="Times New Roman" w:eastAsia="Times New Roman" w:hAnsi="Times New Roman" w:cs="Times New Roman"/>
                <w:b/>
                <w:bCs/>
                <w:sz w:val="20"/>
                <w:szCs w:val="20"/>
              </w:rPr>
              <w:t>Question ID: 1015780063</w:t>
            </w:r>
            <w:r w:rsidRPr="00074BA3">
              <w:rPr>
                <w:rFonts w:ascii="Times New Roman" w:eastAsia="Times New Roman" w:hAnsi="Times New Roman" w:cs="Times New Roman"/>
                <w:sz w:val="20"/>
                <w:szCs w:val="20"/>
              </w:rPr>
              <w:t> </w:t>
            </w:r>
          </w:p>
          <w:p w14:paraId="35060470" w14:textId="77777777" w:rsidR="00412798" w:rsidRPr="00074BA3" w:rsidRDefault="00412798" w:rsidP="00074BA3">
            <w:pPr>
              <w:textAlignment w:val="baseline"/>
              <w:rPr>
                <w:rFonts w:ascii="Times New Roman" w:eastAsia="Times New Roman" w:hAnsi="Times New Roman" w:cs="Times New Roman"/>
                <w:sz w:val="20"/>
                <w:szCs w:val="20"/>
              </w:rPr>
            </w:pPr>
            <w:r w:rsidRPr="00074BA3">
              <w:rPr>
                <w:rFonts w:ascii="Times New Roman" w:eastAsia="Times New Roman" w:hAnsi="Times New Roman" w:cs="Times New Roman"/>
                <w:sz w:val="20"/>
                <w:szCs w:val="20"/>
              </w:rPr>
              <w:t>I have client submitting a 4% deal. A noise assessment was performed in 2020. Can this assessment still be used with the 2022 submission? Also, how long can a noise assessment be used before it requires updating? </w:t>
            </w:r>
          </w:p>
          <w:p w14:paraId="42E4FFC0" w14:textId="77777777" w:rsidR="00412798" w:rsidRPr="00074BA3" w:rsidRDefault="00412798" w:rsidP="00074BA3">
            <w:pPr>
              <w:textAlignment w:val="baseline"/>
              <w:rPr>
                <w:rFonts w:ascii="Times New Roman" w:eastAsia="Times New Roman" w:hAnsi="Times New Roman" w:cs="Times New Roman"/>
                <w:sz w:val="20"/>
                <w:szCs w:val="20"/>
              </w:rPr>
            </w:pPr>
            <w:r w:rsidRPr="00074BA3">
              <w:rPr>
                <w:rFonts w:ascii="Times New Roman" w:eastAsia="Times New Roman" w:hAnsi="Times New Roman" w:cs="Times New Roman"/>
                <w:sz w:val="20"/>
                <w:szCs w:val="20"/>
              </w:rPr>
              <w:t> </w:t>
            </w:r>
          </w:p>
          <w:p w14:paraId="66343207" w14:textId="77777777" w:rsidR="00412798" w:rsidRPr="00502544" w:rsidRDefault="00412798" w:rsidP="00806B79">
            <w:pPr>
              <w:textAlignment w:val="baseline"/>
              <w:rPr>
                <w:rFonts w:ascii="Times New Roman" w:eastAsia="Times New Roman" w:hAnsi="Times New Roman" w:cs="Times New Roman"/>
                <w:sz w:val="20"/>
                <w:szCs w:val="20"/>
              </w:rPr>
            </w:pPr>
            <w:r w:rsidRPr="00074BA3">
              <w:rPr>
                <w:rFonts w:ascii="Times New Roman" w:eastAsia="Times New Roman" w:hAnsi="Times New Roman" w:cs="Times New Roman"/>
                <w:b/>
                <w:bCs/>
                <w:sz w:val="20"/>
                <w:szCs w:val="20"/>
              </w:rPr>
              <w:t>Answer</w:t>
            </w:r>
            <w:r w:rsidRPr="00074BA3">
              <w:rPr>
                <w:rFonts w:ascii="Times New Roman" w:eastAsia="Times New Roman" w:hAnsi="Times New Roman" w:cs="Times New Roman"/>
                <w:sz w:val="20"/>
                <w:szCs w:val="20"/>
              </w:rPr>
              <w:t xml:space="preserve">: As per the DCA Environmental Manual (p. 27), available at </w:t>
            </w:r>
            <w:hyperlink r:id="rId15" w:tgtFrame="_blank" w:history="1">
              <w:r w:rsidRPr="00074BA3">
                <w:rPr>
                  <w:rFonts w:ascii="Times New Roman" w:eastAsia="Times New Roman" w:hAnsi="Times New Roman" w:cs="Times New Roman"/>
                  <w:color w:val="0563C1"/>
                  <w:sz w:val="20"/>
                  <w:szCs w:val="20"/>
                  <w:u w:val="single"/>
                </w:rPr>
                <w:t>2022 Environmental Manual and Forms | Georgia Department of Community Affairs (ga.gov),</w:t>
              </w:r>
            </w:hyperlink>
            <w:r w:rsidRPr="00074BA3">
              <w:rPr>
                <w:rFonts w:ascii="Times New Roman" w:eastAsia="Times New Roman" w:hAnsi="Times New Roman" w:cs="Times New Roman"/>
                <w:sz w:val="20"/>
                <w:szCs w:val="20"/>
              </w:rPr>
              <w:t xml:space="preserve"> the Noise Assessment, including the 10-year roadway projection, must be completed within 180 days before the application submission. </w:t>
            </w:r>
          </w:p>
        </w:tc>
      </w:tr>
      <w:tr w:rsidR="00412798" w:rsidRPr="007424E0" w14:paraId="43D143D1"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18E5E699" w14:textId="77777777" w:rsidR="00412798" w:rsidRPr="00502544" w:rsidRDefault="00412798" w:rsidP="000F6D48">
            <w:pPr>
              <w:rPr>
                <w:rFonts w:ascii="Times New Roman" w:eastAsia="Times New Roman" w:hAnsi="Times New Roman" w:cs="Times New Roman"/>
                <w:noProof/>
                <w:sz w:val="20"/>
                <w:szCs w:val="20"/>
              </w:rPr>
            </w:pPr>
            <w:r w:rsidRPr="00502544">
              <w:rPr>
                <w:rFonts w:ascii="Times New Roman" w:eastAsia="Times New Roman" w:hAnsi="Times New Roman" w:cs="Times New Roman"/>
                <w:noProof/>
                <w:sz w:val="20"/>
                <w:szCs w:val="20"/>
              </w:rPr>
              <w:t>10/11/22</w:t>
            </w:r>
          </w:p>
        </w:tc>
        <w:tc>
          <w:tcPr>
            <w:tcW w:w="2663" w:type="dxa"/>
            <w:shd w:val="clear" w:color="auto" w:fill="auto"/>
            <w:tcMar>
              <w:top w:w="72" w:type="dxa"/>
              <w:left w:w="115" w:type="dxa"/>
              <w:bottom w:w="72" w:type="dxa"/>
              <w:right w:w="115" w:type="dxa"/>
            </w:tcMar>
            <w:vAlign w:val="center"/>
          </w:tcPr>
          <w:p w14:paraId="46CC43BD"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2.08</w:t>
            </w:r>
          </w:p>
          <w:p w14:paraId="254F806E"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Threshold Criteria</w:t>
            </w:r>
          </w:p>
          <w:p w14:paraId="75FEBC79"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Site Control</w:t>
            </w:r>
          </w:p>
        </w:tc>
        <w:tc>
          <w:tcPr>
            <w:tcW w:w="9585" w:type="dxa"/>
            <w:shd w:val="clear" w:color="auto" w:fill="auto"/>
            <w:tcMar>
              <w:top w:w="72" w:type="dxa"/>
              <w:left w:w="115" w:type="dxa"/>
              <w:bottom w:w="72" w:type="dxa"/>
              <w:right w:w="115" w:type="dxa"/>
            </w:tcMar>
            <w:vAlign w:val="center"/>
          </w:tcPr>
          <w:p w14:paraId="489156DB" w14:textId="77777777" w:rsidR="00412798" w:rsidRPr="00502544" w:rsidRDefault="00412798" w:rsidP="00DC1EE4">
            <w:pPr>
              <w:contextualSpacing/>
              <w:rPr>
                <w:rFonts w:ascii="Times New Roman" w:eastAsia="Times New Roman" w:hAnsi="Times New Roman" w:cs="Times New Roman"/>
                <w:color w:val="000000" w:themeColor="text1"/>
                <w:sz w:val="20"/>
                <w:szCs w:val="20"/>
              </w:rPr>
            </w:pPr>
            <w:r w:rsidRPr="00502544">
              <w:rPr>
                <w:rFonts w:ascii="Times New Roman" w:hAnsi="Times New Roman" w:cs="Times New Roman"/>
                <w:b/>
                <w:bCs/>
                <w:sz w:val="20"/>
                <w:szCs w:val="20"/>
              </w:rPr>
              <w:t>Question ID: 1013980039</w:t>
            </w:r>
            <w:r w:rsidRPr="00502544">
              <w:rPr>
                <w:rFonts w:ascii="Times New Roman" w:hAnsi="Times New Roman" w:cs="Times New Roman"/>
                <w:sz w:val="20"/>
                <w:szCs w:val="20"/>
              </w:rPr>
              <w:br/>
            </w:r>
            <w:r w:rsidRPr="00502544">
              <w:rPr>
                <w:rFonts w:ascii="Times New Roman" w:eastAsia="Times New Roman" w:hAnsi="Times New Roman" w:cs="Times New Roman"/>
                <w:color w:val="000000" w:themeColor="text1"/>
                <w:sz w:val="20"/>
                <w:szCs w:val="20"/>
              </w:rPr>
              <w:t xml:space="preserve">Within the QAP a threshold item is Site Control. It states that you must have site control through the proposed bond closing. Given that we don't know the exact timeline of when DCA will process applications and ultimately award Letters of Determination, what does control "through bond closing" mean? Can we have extension options? Technically if we only have site control through, for example, March of next year, we could be in a position to close </w:t>
            </w:r>
            <w:r w:rsidRPr="00502544">
              <w:rPr>
                <w:rFonts w:ascii="Times New Roman" w:eastAsia="Times New Roman" w:hAnsi="Times New Roman" w:cs="Times New Roman"/>
                <w:color w:val="000000" w:themeColor="text1"/>
                <w:sz w:val="20"/>
                <w:szCs w:val="20"/>
              </w:rPr>
              <w:lastRenderedPageBreak/>
              <w:t>on land if by March we are confident in our abilities to receive an LOD, thus still having site control. Any guidance would be helpful.</w:t>
            </w:r>
          </w:p>
          <w:p w14:paraId="0ABDF4CA" w14:textId="77777777" w:rsidR="00412798" w:rsidRPr="00502544" w:rsidRDefault="00412798" w:rsidP="00DC1EE4">
            <w:pPr>
              <w:contextualSpacing/>
              <w:rPr>
                <w:rFonts w:ascii="Times New Roman" w:eastAsia="Times New Roman" w:hAnsi="Times New Roman" w:cs="Times New Roman"/>
                <w:color w:val="000000" w:themeColor="text1"/>
                <w:sz w:val="20"/>
                <w:szCs w:val="20"/>
              </w:rPr>
            </w:pPr>
          </w:p>
          <w:p w14:paraId="3464AC12" w14:textId="77777777" w:rsidR="00412798" w:rsidRPr="00502544" w:rsidRDefault="00412798" w:rsidP="00DC1EE4">
            <w:pPr>
              <w:contextualSpacing/>
              <w:rPr>
                <w:rFonts w:ascii="Times New Roman" w:hAnsi="Times New Roman" w:cs="Times New Roman"/>
                <w:sz w:val="20"/>
                <w:szCs w:val="20"/>
              </w:rPr>
            </w:pPr>
            <w:r w:rsidRPr="00502544">
              <w:rPr>
                <w:rFonts w:ascii="Times New Roman" w:hAnsi="Times New Roman" w:cs="Times New Roman"/>
                <w:b/>
                <w:bCs/>
                <w:sz w:val="20"/>
                <w:szCs w:val="20"/>
              </w:rPr>
              <w:t>Answer</w:t>
            </w:r>
            <w:r w:rsidRPr="00502544">
              <w:rPr>
                <w:rFonts w:ascii="Times New Roman" w:hAnsi="Times New Roman" w:cs="Times New Roman"/>
                <w:sz w:val="20"/>
                <w:szCs w:val="20"/>
              </w:rPr>
              <w:t xml:space="preserve">: </w:t>
            </w:r>
          </w:p>
          <w:p w14:paraId="1529FB58" w14:textId="77777777" w:rsidR="00412798" w:rsidRPr="00502544" w:rsidRDefault="00412798" w:rsidP="00DC1EE4">
            <w:pPr>
              <w:rPr>
                <w:rFonts w:ascii="Times New Roman" w:hAnsi="Times New Roman" w:cs="Times New Roman"/>
                <w:sz w:val="20"/>
                <w:szCs w:val="20"/>
              </w:rPr>
            </w:pPr>
            <w:r w:rsidRPr="00502544">
              <w:rPr>
                <w:rFonts w:ascii="Times New Roman" w:hAnsi="Times New Roman" w:cs="Times New Roman"/>
                <w:sz w:val="20"/>
                <w:szCs w:val="20"/>
              </w:rPr>
              <w:t>The QAP does not prohibit Applicants evidencing site control through a contract with the option to renew. If the contract provides the Applicant with the option to renew, the renewal option in such contract must be enforceable by the Applicant until the estimated bond closing date.</w:t>
            </w:r>
          </w:p>
          <w:p w14:paraId="069C196B" w14:textId="77777777" w:rsidR="00412798" w:rsidRPr="00502544" w:rsidRDefault="00412798" w:rsidP="00DC1EE4">
            <w:pPr>
              <w:rPr>
                <w:rFonts w:ascii="Times New Roman" w:hAnsi="Times New Roman" w:cs="Times New Roman"/>
                <w:sz w:val="20"/>
                <w:szCs w:val="20"/>
              </w:rPr>
            </w:pPr>
          </w:p>
          <w:p w14:paraId="2D87C50F" w14:textId="77777777" w:rsidR="00412798" w:rsidRPr="00502544" w:rsidRDefault="00412798" w:rsidP="00DC1EE4">
            <w:pPr>
              <w:rPr>
                <w:rFonts w:ascii="Times New Roman" w:hAnsi="Times New Roman" w:cs="Times New Roman"/>
                <w:sz w:val="20"/>
                <w:szCs w:val="20"/>
              </w:rPr>
            </w:pPr>
            <w:r w:rsidRPr="00502544">
              <w:rPr>
                <w:rFonts w:ascii="Times New Roman" w:hAnsi="Times New Roman" w:cs="Times New Roman"/>
                <w:sz w:val="20"/>
                <w:szCs w:val="20"/>
              </w:rPr>
              <w:t xml:space="preserve">DCA is unable to specify an exact date of bond closing, as this is dependent on multiple factors, including DCA review time and Applicant Pre-Application and Full Application submission date. DCA reminds Applicants that Pre-Application may be submitted </w:t>
            </w:r>
            <w:r w:rsidRPr="00502544">
              <w:rPr>
                <w:rFonts w:ascii="Times New Roman" w:hAnsi="Times New Roman" w:cs="Times New Roman"/>
                <w:sz w:val="20"/>
                <w:szCs w:val="20"/>
                <w:u w:val="single"/>
              </w:rPr>
              <w:t>at any point</w:t>
            </w:r>
            <w:r w:rsidRPr="00502544">
              <w:rPr>
                <w:rFonts w:ascii="Times New Roman" w:hAnsi="Times New Roman" w:cs="Times New Roman"/>
                <w:sz w:val="20"/>
                <w:szCs w:val="20"/>
              </w:rPr>
              <w:t xml:space="preserve"> within 40 days of Notice to Proceed and Full Application may be submitted </w:t>
            </w:r>
            <w:r w:rsidRPr="00502544">
              <w:rPr>
                <w:rFonts w:ascii="Times New Roman" w:hAnsi="Times New Roman" w:cs="Times New Roman"/>
                <w:sz w:val="20"/>
                <w:szCs w:val="20"/>
                <w:u w:val="single"/>
              </w:rPr>
              <w:t>at any point</w:t>
            </w:r>
            <w:r w:rsidRPr="00502544">
              <w:rPr>
                <w:rFonts w:ascii="Times New Roman" w:hAnsi="Times New Roman" w:cs="Times New Roman"/>
                <w:sz w:val="20"/>
                <w:szCs w:val="20"/>
              </w:rPr>
              <w:t xml:space="preserve"> within 60 days of Pre-Application approval. See the slides and recording from the 4% HTC/Bonds Workshop for additional information regarding anticipated review and announcement timeline (</w:t>
            </w:r>
            <w:hyperlink r:id="rId16">
              <w:r w:rsidRPr="00502544">
                <w:rPr>
                  <w:rStyle w:val="Hyperlink"/>
                  <w:rFonts w:ascii="Times New Roman" w:hAnsi="Times New Roman" w:cs="Times New Roman"/>
                  <w:sz w:val="20"/>
                  <w:szCs w:val="20"/>
                </w:rPr>
                <w:t>click here</w:t>
              </w:r>
            </w:hyperlink>
            <w:r w:rsidRPr="00502544">
              <w:rPr>
                <w:rFonts w:ascii="Times New Roman" w:hAnsi="Times New Roman" w:cs="Times New Roman"/>
                <w:sz w:val="20"/>
                <w:szCs w:val="20"/>
              </w:rPr>
              <w:t>).</w:t>
            </w:r>
          </w:p>
          <w:p w14:paraId="4C9FAA36" w14:textId="77777777" w:rsidR="00412798" w:rsidRPr="00502544" w:rsidRDefault="00412798" w:rsidP="00DC1EE4">
            <w:pPr>
              <w:rPr>
                <w:rFonts w:ascii="Times New Roman" w:hAnsi="Times New Roman" w:cs="Times New Roman"/>
                <w:sz w:val="20"/>
                <w:szCs w:val="20"/>
              </w:rPr>
            </w:pPr>
          </w:p>
          <w:p w14:paraId="2451CAB0" w14:textId="77777777" w:rsidR="00412798" w:rsidRPr="00502544" w:rsidRDefault="00412798" w:rsidP="00DC1EE4">
            <w:pPr>
              <w:rPr>
                <w:rFonts w:ascii="Times New Roman" w:hAnsi="Times New Roman" w:cs="Times New Roman"/>
                <w:i/>
                <w:iCs/>
                <w:sz w:val="20"/>
                <w:szCs w:val="20"/>
              </w:rPr>
            </w:pPr>
            <w:r w:rsidRPr="00502544">
              <w:rPr>
                <w:rFonts w:ascii="Times New Roman" w:hAnsi="Times New Roman" w:cs="Times New Roman"/>
                <w:sz w:val="20"/>
                <w:szCs w:val="20"/>
              </w:rPr>
              <w:t xml:space="preserve">Per </w:t>
            </w:r>
            <w:r w:rsidRPr="00502544">
              <w:rPr>
                <w:rFonts w:ascii="Times New Roman" w:hAnsi="Times New Roman" w:cs="Times New Roman"/>
                <w:b/>
                <w:bCs/>
                <w:sz w:val="20"/>
                <w:szCs w:val="20"/>
              </w:rPr>
              <w:t>(Core) 4% Federal Credit – Bond Financed Projects</w:t>
            </w:r>
            <w:r w:rsidRPr="00502544">
              <w:rPr>
                <w:rFonts w:ascii="Times New Roman" w:hAnsi="Times New Roman" w:cs="Times New Roman"/>
                <w:sz w:val="20"/>
                <w:szCs w:val="20"/>
              </w:rPr>
              <w:t xml:space="preserve">, </w:t>
            </w:r>
            <w:r w:rsidRPr="00502544">
              <w:rPr>
                <w:rFonts w:ascii="Times New Roman" w:hAnsi="Times New Roman" w:cs="Times New Roman"/>
                <w:i/>
                <w:iCs/>
                <w:sz w:val="20"/>
                <w:szCs w:val="20"/>
              </w:rPr>
              <w:t xml:space="preserve">“DCA will provide its Letter of Determination within 75 days of receipt of a </w:t>
            </w:r>
            <w:r w:rsidRPr="00502544">
              <w:rPr>
                <w:rFonts w:ascii="Times New Roman" w:hAnsi="Times New Roman" w:cs="Times New Roman"/>
                <w:i/>
                <w:iCs/>
                <w:sz w:val="20"/>
                <w:szCs w:val="20"/>
                <w:u w:val="single"/>
              </w:rPr>
              <w:t>complete</w:t>
            </w:r>
            <w:r w:rsidRPr="00502544">
              <w:rPr>
                <w:rFonts w:ascii="Times New Roman" w:hAnsi="Times New Roman" w:cs="Times New Roman"/>
                <w:i/>
                <w:iCs/>
                <w:sz w:val="20"/>
                <w:szCs w:val="20"/>
              </w:rPr>
              <w:t xml:space="preserve"> Application”</w:t>
            </w:r>
            <w:r w:rsidRPr="00502544">
              <w:rPr>
                <w:rFonts w:ascii="Times New Roman" w:hAnsi="Times New Roman" w:cs="Times New Roman"/>
                <w:sz w:val="20"/>
                <w:szCs w:val="20"/>
              </w:rPr>
              <w:t>, and</w:t>
            </w:r>
            <w:r w:rsidRPr="00502544">
              <w:rPr>
                <w:rFonts w:ascii="Times New Roman" w:hAnsi="Times New Roman" w:cs="Times New Roman"/>
                <w:i/>
                <w:iCs/>
                <w:sz w:val="20"/>
                <w:szCs w:val="20"/>
              </w:rPr>
              <w:t xml:space="preserve"> “Owners must close the bond financing within 180 days of the LOD issuance.”</w:t>
            </w:r>
          </w:p>
          <w:p w14:paraId="70D97915" w14:textId="77777777" w:rsidR="00412798" w:rsidRPr="00502544" w:rsidRDefault="00412798" w:rsidP="00DC1EE4">
            <w:pPr>
              <w:rPr>
                <w:rFonts w:ascii="Times New Roman" w:hAnsi="Times New Roman" w:cs="Times New Roman"/>
                <w:sz w:val="20"/>
                <w:szCs w:val="20"/>
              </w:rPr>
            </w:pPr>
          </w:p>
          <w:p w14:paraId="62070ED7" w14:textId="77777777" w:rsidR="00412798" w:rsidRPr="00502544" w:rsidRDefault="00412798" w:rsidP="00EC71B6">
            <w:pPr>
              <w:rPr>
                <w:rFonts w:ascii="Times New Roman" w:hAnsi="Times New Roman" w:cs="Times New Roman"/>
                <w:sz w:val="20"/>
                <w:szCs w:val="20"/>
              </w:rPr>
            </w:pPr>
            <w:r w:rsidRPr="00502544">
              <w:rPr>
                <w:rFonts w:ascii="Times New Roman" w:hAnsi="Times New Roman" w:cs="Times New Roman"/>
                <w:sz w:val="20"/>
                <w:szCs w:val="20"/>
              </w:rPr>
              <w:t>Applicants should consider the above factors in determining the estimated bond closing date.</w:t>
            </w:r>
          </w:p>
        </w:tc>
      </w:tr>
      <w:tr w:rsidR="00412798" w:rsidRPr="007424E0" w14:paraId="1EE462FB"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4E23907A" w14:textId="77777777" w:rsidR="00412798" w:rsidRPr="00502544" w:rsidRDefault="00412798" w:rsidP="000F6D48">
            <w:pPr>
              <w:rPr>
                <w:rFonts w:ascii="Times New Roman" w:eastAsia="Times New Roman" w:hAnsi="Times New Roman" w:cs="Times New Roman"/>
                <w:noProof/>
                <w:sz w:val="20"/>
                <w:szCs w:val="20"/>
              </w:rPr>
            </w:pPr>
            <w:r w:rsidRPr="00502544">
              <w:rPr>
                <w:rFonts w:ascii="Times New Roman" w:eastAsia="Times New Roman" w:hAnsi="Times New Roman" w:cs="Times New Roman"/>
                <w:noProof/>
                <w:sz w:val="20"/>
                <w:szCs w:val="20"/>
              </w:rPr>
              <w:lastRenderedPageBreak/>
              <w:t>10/11/22</w:t>
            </w:r>
          </w:p>
        </w:tc>
        <w:tc>
          <w:tcPr>
            <w:tcW w:w="2663" w:type="dxa"/>
            <w:shd w:val="clear" w:color="auto" w:fill="auto"/>
            <w:tcMar>
              <w:top w:w="72" w:type="dxa"/>
              <w:left w:w="115" w:type="dxa"/>
              <w:bottom w:w="72" w:type="dxa"/>
              <w:right w:w="115" w:type="dxa"/>
            </w:tcMar>
            <w:vAlign w:val="center"/>
          </w:tcPr>
          <w:p w14:paraId="456A7335" w14:textId="77777777" w:rsidR="00412798" w:rsidRPr="00502544" w:rsidRDefault="00412798" w:rsidP="00185971">
            <w:pPr>
              <w:rPr>
                <w:rFonts w:ascii="Times New Roman" w:hAnsi="Times New Roman" w:cs="Times New Roman"/>
                <w:sz w:val="20"/>
                <w:szCs w:val="20"/>
              </w:rPr>
            </w:pPr>
            <w:r>
              <w:rPr>
                <w:rFonts w:ascii="Times New Roman" w:hAnsi="Times New Roman" w:cs="Times New Roman"/>
                <w:sz w:val="20"/>
                <w:szCs w:val="20"/>
              </w:rPr>
              <w:t>2</w:t>
            </w:r>
            <w:r w:rsidRPr="00502544">
              <w:rPr>
                <w:rFonts w:ascii="Times New Roman" w:hAnsi="Times New Roman" w:cs="Times New Roman"/>
                <w:sz w:val="20"/>
                <w:szCs w:val="20"/>
              </w:rPr>
              <w:t>.28</w:t>
            </w:r>
          </w:p>
          <w:p w14:paraId="1FD29EC2"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Threshold Criteria;</w:t>
            </w:r>
          </w:p>
          <w:p w14:paraId="6E213E88"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DCA Underwriting Requirements</w:t>
            </w:r>
          </w:p>
        </w:tc>
        <w:tc>
          <w:tcPr>
            <w:tcW w:w="9585" w:type="dxa"/>
            <w:shd w:val="clear" w:color="auto" w:fill="auto"/>
            <w:tcMar>
              <w:top w:w="72" w:type="dxa"/>
              <w:left w:w="115" w:type="dxa"/>
              <w:bottom w:w="72" w:type="dxa"/>
              <w:right w:w="115" w:type="dxa"/>
            </w:tcMar>
            <w:vAlign w:val="center"/>
          </w:tcPr>
          <w:p w14:paraId="0C68E13E" w14:textId="77777777" w:rsidR="00412798" w:rsidRPr="00502544" w:rsidRDefault="00412798" w:rsidP="009A50FF">
            <w:pPr>
              <w:contextualSpacing/>
              <w:rPr>
                <w:rFonts w:ascii="Times New Roman" w:hAnsi="Times New Roman" w:cs="Times New Roman"/>
                <w:b/>
                <w:bCs/>
                <w:color w:val="000000"/>
                <w:sz w:val="20"/>
                <w:szCs w:val="20"/>
                <w:shd w:val="clear" w:color="auto" w:fill="FFFFFF"/>
              </w:rPr>
            </w:pPr>
            <w:r w:rsidRPr="00502544">
              <w:rPr>
                <w:rFonts w:ascii="Times New Roman" w:hAnsi="Times New Roman" w:cs="Times New Roman"/>
                <w:b/>
                <w:bCs/>
                <w:sz w:val="20"/>
                <w:szCs w:val="20"/>
              </w:rPr>
              <w:t xml:space="preserve">Question ID:  </w:t>
            </w:r>
            <w:r w:rsidRPr="00502544">
              <w:rPr>
                <w:rFonts w:ascii="Times New Roman" w:hAnsi="Times New Roman" w:cs="Times New Roman"/>
                <w:b/>
                <w:bCs/>
                <w:color w:val="000000"/>
                <w:sz w:val="20"/>
                <w:szCs w:val="20"/>
                <w:shd w:val="clear" w:color="auto" w:fill="FFFFFF"/>
              </w:rPr>
              <w:t>1015486767</w:t>
            </w:r>
          </w:p>
          <w:p w14:paraId="2E95C87D" w14:textId="77777777" w:rsidR="00412798" w:rsidRPr="00502544" w:rsidRDefault="00412798" w:rsidP="009A50FF">
            <w:pPr>
              <w:contextualSpacing/>
              <w:rPr>
                <w:rFonts w:ascii="Times New Roman" w:hAnsi="Times New Roman" w:cs="Times New Roman"/>
                <w:sz w:val="20"/>
                <w:szCs w:val="20"/>
              </w:rPr>
            </w:pPr>
            <w:r w:rsidRPr="00502544">
              <w:rPr>
                <w:rFonts w:ascii="Times New Roman" w:hAnsi="Times New Roman" w:cs="Times New Roman"/>
                <w:sz w:val="20"/>
                <w:szCs w:val="20"/>
              </w:rPr>
              <w:t xml:space="preserve">• Threshold - Underwriting: 11. Distribution across Unit / Bedroom Sizes: </w:t>
            </w:r>
          </w:p>
          <w:p w14:paraId="43392965" w14:textId="77777777" w:rsidR="00412798" w:rsidRPr="00502544" w:rsidRDefault="00412798" w:rsidP="009A50FF">
            <w:pPr>
              <w:contextualSpacing/>
              <w:rPr>
                <w:rFonts w:ascii="Times New Roman" w:hAnsi="Times New Roman" w:cs="Times New Roman"/>
                <w:sz w:val="20"/>
                <w:szCs w:val="20"/>
              </w:rPr>
            </w:pPr>
            <w:r w:rsidRPr="00502544">
              <w:rPr>
                <w:rFonts w:ascii="Times New Roman" w:hAnsi="Times New Roman" w:cs="Times New Roman"/>
                <w:sz w:val="20"/>
                <w:szCs w:val="20"/>
              </w:rPr>
              <w:t>o The project we are submitting will include an Income Averaging minimum set-aside election with muti-tiered rent structure. Due to specific constraints, we are planning on submitting for a waiver regarding DCA’s equal distribution / unit parity requirements. It is our understanding that these waivers are to be submitted at the Pre-Application stage, which would follow the Competitive Review Submission stage. Is that correct?  If that is correct, how should we present the unit mix to be included within the Completive Review stage Core App – Is it acceptable to include the unit mix we are planning to utilize, which would be non-conforming to DCA’s unit parity requirements without an approved waiver?</w:t>
            </w:r>
          </w:p>
          <w:p w14:paraId="02F5D432" w14:textId="77777777" w:rsidR="00412798" w:rsidRPr="00502544" w:rsidRDefault="00412798" w:rsidP="009A50FF">
            <w:pPr>
              <w:contextualSpacing/>
              <w:rPr>
                <w:rFonts w:ascii="Times New Roman" w:hAnsi="Times New Roman" w:cs="Times New Roman"/>
                <w:sz w:val="20"/>
                <w:szCs w:val="20"/>
              </w:rPr>
            </w:pPr>
          </w:p>
          <w:p w14:paraId="2BDA471A" w14:textId="77777777" w:rsidR="00412798" w:rsidRPr="00502544" w:rsidRDefault="00412798" w:rsidP="009A50FF">
            <w:pPr>
              <w:contextualSpacing/>
              <w:rPr>
                <w:rFonts w:ascii="Times New Roman" w:hAnsi="Times New Roman" w:cs="Times New Roman"/>
                <w:sz w:val="20"/>
                <w:szCs w:val="20"/>
              </w:rPr>
            </w:pPr>
            <w:r w:rsidRPr="00502544">
              <w:rPr>
                <w:rFonts w:ascii="Times New Roman" w:hAnsi="Times New Roman" w:cs="Times New Roman"/>
                <w:b/>
                <w:bCs/>
                <w:sz w:val="20"/>
                <w:szCs w:val="20"/>
              </w:rPr>
              <w:t>Answer</w:t>
            </w:r>
            <w:r w:rsidRPr="00502544">
              <w:rPr>
                <w:rFonts w:ascii="Times New Roman" w:hAnsi="Times New Roman" w:cs="Times New Roman"/>
                <w:sz w:val="20"/>
                <w:szCs w:val="20"/>
              </w:rPr>
              <w:t xml:space="preserve">:  </w:t>
            </w:r>
          </w:p>
          <w:p w14:paraId="6FE6681E" w14:textId="77777777" w:rsidR="00412798" w:rsidRPr="00502544" w:rsidRDefault="00412798" w:rsidP="009A50FF">
            <w:pPr>
              <w:contextualSpacing/>
              <w:rPr>
                <w:rFonts w:ascii="Times New Roman" w:hAnsi="Times New Roman" w:cs="Times New Roman"/>
                <w:sz w:val="20"/>
                <w:szCs w:val="20"/>
              </w:rPr>
            </w:pPr>
            <w:r w:rsidRPr="00502544">
              <w:rPr>
                <w:rFonts w:ascii="Times New Roman" w:hAnsi="Times New Roman" w:cs="Times New Roman"/>
                <w:sz w:val="20"/>
                <w:szCs w:val="20"/>
              </w:rPr>
              <w:t>Please propose the unit mix you plan to utilize. If selected through the Competitive Review process, you may request a waiver at Pre-Application.</w:t>
            </w:r>
          </w:p>
          <w:p w14:paraId="7535362A" w14:textId="77777777" w:rsidR="00412798" w:rsidRPr="00502544" w:rsidRDefault="00412798" w:rsidP="009A50FF">
            <w:pPr>
              <w:contextualSpacing/>
              <w:rPr>
                <w:rFonts w:ascii="Times New Roman" w:hAnsi="Times New Roman" w:cs="Times New Roman"/>
                <w:sz w:val="20"/>
                <w:szCs w:val="20"/>
              </w:rPr>
            </w:pPr>
          </w:p>
          <w:p w14:paraId="156BDF6C" w14:textId="77777777" w:rsidR="00412798" w:rsidRPr="00502544" w:rsidRDefault="00412798" w:rsidP="009A50FF">
            <w:pPr>
              <w:contextualSpacing/>
              <w:rPr>
                <w:rFonts w:ascii="Times New Roman" w:hAnsi="Times New Roman" w:cs="Times New Roman"/>
                <w:sz w:val="20"/>
                <w:szCs w:val="20"/>
              </w:rPr>
            </w:pPr>
            <w:r w:rsidRPr="00502544">
              <w:rPr>
                <w:rFonts w:ascii="Times New Roman" w:hAnsi="Times New Roman" w:cs="Times New Roman"/>
                <w:sz w:val="20"/>
                <w:szCs w:val="20"/>
              </w:rPr>
              <w:t>Please see the below excerpt from DCA’s Average Income Policy (</w:t>
            </w:r>
            <w:hyperlink r:id="rId17">
              <w:r w:rsidRPr="00502544">
                <w:rPr>
                  <w:rStyle w:val="Hyperlink"/>
                  <w:rFonts w:ascii="Times New Roman" w:hAnsi="Times New Roman" w:cs="Times New Roman"/>
                  <w:sz w:val="20"/>
                  <w:szCs w:val="20"/>
                </w:rPr>
                <w:t>click here</w:t>
              </w:r>
            </w:hyperlink>
            <w:r w:rsidRPr="00502544">
              <w:rPr>
                <w:rFonts w:ascii="Times New Roman" w:hAnsi="Times New Roman" w:cs="Times New Roman"/>
                <w:sz w:val="20"/>
                <w:szCs w:val="20"/>
              </w:rPr>
              <w:t>) regarding DCA consideration of exemptions to the equal distribution requirement:</w:t>
            </w:r>
          </w:p>
          <w:p w14:paraId="6666F6F1" w14:textId="77777777" w:rsidR="00412798" w:rsidRPr="00502544" w:rsidRDefault="00412798" w:rsidP="009A50FF">
            <w:pPr>
              <w:ind w:left="360"/>
              <w:contextualSpacing/>
              <w:rPr>
                <w:rFonts w:ascii="Times New Roman" w:hAnsi="Times New Roman" w:cs="Times New Roman"/>
                <w:i/>
                <w:iCs/>
                <w:sz w:val="20"/>
                <w:szCs w:val="20"/>
              </w:rPr>
            </w:pPr>
            <w:r w:rsidRPr="00502544">
              <w:rPr>
                <w:rFonts w:ascii="Times New Roman" w:hAnsi="Times New Roman" w:cs="Times New Roman"/>
                <w:i/>
                <w:iCs/>
                <w:sz w:val="20"/>
                <w:szCs w:val="20"/>
              </w:rPr>
              <w:lastRenderedPageBreak/>
              <w:t>“Income limits must be equally distributed among bedroom sizes (other than +- 2 units per each BR size and AMI limit). DCA will consider exceptions to this requirement when necessary to:</w:t>
            </w:r>
          </w:p>
          <w:p w14:paraId="171C6B0C" w14:textId="77777777" w:rsidR="00412798" w:rsidRPr="00502544" w:rsidRDefault="00412798" w:rsidP="009A50FF">
            <w:pPr>
              <w:pStyle w:val="ListParagraph"/>
              <w:numPr>
                <w:ilvl w:val="0"/>
                <w:numId w:val="69"/>
              </w:numPr>
              <w:rPr>
                <w:rFonts w:ascii="Times New Roman" w:hAnsi="Times New Roman" w:cs="Times New Roman"/>
                <w:i/>
                <w:iCs/>
                <w:sz w:val="20"/>
                <w:szCs w:val="20"/>
              </w:rPr>
            </w:pPr>
            <w:r w:rsidRPr="00502544">
              <w:rPr>
                <w:rFonts w:ascii="Times New Roman" w:hAnsi="Times New Roman" w:cs="Times New Roman"/>
                <w:i/>
                <w:iCs/>
                <w:sz w:val="20"/>
                <w:szCs w:val="20"/>
              </w:rPr>
              <w:t>reduce relocation impact in occupied rehab properties</w:t>
            </w:r>
          </w:p>
          <w:p w14:paraId="384369A0" w14:textId="77777777" w:rsidR="00412798" w:rsidRPr="00502544" w:rsidRDefault="00412798" w:rsidP="009A50FF">
            <w:pPr>
              <w:pStyle w:val="ListParagraph"/>
              <w:numPr>
                <w:ilvl w:val="0"/>
                <w:numId w:val="69"/>
              </w:numPr>
              <w:rPr>
                <w:rFonts w:ascii="Times New Roman" w:hAnsi="Times New Roman" w:cs="Times New Roman"/>
                <w:i/>
                <w:iCs/>
                <w:sz w:val="20"/>
                <w:szCs w:val="20"/>
              </w:rPr>
            </w:pPr>
            <w:r w:rsidRPr="00502544">
              <w:rPr>
                <w:rFonts w:ascii="Times New Roman" w:hAnsi="Times New Roman" w:cs="Times New Roman"/>
                <w:i/>
                <w:iCs/>
                <w:sz w:val="20"/>
                <w:szCs w:val="20"/>
              </w:rPr>
              <w:t>comply with the requirements of federal project-based assistance, and</w:t>
            </w:r>
          </w:p>
          <w:p w14:paraId="0D37F6CB" w14:textId="77777777" w:rsidR="00412798" w:rsidRPr="00502544" w:rsidRDefault="00412798" w:rsidP="009A50FF">
            <w:pPr>
              <w:pStyle w:val="ListParagraph"/>
              <w:numPr>
                <w:ilvl w:val="0"/>
                <w:numId w:val="69"/>
              </w:numPr>
              <w:rPr>
                <w:rFonts w:ascii="Times New Roman" w:hAnsi="Times New Roman" w:cs="Times New Roman"/>
                <w:i/>
                <w:iCs/>
                <w:sz w:val="20"/>
                <w:szCs w:val="20"/>
              </w:rPr>
            </w:pPr>
            <w:r w:rsidRPr="00502544">
              <w:rPr>
                <w:rFonts w:ascii="Times New Roman" w:hAnsi="Times New Roman" w:cs="Times New Roman"/>
                <w:i/>
                <w:iCs/>
                <w:sz w:val="20"/>
                <w:szCs w:val="20"/>
              </w:rPr>
              <w:t>facilitate HUD 811 units or other forms of supportive housing.”</w:t>
            </w:r>
          </w:p>
          <w:p w14:paraId="37039127" w14:textId="77777777" w:rsidR="00412798" w:rsidRPr="00502544" w:rsidRDefault="00412798" w:rsidP="00EC71B6">
            <w:pPr>
              <w:contextualSpacing/>
              <w:rPr>
                <w:rFonts w:ascii="Times New Roman" w:hAnsi="Times New Roman" w:cs="Times New Roman"/>
                <w:b/>
                <w:bCs/>
                <w:sz w:val="20"/>
                <w:szCs w:val="20"/>
              </w:rPr>
            </w:pPr>
          </w:p>
        </w:tc>
      </w:tr>
      <w:tr w:rsidR="00412798" w:rsidRPr="007424E0" w14:paraId="06C9990C"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AB5FA8B" w14:textId="77777777" w:rsidR="00412798" w:rsidRPr="00502544" w:rsidRDefault="00412798" w:rsidP="000F6D48">
            <w:pPr>
              <w:rPr>
                <w:rFonts w:ascii="Times New Roman" w:eastAsia="Times New Roman" w:hAnsi="Times New Roman" w:cs="Times New Roman"/>
                <w:noProof/>
                <w:sz w:val="20"/>
                <w:szCs w:val="20"/>
              </w:rPr>
            </w:pPr>
            <w:r w:rsidRPr="00502544">
              <w:rPr>
                <w:rFonts w:ascii="Times New Roman" w:eastAsia="Times New Roman" w:hAnsi="Times New Roman" w:cs="Times New Roman"/>
                <w:noProof/>
                <w:sz w:val="20"/>
                <w:szCs w:val="20"/>
              </w:rPr>
              <w:lastRenderedPageBreak/>
              <w:t>10/11/22</w:t>
            </w:r>
          </w:p>
        </w:tc>
        <w:tc>
          <w:tcPr>
            <w:tcW w:w="2663" w:type="dxa"/>
            <w:shd w:val="clear" w:color="auto" w:fill="auto"/>
            <w:tcMar>
              <w:top w:w="72" w:type="dxa"/>
              <w:left w:w="115" w:type="dxa"/>
              <w:bottom w:w="72" w:type="dxa"/>
              <w:right w:w="115" w:type="dxa"/>
            </w:tcMar>
            <w:vAlign w:val="center"/>
          </w:tcPr>
          <w:p w14:paraId="72598BA6"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3.06</w:t>
            </w:r>
          </w:p>
          <w:p w14:paraId="704F4162"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Scoring Criteria;</w:t>
            </w:r>
          </w:p>
          <w:p w14:paraId="2B8C43F7"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Community Transportation Options</w:t>
            </w:r>
          </w:p>
        </w:tc>
        <w:tc>
          <w:tcPr>
            <w:tcW w:w="9585" w:type="dxa"/>
            <w:shd w:val="clear" w:color="auto" w:fill="auto"/>
            <w:tcMar>
              <w:top w:w="72" w:type="dxa"/>
              <w:left w:w="115" w:type="dxa"/>
              <w:bottom w:w="72" w:type="dxa"/>
              <w:right w:w="115" w:type="dxa"/>
            </w:tcMar>
            <w:vAlign w:val="center"/>
          </w:tcPr>
          <w:p w14:paraId="3F181BD8" w14:textId="77777777" w:rsidR="00412798" w:rsidRPr="00502544" w:rsidRDefault="00412798" w:rsidP="00EC71B6">
            <w:pPr>
              <w:contextualSpacing/>
              <w:rPr>
                <w:rFonts w:ascii="Times New Roman" w:eastAsia="Times New Roman" w:hAnsi="Times New Roman" w:cs="Times New Roman"/>
                <w:color w:val="000000" w:themeColor="text1"/>
                <w:sz w:val="20"/>
                <w:szCs w:val="20"/>
              </w:rPr>
            </w:pPr>
            <w:r w:rsidRPr="00502544">
              <w:rPr>
                <w:rFonts w:ascii="Times New Roman" w:hAnsi="Times New Roman" w:cs="Times New Roman"/>
                <w:b/>
                <w:bCs/>
                <w:sz w:val="20"/>
                <w:szCs w:val="20"/>
              </w:rPr>
              <w:t xml:space="preserve">Question ID: </w:t>
            </w:r>
            <w:r w:rsidRPr="00502544">
              <w:rPr>
                <w:rFonts w:ascii="Times New Roman" w:eastAsia="Calibri" w:hAnsi="Times New Roman" w:cs="Times New Roman"/>
                <w:color w:val="000000" w:themeColor="text1"/>
                <w:sz w:val="20"/>
                <w:szCs w:val="20"/>
              </w:rPr>
              <w:t>1007640689_2</w:t>
            </w:r>
          </w:p>
          <w:p w14:paraId="1AF10164" w14:textId="77777777" w:rsidR="00412798" w:rsidRPr="00502544" w:rsidRDefault="00412798" w:rsidP="00EC71B6">
            <w:pPr>
              <w:contextualSpacing/>
              <w:rPr>
                <w:rFonts w:ascii="Times New Roman" w:eastAsia="Times New Roman" w:hAnsi="Times New Roman" w:cs="Times New Roman"/>
                <w:color w:val="000000" w:themeColor="text1"/>
                <w:sz w:val="20"/>
                <w:szCs w:val="20"/>
              </w:rPr>
            </w:pPr>
            <w:r w:rsidRPr="00502544">
              <w:rPr>
                <w:rFonts w:ascii="Times New Roman" w:eastAsia="Calibri" w:hAnsi="Times New Roman" w:cs="Times New Roman"/>
                <w:color w:val="000000" w:themeColor="text1"/>
                <w:sz w:val="20"/>
                <w:szCs w:val="20"/>
              </w:rPr>
              <w:t>The community transportation is tied to walking entrance coordinates on the conceptual site development plan.  Do we need conceptual site development plan to be part of the initial 4% submission or will the coordinates for vehicle entrance and walking entrance suffice?</w:t>
            </w:r>
            <w:r w:rsidRPr="00502544">
              <w:rPr>
                <w:rFonts w:ascii="Times New Roman" w:hAnsi="Times New Roman" w:cs="Times New Roman"/>
                <w:sz w:val="20"/>
                <w:szCs w:val="20"/>
              </w:rPr>
              <w:br/>
            </w:r>
          </w:p>
          <w:p w14:paraId="2ACF1D97" w14:textId="77777777" w:rsidR="00412798" w:rsidRPr="00502544" w:rsidRDefault="00412798" w:rsidP="00EC71B6">
            <w:pPr>
              <w:contextualSpacing/>
              <w:rPr>
                <w:rFonts w:ascii="Times New Roman" w:eastAsia="Times New Roman" w:hAnsi="Times New Roman" w:cs="Times New Roman"/>
                <w:color w:val="000000" w:themeColor="text1"/>
                <w:sz w:val="20"/>
                <w:szCs w:val="20"/>
              </w:rPr>
            </w:pPr>
          </w:p>
          <w:p w14:paraId="66AEEF89" w14:textId="77777777" w:rsidR="00412798" w:rsidRPr="00502544" w:rsidRDefault="00412798" w:rsidP="00EC71B6">
            <w:pPr>
              <w:contextualSpacing/>
              <w:rPr>
                <w:rFonts w:ascii="Times New Roman" w:hAnsi="Times New Roman" w:cs="Times New Roman"/>
                <w:sz w:val="20"/>
                <w:szCs w:val="20"/>
              </w:rPr>
            </w:pPr>
            <w:r w:rsidRPr="00502544">
              <w:rPr>
                <w:rFonts w:ascii="Times New Roman" w:hAnsi="Times New Roman" w:cs="Times New Roman"/>
                <w:b/>
                <w:bCs/>
                <w:sz w:val="20"/>
                <w:szCs w:val="20"/>
              </w:rPr>
              <w:t>Answer</w:t>
            </w:r>
            <w:r w:rsidRPr="00502544">
              <w:rPr>
                <w:rFonts w:ascii="Times New Roman" w:hAnsi="Times New Roman" w:cs="Times New Roman"/>
                <w:sz w:val="20"/>
                <w:szCs w:val="20"/>
              </w:rPr>
              <w:t xml:space="preserve">: </w:t>
            </w:r>
          </w:p>
          <w:p w14:paraId="6028581F" w14:textId="77777777" w:rsidR="00412798" w:rsidRPr="00502544" w:rsidRDefault="00412798" w:rsidP="00EC71B6">
            <w:pPr>
              <w:spacing w:line="257" w:lineRule="auto"/>
              <w:rPr>
                <w:rFonts w:ascii="Times New Roman" w:hAnsi="Times New Roman" w:cs="Times New Roman"/>
                <w:b/>
                <w:bCs/>
                <w:sz w:val="20"/>
                <w:szCs w:val="20"/>
              </w:rPr>
            </w:pPr>
            <w:r w:rsidRPr="00502544">
              <w:rPr>
                <w:rFonts w:ascii="Times New Roman" w:eastAsia="Calibri" w:hAnsi="Times New Roman" w:cs="Times New Roman"/>
                <w:sz w:val="20"/>
                <w:szCs w:val="20"/>
              </w:rPr>
              <w:t>Since a CSDP is not required for the 4%/Bonds Competitive Review Submission, coordinates for the vehicle and walking distance will suffice for purposes of Community Transportation.</w:t>
            </w:r>
          </w:p>
        </w:tc>
      </w:tr>
      <w:tr w:rsidR="00412798" w:rsidRPr="007424E0" w14:paraId="0B2A98A2"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7F011787" w14:textId="77777777" w:rsidR="00412798" w:rsidRPr="00502544" w:rsidRDefault="00412798" w:rsidP="000F6D48">
            <w:pPr>
              <w:rPr>
                <w:rFonts w:ascii="Times New Roman" w:eastAsia="Times New Roman" w:hAnsi="Times New Roman" w:cs="Times New Roman"/>
                <w:noProof/>
                <w:sz w:val="20"/>
                <w:szCs w:val="20"/>
              </w:rPr>
            </w:pPr>
            <w:r w:rsidRPr="00502544">
              <w:rPr>
                <w:rFonts w:ascii="Times New Roman" w:eastAsia="Times New Roman" w:hAnsi="Times New Roman" w:cs="Times New Roman"/>
                <w:noProof/>
                <w:sz w:val="20"/>
                <w:szCs w:val="20"/>
              </w:rPr>
              <w:t>10/11/22</w:t>
            </w:r>
          </w:p>
        </w:tc>
        <w:tc>
          <w:tcPr>
            <w:tcW w:w="2663" w:type="dxa"/>
            <w:shd w:val="clear" w:color="auto" w:fill="auto"/>
            <w:tcMar>
              <w:top w:w="72" w:type="dxa"/>
              <w:left w:w="115" w:type="dxa"/>
              <w:bottom w:w="72" w:type="dxa"/>
              <w:right w:w="115" w:type="dxa"/>
            </w:tcMar>
            <w:vAlign w:val="center"/>
          </w:tcPr>
          <w:p w14:paraId="67F0A2C2"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3.21</w:t>
            </w:r>
          </w:p>
          <w:p w14:paraId="15A0CB1D"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Scoring Criteria;</w:t>
            </w:r>
          </w:p>
          <w:p w14:paraId="549CDAD2" w14:textId="77777777" w:rsidR="00412798" w:rsidRPr="00502544" w:rsidRDefault="00412798" w:rsidP="00185971">
            <w:pPr>
              <w:rPr>
                <w:rFonts w:ascii="Times New Roman" w:hAnsi="Times New Roman" w:cs="Times New Roman"/>
                <w:sz w:val="20"/>
                <w:szCs w:val="20"/>
              </w:rPr>
            </w:pPr>
            <w:r w:rsidRPr="00502544">
              <w:rPr>
                <w:rFonts w:ascii="Times New Roman" w:hAnsi="Times New Roman" w:cs="Times New Roman"/>
                <w:sz w:val="20"/>
                <w:szCs w:val="20"/>
              </w:rPr>
              <w:t>Favorable Financing</w:t>
            </w:r>
          </w:p>
        </w:tc>
        <w:tc>
          <w:tcPr>
            <w:tcW w:w="9585" w:type="dxa"/>
            <w:shd w:val="clear" w:color="auto" w:fill="auto"/>
            <w:tcMar>
              <w:top w:w="72" w:type="dxa"/>
              <w:left w:w="115" w:type="dxa"/>
              <w:bottom w:w="72" w:type="dxa"/>
              <w:right w:w="115" w:type="dxa"/>
            </w:tcMar>
            <w:vAlign w:val="center"/>
          </w:tcPr>
          <w:p w14:paraId="2083887A" w14:textId="77777777" w:rsidR="00412798" w:rsidRPr="00806B79" w:rsidRDefault="00412798" w:rsidP="00806B79">
            <w:pPr>
              <w:textAlignment w:val="baseline"/>
              <w:rPr>
                <w:rFonts w:ascii="Times New Roman" w:eastAsia="Times New Roman" w:hAnsi="Times New Roman" w:cs="Times New Roman"/>
                <w:sz w:val="20"/>
                <w:szCs w:val="20"/>
              </w:rPr>
            </w:pPr>
            <w:r w:rsidRPr="00806B79">
              <w:rPr>
                <w:rFonts w:ascii="Times New Roman" w:eastAsia="Times New Roman" w:hAnsi="Times New Roman" w:cs="Times New Roman"/>
                <w:b/>
                <w:bCs/>
                <w:sz w:val="20"/>
                <w:szCs w:val="20"/>
              </w:rPr>
              <w:t xml:space="preserve">Question ID: </w:t>
            </w:r>
            <w:r w:rsidRPr="00CD3B1B">
              <w:rPr>
                <w:rFonts w:ascii="Times New Roman" w:eastAsia="Times New Roman" w:hAnsi="Times New Roman" w:cs="Times New Roman"/>
                <w:b/>
                <w:bCs/>
                <w:sz w:val="20"/>
                <w:szCs w:val="20"/>
              </w:rPr>
              <w:t>1015778673 </w:t>
            </w:r>
            <w:r w:rsidRPr="00806B79">
              <w:rPr>
                <w:rFonts w:ascii="Times New Roman" w:eastAsia="Times New Roman" w:hAnsi="Times New Roman" w:cs="Times New Roman"/>
                <w:sz w:val="20"/>
                <w:szCs w:val="20"/>
              </w:rPr>
              <w:br/>
            </w:r>
            <w:r w:rsidRPr="00806B79">
              <w:rPr>
                <w:rFonts w:ascii="Times New Roman" w:eastAsia="Times New Roman" w:hAnsi="Times New Roman" w:cs="Times New Roman"/>
                <w:color w:val="000000"/>
                <w:sz w:val="20"/>
                <w:szCs w:val="20"/>
              </w:rPr>
              <w:t>In looking at the favorable financing section, I notice at the bottom of the checklist the QAP mentions federal loan not originated by a conventional bank. Would our projects qualify for points in this section if we are using an FHA 221d4 as a source of financing? </w:t>
            </w:r>
          </w:p>
          <w:p w14:paraId="71177028" w14:textId="77777777" w:rsidR="00412798" w:rsidRPr="00806B79" w:rsidRDefault="00412798" w:rsidP="00806B79">
            <w:pPr>
              <w:textAlignment w:val="baseline"/>
              <w:rPr>
                <w:rFonts w:ascii="Times New Roman" w:eastAsia="Times New Roman" w:hAnsi="Times New Roman" w:cs="Times New Roman"/>
                <w:sz w:val="20"/>
                <w:szCs w:val="20"/>
              </w:rPr>
            </w:pPr>
            <w:r w:rsidRPr="00806B79">
              <w:rPr>
                <w:rFonts w:ascii="Times New Roman" w:eastAsia="Times New Roman" w:hAnsi="Times New Roman" w:cs="Times New Roman"/>
                <w:color w:val="000000"/>
                <w:sz w:val="20"/>
                <w:szCs w:val="20"/>
              </w:rPr>
              <w:t> </w:t>
            </w:r>
          </w:p>
          <w:p w14:paraId="2B36A572" w14:textId="77777777" w:rsidR="00412798" w:rsidRPr="00806B79" w:rsidRDefault="00412798" w:rsidP="00806B79">
            <w:pPr>
              <w:textAlignment w:val="baseline"/>
              <w:rPr>
                <w:rFonts w:ascii="Times New Roman" w:eastAsia="Times New Roman" w:hAnsi="Times New Roman" w:cs="Times New Roman"/>
                <w:sz w:val="20"/>
                <w:szCs w:val="20"/>
              </w:rPr>
            </w:pPr>
            <w:r w:rsidRPr="00806B79">
              <w:rPr>
                <w:rFonts w:ascii="Times New Roman" w:eastAsia="Times New Roman" w:hAnsi="Times New Roman" w:cs="Times New Roman"/>
                <w:b/>
                <w:bCs/>
                <w:sz w:val="20"/>
                <w:szCs w:val="20"/>
              </w:rPr>
              <w:t>Answer</w:t>
            </w:r>
            <w:r w:rsidRPr="00806B79">
              <w:rPr>
                <w:rFonts w:ascii="Times New Roman" w:eastAsia="Times New Roman" w:hAnsi="Times New Roman" w:cs="Times New Roman"/>
                <w:sz w:val="20"/>
                <w:szCs w:val="20"/>
              </w:rPr>
              <w:t>:   </w:t>
            </w:r>
          </w:p>
          <w:p w14:paraId="6A75C414" w14:textId="77777777" w:rsidR="00412798" w:rsidRPr="00806B79" w:rsidRDefault="00412798" w:rsidP="00806B79">
            <w:pPr>
              <w:textAlignment w:val="baseline"/>
              <w:rPr>
                <w:rFonts w:ascii="Times New Roman" w:eastAsia="Times New Roman" w:hAnsi="Times New Roman" w:cs="Times New Roman"/>
                <w:sz w:val="20"/>
                <w:szCs w:val="20"/>
              </w:rPr>
            </w:pPr>
            <w:r w:rsidRPr="00806B79">
              <w:rPr>
                <w:rFonts w:ascii="Times New Roman" w:eastAsia="Times New Roman" w:hAnsi="Times New Roman" w:cs="Times New Roman"/>
                <w:sz w:val="20"/>
                <w:szCs w:val="20"/>
              </w:rPr>
              <w:t>QAP, Scoring, XXI (Favorable Financing), (A): Qualifying Sources for Favorable Financing: includes “11. Other Federal, State, or local grant funds or loans. Loans under this category are ineligible if originated by a conventional bank.” </w:t>
            </w:r>
          </w:p>
          <w:p w14:paraId="42F01FE9" w14:textId="77777777" w:rsidR="00412798" w:rsidRPr="00806B79" w:rsidRDefault="00412798" w:rsidP="00806B79">
            <w:pPr>
              <w:textAlignment w:val="baseline"/>
              <w:rPr>
                <w:rFonts w:ascii="Times New Roman" w:eastAsia="Times New Roman" w:hAnsi="Times New Roman" w:cs="Times New Roman"/>
                <w:color w:val="000000"/>
                <w:sz w:val="20"/>
                <w:szCs w:val="20"/>
              </w:rPr>
            </w:pPr>
            <w:r w:rsidRPr="00806B79">
              <w:rPr>
                <w:rFonts w:ascii="Times New Roman" w:eastAsia="Times New Roman" w:hAnsi="Times New Roman" w:cs="Times New Roman"/>
                <w:sz w:val="20"/>
                <w:szCs w:val="20"/>
              </w:rPr>
              <w:t> </w:t>
            </w:r>
          </w:p>
          <w:p w14:paraId="11051606" w14:textId="77777777" w:rsidR="00412798" w:rsidRPr="00502544" w:rsidRDefault="00412798" w:rsidP="00765B8E">
            <w:pPr>
              <w:textAlignment w:val="baseline"/>
              <w:rPr>
                <w:rFonts w:ascii="Times New Roman" w:eastAsia="Times New Roman" w:hAnsi="Times New Roman" w:cs="Times New Roman"/>
                <w:sz w:val="20"/>
                <w:szCs w:val="20"/>
              </w:rPr>
            </w:pPr>
            <w:r w:rsidRPr="00806B79">
              <w:rPr>
                <w:rFonts w:ascii="Times New Roman" w:eastAsia="Times New Roman" w:hAnsi="Times New Roman" w:cs="Times New Roman"/>
                <w:sz w:val="20"/>
                <w:szCs w:val="20"/>
              </w:rPr>
              <w:t>The HUD/FHA 221(d)(4) program is a mortgage insurance program, and neither HUD nor FHA are the loan originators.  To qualify for points in this section, the originator of a qualifying loan must not be a conventional bank. </w:t>
            </w:r>
          </w:p>
        </w:tc>
      </w:tr>
      <w:tr w:rsidR="00412798" w:rsidRPr="007424E0" w14:paraId="42480F66"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7C2E3805"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9/29/22</w:t>
            </w:r>
          </w:p>
        </w:tc>
        <w:tc>
          <w:tcPr>
            <w:tcW w:w="2663" w:type="dxa"/>
            <w:shd w:val="clear" w:color="auto" w:fill="auto"/>
            <w:tcMar>
              <w:top w:w="72" w:type="dxa"/>
              <w:left w:w="115" w:type="dxa"/>
              <w:bottom w:w="72" w:type="dxa"/>
              <w:right w:w="115" w:type="dxa"/>
            </w:tcMar>
            <w:vAlign w:val="center"/>
          </w:tcPr>
          <w:p w14:paraId="1428085D"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1.12</w:t>
            </w:r>
          </w:p>
          <w:p w14:paraId="5ED584AA"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Core Plan;</w:t>
            </w:r>
          </w:p>
          <w:p w14:paraId="404F6665"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Eligibility of Certain Project Configurations</w:t>
            </w:r>
          </w:p>
        </w:tc>
        <w:tc>
          <w:tcPr>
            <w:tcW w:w="9585" w:type="dxa"/>
            <w:shd w:val="clear" w:color="auto" w:fill="auto"/>
            <w:tcMar>
              <w:top w:w="72" w:type="dxa"/>
              <w:left w:w="115" w:type="dxa"/>
              <w:bottom w:w="72" w:type="dxa"/>
              <w:right w:w="115" w:type="dxa"/>
            </w:tcMar>
            <w:vAlign w:val="center"/>
          </w:tcPr>
          <w:p w14:paraId="4117F51A" w14:textId="77777777" w:rsidR="00412798" w:rsidRPr="007424E0" w:rsidRDefault="00412798" w:rsidP="004569ED">
            <w:pPr>
              <w:contextualSpacing/>
              <w:rPr>
                <w:rFonts w:ascii="Times New Roman" w:eastAsia="Times New Roman" w:hAnsi="Times New Roman" w:cs="Times New Roman"/>
                <w:color w:val="000000" w:themeColor="text1"/>
                <w:sz w:val="20"/>
                <w:szCs w:val="20"/>
              </w:rPr>
            </w:pPr>
            <w:r w:rsidRPr="007424E0">
              <w:rPr>
                <w:rFonts w:ascii="Times New Roman" w:hAnsi="Times New Roman" w:cs="Times New Roman"/>
                <w:b/>
                <w:bCs/>
                <w:sz w:val="20"/>
                <w:szCs w:val="20"/>
              </w:rPr>
              <w:t xml:space="preserve">Question ID: </w:t>
            </w:r>
            <w:r w:rsidRPr="007424E0">
              <w:rPr>
                <w:rFonts w:ascii="Times New Roman" w:eastAsia="Calibri" w:hAnsi="Times New Roman" w:cs="Times New Roman"/>
                <w:color w:val="000000" w:themeColor="text1"/>
                <w:sz w:val="20"/>
                <w:szCs w:val="20"/>
              </w:rPr>
              <w:t>995414261_3</w:t>
            </w:r>
          </w:p>
          <w:p w14:paraId="4F22BA11" w14:textId="77777777" w:rsidR="00412798" w:rsidRDefault="00412798" w:rsidP="004569ED">
            <w:pPr>
              <w:contextualSpacing/>
              <w:rPr>
                <w:rFonts w:ascii="Times New Roman" w:eastAsia="Calibri" w:hAnsi="Times New Roman" w:cs="Times New Roman"/>
                <w:color w:val="000000" w:themeColor="text1"/>
                <w:sz w:val="20"/>
                <w:szCs w:val="20"/>
              </w:rPr>
            </w:pPr>
            <w:r w:rsidRPr="007424E0">
              <w:rPr>
                <w:rFonts w:ascii="Times New Roman" w:eastAsia="Calibri" w:hAnsi="Times New Roman" w:cs="Times New Roman"/>
                <w:color w:val="000000" w:themeColor="text1"/>
                <w:sz w:val="20"/>
                <w:szCs w:val="20"/>
              </w:rPr>
              <w:t>Eligibility of Scattered Site P. 15 of the Core Section states</w:t>
            </w:r>
            <w:r>
              <w:rPr>
                <w:rFonts w:ascii="Times New Roman" w:eastAsia="Calibri" w:hAnsi="Times New Roman" w:cs="Times New Roman"/>
                <w:color w:val="000000" w:themeColor="text1"/>
                <w:sz w:val="20"/>
                <w:szCs w:val="20"/>
              </w:rPr>
              <w:t>,</w:t>
            </w:r>
            <w:r w:rsidRPr="007424E0">
              <w:rPr>
                <w:rFonts w:ascii="Times New Roman" w:eastAsia="Calibri" w:hAnsi="Times New Roman" w:cs="Times New Roman"/>
                <w:color w:val="000000" w:themeColor="text1"/>
                <w:sz w:val="20"/>
                <w:szCs w:val="20"/>
              </w:rPr>
              <w:t xml:space="preserve"> </w:t>
            </w:r>
            <w:r w:rsidRPr="00C4487A">
              <w:rPr>
                <w:rFonts w:ascii="Times New Roman" w:eastAsia="Calibri" w:hAnsi="Times New Roman" w:cs="Times New Roman"/>
                <w:i/>
                <w:iCs/>
                <w:color w:val="000000" w:themeColor="text1"/>
                <w:sz w:val="20"/>
                <w:szCs w:val="20"/>
              </w:rPr>
              <w:t>"No more than six (6) non-contiguous parcels within a ½ mile radius and a minimum of four (4) residential units per parcel, except for parcels on which the community center is located</w:t>
            </w:r>
            <w:r>
              <w:rPr>
                <w:rFonts w:ascii="Times New Roman" w:eastAsia="Calibri" w:hAnsi="Times New Roman" w:cs="Times New Roman"/>
                <w:i/>
                <w:iCs/>
                <w:color w:val="000000" w:themeColor="text1"/>
                <w:sz w:val="20"/>
                <w:szCs w:val="20"/>
              </w:rPr>
              <w:t>.</w:t>
            </w:r>
            <w:r w:rsidRPr="00C4487A">
              <w:rPr>
                <w:rFonts w:ascii="Times New Roman" w:eastAsia="Calibri" w:hAnsi="Times New Roman" w:cs="Times New Roman"/>
                <w:i/>
                <w:iCs/>
                <w:color w:val="000000" w:themeColor="text1"/>
                <w:sz w:val="20"/>
                <w:szCs w:val="20"/>
              </w:rPr>
              <w:t>"</w:t>
            </w:r>
          </w:p>
          <w:p w14:paraId="0248ECEE" w14:textId="77777777" w:rsidR="00412798" w:rsidRPr="007424E0" w:rsidRDefault="00412798" w:rsidP="004569ED">
            <w:pPr>
              <w:contextualSpacing/>
              <w:rPr>
                <w:rFonts w:ascii="Times New Roman" w:hAnsi="Times New Roman" w:cs="Times New Roman"/>
                <w:sz w:val="20"/>
                <w:szCs w:val="20"/>
              </w:rPr>
            </w:pPr>
          </w:p>
          <w:p w14:paraId="42B61644" w14:textId="77777777" w:rsidR="00412798" w:rsidRPr="007424E0" w:rsidRDefault="00412798" w:rsidP="004569ED">
            <w:pPr>
              <w:contextualSpacing/>
              <w:rPr>
                <w:rFonts w:ascii="Times New Roman" w:hAnsi="Times New Roman" w:cs="Times New Roman"/>
                <w:sz w:val="20"/>
                <w:szCs w:val="20"/>
              </w:rPr>
            </w:pPr>
            <w:r w:rsidRPr="007424E0">
              <w:rPr>
                <w:rFonts w:ascii="Times New Roman" w:eastAsia="Calibri" w:hAnsi="Times New Roman" w:cs="Times New Roman"/>
                <w:color w:val="000000" w:themeColor="text1"/>
                <w:sz w:val="20"/>
                <w:szCs w:val="20"/>
              </w:rPr>
              <w:lastRenderedPageBreak/>
              <w:t>We have two different properties right next to each other. They are separated by parking lots. Would this disqualify it since they are contiguous parcels?</w:t>
            </w:r>
          </w:p>
          <w:p w14:paraId="5E810432" w14:textId="77777777" w:rsidR="00412798" w:rsidRPr="007424E0" w:rsidRDefault="00412798" w:rsidP="004569ED">
            <w:pPr>
              <w:contextualSpacing/>
              <w:rPr>
                <w:rFonts w:ascii="Times New Roman" w:eastAsia="Times New Roman" w:hAnsi="Times New Roman" w:cs="Times New Roman"/>
                <w:color w:val="000000" w:themeColor="text1"/>
                <w:sz w:val="20"/>
                <w:szCs w:val="20"/>
              </w:rPr>
            </w:pPr>
          </w:p>
          <w:p w14:paraId="168AECAD" w14:textId="77777777" w:rsidR="00412798" w:rsidRPr="007424E0" w:rsidRDefault="00412798" w:rsidP="004569ED">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6AA65BA6" w14:textId="77777777" w:rsidR="00412798" w:rsidRPr="007424E0" w:rsidRDefault="00412798" w:rsidP="004569ED">
            <w:pPr>
              <w:contextualSpacing/>
              <w:rPr>
                <w:rFonts w:ascii="Times New Roman" w:hAnsi="Times New Roman" w:cs="Times New Roman"/>
                <w:sz w:val="20"/>
                <w:szCs w:val="20"/>
              </w:rPr>
            </w:pPr>
            <w:r w:rsidRPr="007424E0">
              <w:rPr>
                <w:rFonts w:ascii="Times New Roman" w:hAnsi="Times New Roman" w:cs="Times New Roman"/>
                <w:sz w:val="20"/>
                <w:szCs w:val="20"/>
              </w:rPr>
              <w:t xml:space="preserve">The purpose of subsection </w:t>
            </w:r>
            <w:r w:rsidRPr="007424E0">
              <w:rPr>
                <w:rFonts w:ascii="Times New Roman" w:hAnsi="Times New Roman" w:cs="Times New Roman"/>
                <w:b/>
                <w:bCs/>
                <w:sz w:val="20"/>
                <w:szCs w:val="20"/>
              </w:rPr>
              <w:t>A. Eligibility of Scattered Site</w:t>
            </w:r>
            <w:r w:rsidRPr="007424E0">
              <w:rPr>
                <w:rFonts w:ascii="Times New Roman" w:hAnsi="Times New Roman" w:cs="Times New Roman"/>
                <w:sz w:val="20"/>
                <w:szCs w:val="20"/>
              </w:rPr>
              <w:t xml:space="preserve"> is to list certain DCA requirements for developments that meet the federal (Section 42) requirements for “scattered site” projects. Where the QAP is silent or ambiguous, DCA does not have a requirement that differs from federal requirements. </w:t>
            </w:r>
          </w:p>
          <w:p w14:paraId="0B16CEFE" w14:textId="77777777" w:rsidR="00412798" w:rsidRPr="007424E0" w:rsidRDefault="00412798" w:rsidP="004569ED">
            <w:pPr>
              <w:contextualSpacing/>
              <w:rPr>
                <w:rFonts w:ascii="Times New Roman" w:hAnsi="Times New Roman" w:cs="Times New Roman"/>
                <w:sz w:val="20"/>
                <w:szCs w:val="20"/>
              </w:rPr>
            </w:pPr>
          </w:p>
          <w:p w14:paraId="050F9808" w14:textId="77777777" w:rsidR="00412798" w:rsidRPr="007424E0" w:rsidRDefault="00412798" w:rsidP="004569ED">
            <w:pPr>
              <w:textAlignment w:val="baseline"/>
              <w:rPr>
                <w:rFonts w:ascii="Times New Roman" w:eastAsia="Times New Roman" w:hAnsi="Times New Roman" w:cs="Times New Roman"/>
                <w:b/>
                <w:bCs/>
                <w:sz w:val="20"/>
                <w:szCs w:val="20"/>
              </w:rPr>
            </w:pPr>
            <w:r w:rsidRPr="007424E0">
              <w:rPr>
                <w:rFonts w:ascii="Times New Roman" w:hAnsi="Times New Roman" w:cs="Times New Roman"/>
                <w:sz w:val="20"/>
                <w:szCs w:val="20"/>
              </w:rPr>
              <w:t>This is such an instance. It is not a matter of whether the development is “disqualified” or not. The development either qualifies as scattered site per federal requirements and DCA requirements, or it does not, in which case the properties may be submitted as separate applications or one application that is not considered “scattered site.”</w:t>
            </w:r>
          </w:p>
        </w:tc>
      </w:tr>
      <w:tr w:rsidR="00412798" w:rsidRPr="007424E0" w14:paraId="1DBCEF91"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61838123"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9/29/22</w:t>
            </w:r>
          </w:p>
        </w:tc>
        <w:tc>
          <w:tcPr>
            <w:tcW w:w="2663" w:type="dxa"/>
            <w:shd w:val="clear" w:color="auto" w:fill="auto"/>
            <w:tcMar>
              <w:top w:w="72" w:type="dxa"/>
              <w:left w:w="115" w:type="dxa"/>
              <w:bottom w:w="72" w:type="dxa"/>
              <w:right w:w="115" w:type="dxa"/>
            </w:tcMar>
            <w:vAlign w:val="center"/>
          </w:tcPr>
          <w:p w14:paraId="0CFE07B1"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1.14</w:t>
            </w:r>
          </w:p>
          <w:p w14:paraId="0879BAF7"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Core Plan;</w:t>
            </w:r>
          </w:p>
          <w:p w14:paraId="410648E8"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Project Reconfiguration/</w:t>
            </w:r>
          </w:p>
          <w:p w14:paraId="2927C872"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Application Modification</w:t>
            </w:r>
          </w:p>
        </w:tc>
        <w:tc>
          <w:tcPr>
            <w:tcW w:w="9585" w:type="dxa"/>
            <w:shd w:val="clear" w:color="auto" w:fill="auto"/>
            <w:tcMar>
              <w:top w:w="72" w:type="dxa"/>
              <w:left w:w="115" w:type="dxa"/>
              <w:bottom w:w="72" w:type="dxa"/>
              <w:right w:w="115" w:type="dxa"/>
            </w:tcMar>
            <w:vAlign w:val="center"/>
          </w:tcPr>
          <w:p w14:paraId="764180EC" w14:textId="77777777" w:rsidR="00412798" w:rsidRPr="006E1842" w:rsidRDefault="00412798" w:rsidP="006E1842">
            <w:pPr>
              <w:textAlignment w:val="baseline"/>
              <w:rPr>
                <w:rFonts w:ascii="Times New Roman" w:eastAsia="Times New Roman" w:hAnsi="Times New Roman" w:cs="Times New Roman"/>
                <w:sz w:val="20"/>
                <w:szCs w:val="20"/>
              </w:rPr>
            </w:pPr>
            <w:r w:rsidRPr="006E1842">
              <w:rPr>
                <w:rFonts w:ascii="Times New Roman" w:eastAsia="Times New Roman" w:hAnsi="Times New Roman" w:cs="Times New Roman"/>
                <w:b/>
                <w:bCs/>
                <w:sz w:val="20"/>
                <w:szCs w:val="20"/>
              </w:rPr>
              <w:t xml:space="preserve">Question ID: </w:t>
            </w:r>
            <w:r w:rsidRPr="00F252F8">
              <w:rPr>
                <w:rFonts w:ascii="Times New Roman" w:eastAsia="Times New Roman" w:hAnsi="Times New Roman" w:cs="Times New Roman"/>
                <w:sz w:val="20"/>
                <w:szCs w:val="20"/>
              </w:rPr>
              <w:t>1012328764</w:t>
            </w:r>
            <w:r w:rsidRPr="006E1842">
              <w:rPr>
                <w:rFonts w:ascii="Times New Roman" w:eastAsia="Times New Roman" w:hAnsi="Times New Roman" w:cs="Times New Roman"/>
                <w:sz w:val="20"/>
                <w:szCs w:val="20"/>
              </w:rPr>
              <w:t> </w:t>
            </w:r>
            <w:r w:rsidRPr="006E1842">
              <w:rPr>
                <w:rFonts w:ascii="Times New Roman" w:eastAsia="Times New Roman" w:hAnsi="Times New Roman" w:cs="Times New Roman"/>
                <w:sz w:val="20"/>
                <w:szCs w:val="20"/>
              </w:rPr>
              <w:br/>
            </w:r>
            <w:r w:rsidRPr="006E1842">
              <w:rPr>
                <w:rFonts w:ascii="Times New Roman" w:eastAsia="Times New Roman" w:hAnsi="Times New Roman" w:cs="Times New Roman"/>
                <w:color w:val="000000"/>
                <w:sz w:val="20"/>
                <w:szCs w:val="20"/>
              </w:rPr>
              <w:t>If HUD does not approve rents for one property currently part of the proposed project, can we adjust the project after the Competitive Review submission by removing that property from the proposed project? </w:t>
            </w:r>
          </w:p>
          <w:p w14:paraId="49FBD0D3" w14:textId="77777777" w:rsidR="00412798" w:rsidRPr="006E1842" w:rsidRDefault="00412798" w:rsidP="006E1842">
            <w:pPr>
              <w:textAlignment w:val="baseline"/>
              <w:rPr>
                <w:rFonts w:ascii="Times New Roman" w:eastAsia="Times New Roman" w:hAnsi="Times New Roman" w:cs="Times New Roman"/>
                <w:sz w:val="20"/>
                <w:szCs w:val="20"/>
              </w:rPr>
            </w:pPr>
            <w:r w:rsidRPr="006E1842">
              <w:rPr>
                <w:rFonts w:ascii="Times New Roman" w:eastAsia="Times New Roman" w:hAnsi="Times New Roman" w:cs="Times New Roman"/>
                <w:color w:val="000000"/>
                <w:sz w:val="20"/>
                <w:szCs w:val="20"/>
              </w:rPr>
              <w:t> </w:t>
            </w:r>
          </w:p>
          <w:p w14:paraId="5C87087D" w14:textId="77777777" w:rsidR="00412798" w:rsidRPr="006E1842" w:rsidRDefault="00412798" w:rsidP="006E1842">
            <w:pPr>
              <w:textAlignment w:val="baseline"/>
              <w:rPr>
                <w:rFonts w:ascii="Times New Roman" w:eastAsia="Times New Roman" w:hAnsi="Times New Roman" w:cs="Times New Roman"/>
                <w:sz w:val="20"/>
                <w:szCs w:val="20"/>
              </w:rPr>
            </w:pPr>
            <w:r w:rsidRPr="006E1842">
              <w:rPr>
                <w:rFonts w:ascii="Times New Roman" w:eastAsia="Times New Roman" w:hAnsi="Times New Roman" w:cs="Times New Roman"/>
                <w:b/>
                <w:bCs/>
                <w:sz w:val="20"/>
                <w:szCs w:val="20"/>
              </w:rPr>
              <w:t>Answer</w:t>
            </w:r>
            <w:r w:rsidRPr="006E1842">
              <w:rPr>
                <w:rFonts w:ascii="Times New Roman" w:eastAsia="Times New Roman" w:hAnsi="Times New Roman" w:cs="Times New Roman"/>
                <w:sz w:val="20"/>
                <w:szCs w:val="20"/>
              </w:rPr>
              <w:t>: </w:t>
            </w:r>
          </w:p>
          <w:p w14:paraId="435D9B72" w14:textId="77777777" w:rsidR="00412798" w:rsidRPr="006E1842" w:rsidRDefault="00412798" w:rsidP="006E1842">
            <w:pPr>
              <w:textAlignment w:val="baseline"/>
              <w:rPr>
                <w:rFonts w:ascii="Times New Roman" w:eastAsia="Times New Roman" w:hAnsi="Times New Roman" w:cs="Times New Roman"/>
                <w:sz w:val="20"/>
                <w:szCs w:val="20"/>
              </w:rPr>
            </w:pPr>
            <w:r w:rsidRPr="006E1842">
              <w:rPr>
                <w:rFonts w:ascii="Times New Roman" w:eastAsia="Times New Roman" w:hAnsi="Times New Roman" w:cs="Times New Roman"/>
                <w:sz w:val="20"/>
                <w:szCs w:val="20"/>
              </w:rPr>
              <w:t>No, applicants cannot remove a property from the proposed development after the Competitive Review process.  </w:t>
            </w:r>
          </w:p>
          <w:p w14:paraId="79213DCD" w14:textId="77777777" w:rsidR="00412798" w:rsidRPr="006E1842" w:rsidRDefault="00412798" w:rsidP="006E1842">
            <w:pPr>
              <w:textAlignment w:val="baseline"/>
              <w:rPr>
                <w:rFonts w:ascii="Times New Roman" w:eastAsia="Times New Roman" w:hAnsi="Times New Roman" w:cs="Times New Roman"/>
                <w:sz w:val="20"/>
                <w:szCs w:val="20"/>
              </w:rPr>
            </w:pPr>
            <w:r w:rsidRPr="006E1842">
              <w:rPr>
                <w:rFonts w:ascii="Times New Roman" w:eastAsia="Times New Roman" w:hAnsi="Times New Roman" w:cs="Times New Roman"/>
                <w:sz w:val="20"/>
                <w:szCs w:val="20"/>
              </w:rPr>
              <w:t> </w:t>
            </w:r>
          </w:p>
          <w:p w14:paraId="0B4CD611" w14:textId="77777777" w:rsidR="00412798" w:rsidRPr="007424E0" w:rsidRDefault="00412798" w:rsidP="00911772">
            <w:pPr>
              <w:textAlignment w:val="baseline"/>
              <w:rPr>
                <w:rFonts w:ascii="Times New Roman" w:eastAsia="Times New Roman" w:hAnsi="Times New Roman" w:cs="Times New Roman"/>
                <w:sz w:val="20"/>
                <w:szCs w:val="20"/>
              </w:rPr>
            </w:pPr>
            <w:r w:rsidRPr="006E1842">
              <w:rPr>
                <w:rFonts w:ascii="Times New Roman" w:eastAsia="Times New Roman" w:hAnsi="Times New Roman" w:cs="Times New Roman"/>
                <w:b/>
                <w:bCs/>
                <w:sz w:val="20"/>
                <w:szCs w:val="20"/>
              </w:rPr>
              <w:t>(Core) Project Reconfiguration/Application Modification</w:t>
            </w:r>
            <w:r w:rsidRPr="006E1842">
              <w:rPr>
                <w:rFonts w:ascii="Times New Roman" w:eastAsia="Times New Roman" w:hAnsi="Times New Roman" w:cs="Times New Roman"/>
                <w:sz w:val="20"/>
                <w:szCs w:val="20"/>
              </w:rPr>
              <w:t xml:space="preserve"> states: </w:t>
            </w:r>
            <w:r w:rsidRPr="00C10F39">
              <w:rPr>
                <w:rFonts w:ascii="Times New Roman" w:eastAsia="Times New Roman" w:hAnsi="Times New Roman" w:cs="Times New Roman"/>
                <w:i/>
                <w:iCs/>
                <w:sz w:val="20"/>
                <w:szCs w:val="20"/>
              </w:rPr>
              <w:t>“Applicants cannot make any changes to a Submitted Application prior to the announcement of awards... Subsequent to awards, ...the number of units... cannot change.” </w:t>
            </w:r>
          </w:p>
        </w:tc>
      </w:tr>
      <w:tr w:rsidR="00412798" w:rsidRPr="007424E0" w14:paraId="3CD3A9D7"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743F59A6"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9/29/22</w:t>
            </w:r>
          </w:p>
        </w:tc>
        <w:tc>
          <w:tcPr>
            <w:tcW w:w="2663" w:type="dxa"/>
            <w:shd w:val="clear" w:color="auto" w:fill="auto"/>
            <w:tcMar>
              <w:top w:w="72" w:type="dxa"/>
              <w:left w:w="115" w:type="dxa"/>
              <w:bottom w:w="72" w:type="dxa"/>
              <w:right w:w="115" w:type="dxa"/>
            </w:tcMar>
            <w:vAlign w:val="center"/>
          </w:tcPr>
          <w:p w14:paraId="3D5F3C8D"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3.08</w:t>
            </w:r>
          </w:p>
          <w:p w14:paraId="09A2C1D2"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43F24B8A"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Revitalization/</w:t>
            </w:r>
          </w:p>
          <w:p w14:paraId="4148B417"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Redevelopment Plans</w:t>
            </w:r>
          </w:p>
        </w:tc>
        <w:tc>
          <w:tcPr>
            <w:tcW w:w="9585" w:type="dxa"/>
            <w:shd w:val="clear" w:color="auto" w:fill="auto"/>
            <w:tcMar>
              <w:top w:w="72" w:type="dxa"/>
              <w:left w:w="115" w:type="dxa"/>
              <w:bottom w:w="72" w:type="dxa"/>
              <w:right w:w="115" w:type="dxa"/>
            </w:tcMar>
            <w:vAlign w:val="center"/>
          </w:tcPr>
          <w:p w14:paraId="1D31B0B9" w14:textId="77777777" w:rsidR="00412798" w:rsidRPr="007424E0" w:rsidRDefault="00412798" w:rsidP="00627584">
            <w:pPr>
              <w:contextualSpacing/>
              <w:rPr>
                <w:rFonts w:ascii="Times New Roman" w:hAnsi="Times New Roman" w:cs="Times New Roman"/>
                <w:sz w:val="20"/>
                <w:szCs w:val="20"/>
              </w:rPr>
            </w:pPr>
            <w:r w:rsidRPr="007424E0">
              <w:rPr>
                <w:rFonts w:ascii="Times New Roman" w:hAnsi="Times New Roman" w:cs="Times New Roman"/>
                <w:b/>
                <w:bCs/>
                <w:sz w:val="20"/>
                <w:szCs w:val="20"/>
              </w:rPr>
              <w:t xml:space="preserve">Question ID:  </w:t>
            </w:r>
            <w:r w:rsidRPr="00F252F8">
              <w:rPr>
                <w:rFonts w:ascii="Times New Roman" w:hAnsi="Times New Roman" w:cs="Times New Roman"/>
                <w:sz w:val="20"/>
                <w:szCs w:val="20"/>
              </w:rPr>
              <w:t>1014801182</w:t>
            </w:r>
          </w:p>
          <w:p w14:paraId="16555EEF" w14:textId="77777777" w:rsidR="00412798" w:rsidRPr="007424E0" w:rsidRDefault="00412798" w:rsidP="00627584">
            <w:pPr>
              <w:contextualSpacing/>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The QAP states </w:t>
            </w:r>
            <w:r>
              <w:rPr>
                <w:rFonts w:ascii="Times New Roman" w:eastAsia="Times New Roman" w:hAnsi="Times New Roman" w:cs="Times New Roman"/>
                <w:color w:val="000000" w:themeColor="text1"/>
                <w:sz w:val="20"/>
                <w:szCs w:val="20"/>
              </w:rPr>
              <w:t xml:space="preserve">that </w:t>
            </w:r>
            <w:r w:rsidRPr="007424E0">
              <w:rPr>
                <w:rFonts w:ascii="Times New Roman" w:eastAsia="Times New Roman" w:hAnsi="Times New Roman" w:cs="Times New Roman"/>
                <w:color w:val="000000" w:themeColor="text1"/>
                <w:sz w:val="20"/>
                <w:szCs w:val="20"/>
              </w:rPr>
              <w:t>in order to receive a point if the Local Government demonstrates financial commitment to advancing the CRP in the form of funds raised, funds allocated, tax incentives, or local government fee waivers</w:t>
            </w:r>
            <w:r>
              <w:rPr>
                <w:rFonts w:ascii="Times New Roman" w:eastAsia="Times New Roman" w:hAnsi="Times New Roman" w:cs="Times New Roman"/>
                <w:color w:val="000000" w:themeColor="text1"/>
                <w:sz w:val="20"/>
                <w:szCs w:val="20"/>
              </w:rPr>
              <w:t>,</w:t>
            </w:r>
            <w:r w:rsidRPr="007424E0">
              <w:rPr>
                <w:rFonts w:ascii="Times New Roman" w:eastAsia="Times New Roman" w:hAnsi="Times New Roman" w:cs="Times New Roman"/>
                <w:color w:val="000000" w:themeColor="text1"/>
                <w:sz w:val="20"/>
                <w:szCs w:val="20"/>
              </w:rPr>
              <w:t xml:space="preserve"> we need a letter from a Local Government representative substantiating the nature of the financial commitment to advance the CRP (if applicable). The plan mentions a Tax Allocation District multiple times and our site is in the TAD. We have a signed resolution for funding for the Tax Allocation District by the Chair of the local economic development agency for our proposed development and wanting to confirm if that will work for that specific point. The definition of the Local Government in the QAP is the entire City Council. We are just trying to determine exactly what DCA is looking for here because a letter from the entire City of Council will be hard to come by. A resolution of the Tax Allocation District signed by the entire City Council is also available.</w:t>
            </w:r>
          </w:p>
          <w:p w14:paraId="6427B35D" w14:textId="77777777" w:rsidR="00412798" w:rsidRPr="007424E0" w:rsidRDefault="00412798" w:rsidP="00627584">
            <w:pPr>
              <w:contextualSpacing/>
              <w:rPr>
                <w:rFonts w:ascii="Times New Roman" w:eastAsia="Times New Roman" w:hAnsi="Times New Roman" w:cs="Times New Roman"/>
                <w:color w:val="000000" w:themeColor="text1"/>
                <w:sz w:val="20"/>
                <w:szCs w:val="20"/>
              </w:rPr>
            </w:pPr>
          </w:p>
          <w:p w14:paraId="6218EDFF" w14:textId="77777777" w:rsidR="00412798" w:rsidRPr="007424E0" w:rsidRDefault="00412798" w:rsidP="00627584">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716F2919" w14:textId="77777777" w:rsidR="00412798" w:rsidRPr="007424E0" w:rsidRDefault="00412798" w:rsidP="00627584">
            <w:pPr>
              <w:contextualSpacing/>
              <w:rPr>
                <w:rFonts w:ascii="Times New Roman" w:hAnsi="Times New Roman" w:cs="Times New Roman"/>
                <w:i/>
                <w:iCs/>
                <w:sz w:val="20"/>
                <w:szCs w:val="20"/>
              </w:rPr>
            </w:pPr>
            <w:r w:rsidRPr="007424E0">
              <w:rPr>
                <w:rFonts w:ascii="Times New Roman" w:hAnsi="Times New Roman" w:cs="Times New Roman"/>
                <w:sz w:val="20"/>
                <w:szCs w:val="20"/>
              </w:rPr>
              <w:t xml:space="preserve">Per </w:t>
            </w:r>
            <w:r w:rsidRPr="007424E0">
              <w:rPr>
                <w:rFonts w:ascii="Times New Roman" w:hAnsi="Times New Roman" w:cs="Times New Roman"/>
                <w:b/>
                <w:bCs/>
                <w:sz w:val="20"/>
                <w:szCs w:val="20"/>
              </w:rPr>
              <w:t>(Scoring) Revitalization/Redevelopment Plans</w:t>
            </w:r>
            <w:r w:rsidRPr="007424E0">
              <w:rPr>
                <w:rFonts w:ascii="Times New Roman" w:hAnsi="Times New Roman" w:cs="Times New Roman"/>
                <w:sz w:val="20"/>
                <w:szCs w:val="20"/>
              </w:rPr>
              <w:t xml:space="preserve">, Applicants can score </w:t>
            </w:r>
            <w:r w:rsidRPr="007424E0">
              <w:rPr>
                <w:rFonts w:ascii="Times New Roman" w:hAnsi="Times New Roman" w:cs="Times New Roman"/>
                <w:i/>
                <w:iCs/>
                <w:sz w:val="20"/>
                <w:szCs w:val="20"/>
              </w:rPr>
              <w:t xml:space="preserve">“One (1) additional point if the Local Government demonstrates financial commitment to advancing the CRP in the form of funds raised, funds allocated, </w:t>
            </w:r>
            <w:r w:rsidRPr="007424E0">
              <w:rPr>
                <w:rFonts w:ascii="Times New Roman" w:hAnsi="Times New Roman" w:cs="Times New Roman"/>
                <w:i/>
                <w:iCs/>
                <w:sz w:val="20"/>
                <w:szCs w:val="20"/>
              </w:rPr>
              <w:lastRenderedPageBreak/>
              <w:t>tax incentives, or local government fee waivers. Funds raised or allocated are only eligible for this point if the amount would be eligible for at least one (1) point under subsection B. Third-Party Capital Investment.”</w:t>
            </w:r>
            <w:r w:rsidRPr="007424E0">
              <w:rPr>
                <w:rFonts w:ascii="Times New Roman" w:hAnsi="Times New Roman" w:cs="Times New Roman"/>
                <w:sz w:val="20"/>
                <w:szCs w:val="20"/>
              </w:rPr>
              <w:t xml:space="preserve"> The Minimum Documentation includes: </w:t>
            </w:r>
            <w:r w:rsidRPr="007424E0">
              <w:rPr>
                <w:rFonts w:ascii="Times New Roman" w:hAnsi="Times New Roman" w:cs="Times New Roman"/>
                <w:i/>
                <w:iCs/>
                <w:sz w:val="20"/>
                <w:szCs w:val="20"/>
              </w:rPr>
              <w:t xml:space="preserve">“A letter from </w:t>
            </w:r>
            <w:r w:rsidRPr="007424E0">
              <w:rPr>
                <w:rFonts w:ascii="Times New Roman" w:hAnsi="Times New Roman" w:cs="Times New Roman"/>
                <w:b/>
                <w:bCs/>
                <w:i/>
                <w:iCs/>
                <w:sz w:val="20"/>
                <w:szCs w:val="20"/>
              </w:rPr>
              <w:t>a Local Government representative</w:t>
            </w:r>
            <w:r w:rsidRPr="007424E0">
              <w:rPr>
                <w:rFonts w:ascii="Times New Roman" w:hAnsi="Times New Roman" w:cs="Times New Roman"/>
                <w:i/>
                <w:iCs/>
                <w:sz w:val="20"/>
                <w:szCs w:val="20"/>
              </w:rPr>
              <w:t xml:space="preserve"> substantiating the nature of the financial commitment to advance the CRP (if applicable).”</w:t>
            </w:r>
          </w:p>
          <w:p w14:paraId="50889FA3" w14:textId="77777777" w:rsidR="00412798" w:rsidRPr="007424E0" w:rsidRDefault="00412798" w:rsidP="00627584">
            <w:pPr>
              <w:rPr>
                <w:rFonts w:ascii="Times New Roman" w:hAnsi="Times New Roman" w:cs="Times New Roman"/>
                <w:sz w:val="20"/>
                <w:szCs w:val="20"/>
              </w:rPr>
            </w:pPr>
          </w:p>
          <w:p w14:paraId="24611E49" w14:textId="77777777" w:rsidR="00412798" w:rsidRPr="007424E0" w:rsidRDefault="00412798" w:rsidP="00627584">
            <w:pPr>
              <w:rPr>
                <w:rFonts w:ascii="Times New Roman" w:hAnsi="Times New Roman" w:cs="Times New Roman"/>
                <w:sz w:val="20"/>
                <w:szCs w:val="20"/>
              </w:rPr>
            </w:pPr>
            <w:r w:rsidRPr="007424E0">
              <w:rPr>
                <w:rFonts w:ascii="Times New Roman" w:hAnsi="Times New Roman" w:cs="Times New Roman"/>
                <w:sz w:val="20"/>
                <w:szCs w:val="20"/>
              </w:rPr>
              <w:t xml:space="preserve">The QAP requires a letter from </w:t>
            </w:r>
            <w:r w:rsidRPr="007424E0">
              <w:rPr>
                <w:rFonts w:ascii="Times New Roman" w:hAnsi="Times New Roman" w:cs="Times New Roman"/>
                <w:b/>
                <w:bCs/>
                <w:sz w:val="20"/>
                <w:szCs w:val="20"/>
              </w:rPr>
              <w:t>a representative</w:t>
            </w:r>
            <w:r w:rsidRPr="007424E0">
              <w:rPr>
                <w:rFonts w:ascii="Times New Roman" w:hAnsi="Times New Roman" w:cs="Times New Roman"/>
                <w:sz w:val="20"/>
                <w:szCs w:val="20"/>
              </w:rPr>
              <w:t xml:space="preserve"> of the Local Government, not the entire Local Government. “Local Government” is defined in </w:t>
            </w:r>
            <w:r w:rsidRPr="007424E0">
              <w:rPr>
                <w:rFonts w:ascii="Times New Roman" w:hAnsi="Times New Roman" w:cs="Times New Roman"/>
                <w:b/>
                <w:bCs/>
                <w:sz w:val="20"/>
                <w:szCs w:val="20"/>
              </w:rPr>
              <w:t>(Core) Definitions</w:t>
            </w:r>
            <w:r w:rsidRPr="007424E0">
              <w:rPr>
                <w:rFonts w:ascii="Times New Roman" w:hAnsi="Times New Roman" w:cs="Times New Roman"/>
                <w:sz w:val="20"/>
                <w:szCs w:val="20"/>
              </w:rPr>
              <w:t xml:space="preserve"> as: </w:t>
            </w:r>
            <w:r w:rsidRPr="007424E0">
              <w:rPr>
                <w:rFonts w:ascii="Times New Roman" w:hAnsi="Times New Roman" w:cs="Times New Roman"/>
                <w:i/>
                <w:iCs/>
                <w:sz w:val="20"/>
                <w:szCs w:val="20"/>
              </w:rPr>
              <w:t xml:space="preserve">“the controlling body of the local jurisdiction (as defined in its Charter) in which the property is located at the time of Application (e.g., city council if within the city limits, or county commission if in an unincorporated area).” </w:t>
            </w:r>
            <w:r w:rsidRPr="007424E0">
              <w:rPr>
                <w:rFonts w:ascii="Times New Roman" w:hAnsi="Times New Roman" w:cs="Times New Roman"/>
                <w:sz w:val="20"/>
                <w:szCs w:val="20"/>
              </w:rPr>
              <w:t xml:space="preserve">If an Applicant is unable to obtain the listed minimum document, per </w:t>
            </w:r>
            <w:r w:rsidRPr="007424E0">
              <w:rPr>
                <w:rFonts w:ascii="Times New Roman" w:hAnsi="Times New Roman" w:cs="Times New Roman"/>
                <w:b/>
                <w:bCs/>
                <w:sz w:val="20"/>
                <w:szCs w:val="20"/>
              </w:rPr>
              <w:t>(Scoring) Documentation and Justifications</w:t>
            </w:r>
            <w:r w:rsidRPr="007424E0">
              <w:rPr>
                <w:rFonts w:ascii="Times New Roman" w:hAnsi="Times New Roman" w:cs="Times New Roman"/>
                <w:sz w:val="20"/>
                <w:szCs w:val="20"/>
              </w:rPr>
              <w:t>, “</w:t>
            </w:r>
            <w:r w:rsidRPr="004078B5">
              <w:rPr>
                <w:rFonts w:ascii="Times New Roman" w:hAnsi="Times New Roman" w:cs="Times New Roman"/>
                <w:i/>
                <w:iCs/>
                <w:sz w:val="20"/>
                <w:szCs w:val="20"/>
              </w:rPr>
              <w:t>Applications must explain any alternate document to a minimum document.”</w:t>
            </w:r>
          </w:p>
        </w:tc>
      </w:tr>
      <w:tr w:rsidR="00412798" w:rsidRPr="007424E0" w14:paraId="3773943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1F277659"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9/29/22</w:t>
            </w:r>
          </w:p>
        </w:tc>
        <w:tc>
          <w:tcPr>
            <w:tcW w:w="2663" w:type="dxa"/>
            <w:shd w:val="clear" w:color="auto" w:fill="auto"/>
            <w:tcMar>
              <w:top w:w="72" w:type="dxa"/>
              <w:left w:w="115" w:type="dxa"/>
              <w:bottom w:w="72" w:type="dxa"/>
              <w:right w:w="115" w:type="dxa"/>
            </w:tcMar>
            <w:vAlign w:val="center"/>
          </w:tcPr>
          <w:p w14:paraId="47F3F49F"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3.27</w:t>
            </w:r>
          </w:p>
          <w:p w14:paraId="74FC4BC1"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0DF31CB5"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PBRA Contracts</w:t>
            </w:r>
          </w:p>
        </w:tc>
        <w:tc>
          <w:tcPr>
            <w:tcW w:w="9585" w:type="dxa"/>
            <w:shd w:val="clear" w:color="auto" w:fill="auto"/>
            <w:tcMar>
              <w:top w:w="72" w:type="dxa"/>
              <w:left w:w="115" w:type="dxa"/>
              <w:bottom w:w="72" w:type="dxa"/>
              <w:right w:w="115" w:type="dxa"/>
            </w:tcMar>
            <w:vAlign w:val="center"/>
          </w:tcPr>
          <w:p w14:paraId="42A10D51" w14:textId="77777777" w:rsidR="00412798" w:rsidRPr="00C15443" w:rsidRDefault="00412798" w:rsidP="00C15443">
            <w:pPr>
              <w:textAlignment w:val="baseline"/>
              <w:rPr>
                <w:rFonts w:ascii="Times New Roman" w:eastAsia="Times New Roman" w:hAnsi="Times New Roman" w:cs="Times New Roman"/>
                <w:sz w:val="20"/>
                <w:szCs w:val="20"/>
              </w:rPr>
            </w:pPr>
            <w:r w:rsidRPr="00C15443">
              <w:rPr>
                <w:rFonts w:ascii="Times New Roman" w:eastAsia="Times New Roman" w:hAnsi="Times New Roman" w:cs="Times New Roman"/>
                <w:b/>
                <w:bCs/>
                <w:sz w:val="20"/>
                <w:szCs w:val="20"/>
              </w:rPr>
              <w:t xml:space="preserve">Question ID: </w:t>
            </w:r>
            <w:r w:rsidRPr="00C15443">
              <w:rPr>
                <w:rFonts w:ascii="Times New Roman" w:eastAsia="Times New Roman" w:hAnsi="Times New Roman" w:cs="Times New Roman"/>
                <w:color w:val="000000"/>
                <w:sz w:val="20"/>
                <w:szCs w:val="20"/>
              </w:rPr>
              <w:t>1003638309 </w:t>
            </w:r>
          </w:p>
          <w:p w14:paraId="3788B3CB" w14:textId="77777777" w:rsidR="00412798" w:rsidRPr="00C15443" w:rsidRDefault="00412798" w:rsidP="00C15443">
            <w:pPr>
              <w:textAlignment w:val="baseline"/>
              <w:rPr>
                <w:rFonts w:ascii="Times New Roman" w:eastAsia="Times New Roman" w:hAnsi="Times New Roman" w:cs="Times New Roman"/>
                <w:sz w:val="20"/>
                <w:szCs w:val="20"/>
              </w:rPr>
            </w:pPr>
            <w:r w:rsidRPr="00C15443">
              <w:rPr>
                <w:rFonts w:ascii="Times New Roman" w:eastAsia="Times New Roman" w:hAnsi="Times New Roman" w:cs="Times New Roman"/>
                <w:color w:val="000000"/>
                <w:sz w:val="20"/>
                <w:szCs w:val="20"/>
              </w:rPr>
              <w:t>Do NSP units count as federally-funded PBRA? </w:t>
            </w:r>
            <w:r w:rsidRPr="00C15443">
              <w:rPr>
                <w:rFonts w:ascii="Times New Roman" w:eastAsia="Times New Roman" w:hAnsi="Times New Roman" w:cs="Times New Roman"/>
                <w:color w:val="000000"/>
                <w:sz w:val="20"/>
                <w:szCs w:val="20"/>
              </w:rPr>
              <w:br/>
              <w:t> </w:t>
            </w:r>
          </w:p>
          <w:p w14:paraId="126644A5" w14:textId="77777777" w:rsidR="00412798" w:rsidRPr="00C15443" w:rsidRDefault="00412798" w:rsidP="00C15443">
            <w:pPr>
              <w:textAlignment w:val="baseline"/>
              <w:rPr>
                <w:rFonts w:ascii="Times New Roman" w:eastAsia="Times New Roman" w:hAnsi="Times New Roman" w:cs="Times New Roman"/>
                <w:sz w:val="20"/>
                <w:szCs w:val="20"/>
              </w:rPr>
            </w:pPr>
            <w:r w:rsidRPr="00C15443">
              <w:rPr>
                <w:rFonts w:ascii="Times New Roman" w:eastAsia="Times New Roman" w:hAnsi="Times New Roman" w:cs="Times New Roman"/>
                <w:b/>
                <w:bCs/>
                <w:sz w:val="20"/>
                <w:szCs w:val="20"/>
              </w:rPr>
              <w:t>Answer</w:t>
            </w:r>
            <w:r w:rsidRPr="00C15443">
              <w:rPr>
                <w:rFonts w:ascii="Times New Roman" w:eastAsia="Times New Roman" w:hAnsi="Times New Roman" w:cs="Times New Roman"/>
                <w:sz w:val="20"/>
                <w:szCs w:val="20"/>
              </w:rPr>
              <w:t>:  </w:t>
            </w:r>
          </w:p>
          <w:p w14:paraId="786435DF" w14:textId="77777777" w:rsidR="00412798" w:rsidRPr="007424E0" w:rsidRDefault="00412798" w:rsidP="00911772">
            <w:pPr>
              <w:textAlignment w:val="baseline"/>
              <w:rPr>
                <w:rFonts w:ascii="Times New Roman" w:eastAsia="Times New Roman" w:hAnsi="Times New Roman" w:cs="Times New Roman"/>
                <w:sz w:val="20"/>
                <w:szCs w:val="20"/>
              </w:rPr>
            </w:pPr>
            <w:r w:rsidRPr="00C15443">
              <w:rPr>
                <w:rFonts w:ascii="Times New Roman" w:eastAsia="Times New Roman" w:hAnsi="Times New Roman" w:cs="Times New Roman"/>
                <w:sz w:val="20"/>
                <w:szCs w:val="20"/>
              </w:rPr>
              <w:t>The Neighborhood Stabilization Program results in rent- and income-restricted units. This is not considered to be project-based rental assistance. In PBRA units, resident out-of-pocket rent expenses are based on their income, ensuring they are not rent burdened according to a threshold established by the PBRA provider.  </w:t>
            </w:r>
          </w:p>
        </w:tc>
      </w:tr>
      <w:tr w:rsidR="00412798" w:rsidRPr="007424E0" w14:paraId="63C2BCB4"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680AB51C"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9/29/22</w:t>
            </w:r>
          </w:p>
        </w:tc>
        <w:tc>
          <w:tcPr>
            <w:tcW w:w="2663" w:type="dxa"/>
            <w:shd w:val="clear" w:color="auto" w:fill="auto"/>
            <w:tcMar>
              <w:top w:w="72" w:type="dxa"/>
              <w:left w:w="115" w:type="dxa"/>
              <w:bottom w:w="72" w:type="dxa"/>
              <w:right w:w="115" w:type="dxa"/>
            </w:tcMar>
            <w:vAlign w:val="center"/>
          </w:tcPr>
          <w:p w14:paraId="7DD2E1EA"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6.00</w:t>
            </w:r>
          </w:p>
          <w:p w14:paraId="1E31B9AF"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4%/Bonds Round Application Requirements and Procedures</w:t>
            </w:r>
          </w:p>
        </w:tc>
        <w:tc>
          <w:tcPr>
            <w:tcW w:w="9585" w:type="dxa"/>
            <w:shd w:val="clear" w:color="auto" w:fill="auto"/>
            <w:tcMar>
              <w:top w:w="72" w:type="dxa"/>
              <w:left w:w="115" w:type="dxa"/>
              <w:bottom w:w="72" w:type="dxa"/>
              <w:right w:w="115" w:type="dxa"/>
            </w:tcMar>
            <w:vAlign w:val="center"/>
          </w:tcPr>
          <w:p w14:paraId="74AD22CC" w14:textId="77777777" w:rsidR="00412798" w:rsidRPr="00186B29" w:rsidRDefault="00412798" w:rsidP="00186B29">
            <w:pPr>
              <w:textAlignment w:val="baseline"/>
              <w:rPr>
                <w:rFonts w:ascii="Times New Roman" w:eastAsia="Times New Roman" w:hAnsi="Times New Roman" w:cs="Times New Roman"/>
                <w:sz w:val="20"/>
                <w:szCs w:val="20"/>
              </w:rPr>
            </w:pPr>
            <w:r w:rsidRPr="00186B29">
              <w:rPr>
                <w:rFonts w:ascii="Times New Roman" w:eastAsia="Times New Roman" w:hAnsi="Times New Roman" w:cs="Times New Roman"/>
                <w:b/>
                <w:bCs/>
                <w:sz w:val="20"/>
                <w:szCs w:val="20"/>
              </w:rPr>
              <w:t xml:space="preserve">Question ID:  </w:t>
            </w:r>
            <w:r w:rsidRPr="00F252F8">
              <w:rPr>
                <w:rFonts w:ascii="Times New Roman" w:eastAsia="Times New Roman" w:hAnsi="Times New Roman" w:cs="Times New Roman"/>
                <w:sz w:val="20"/>
                <w:szCs w:val="20"/>
              </w:rPr>
              <w:t>1015343000 </w:t>
            </w:r>
          </w:p>
          <w:p w14:paraId="311CDD1A" w14:textId="77777777" w:rsidR="00412798" w:rsidRPr="00186B29" w:rsidRDefault="00412798" w:rsidP="00186B29">
            <w:pPr>
              <w:textAlignment w:val="baseline"/>
              <w:rPr>
                <w:rFonts w:ascii="Times New Roman" w:eastAsia="Times New Roman" w:hAnsi="Times New Roman" w:cs="Times New Roman"/>
                <w:sz w:val="20"/>
                <w:szCs w:val="20"/>
              </w:rPr>
            </w:pPr>
            <w:r w:rsidRPr="00186B29">
              <w:rPr>
                <w:rFonts w:ascii="Times New Roman" w:eastAsia="Times New Roman" w:hAnsi="Times New Roman" w:cs="Times New Roman"/>
                <w:color w:val="000000"/>
                <w:sz w:val="20"/>
                <w:szCs w:val="20"/>
              </w:rPr>
              <w:t>I believe this was discussed at the workshop, but I wanted to ask whether DCA can provide written clarity about its target timeline for making decisions on the competitive 4% submissions/issuing consent notices. Was "early 2023" the timeframe for this? Thank you very much for considering. </w:t>
            </w:r>
          </w:p>
          <w:p w14:paraId="3B5B04FD" w14:textId="77777777" w:rsidR="00412798" w:rsidRPr="00186B29" w:rsidRDefault="00412798" w:rsidP="00186B29">
            <w:pPr>
              <w:textAlignment w:val="baseline"/>
              <w:rPr>
                <w:rFonts w:ascii="Times New Roman" w:eastAsia="Times New Roman" w:hAnsi="Times New Roman" w:cs="Times New Roman"/>
                <w:sz w:val="20"/>
                <w:szCs w:val="20"/>
              </w:rPr>
            </w:pPr>
            <w:r w:rsidRPr="00186B29">
              <w:rPr>
                <w:rFonts w:ascii="Times New Roman" w:eastAsia="Times New Roman" w:hAnsi="Times New Roman" w:cs="Times New Roman"/>
                <w:color w:val="000000"/>
                <w:sz w:val="20"/>
                <w:szCs w:val="20"/>
              </w:rPr>
              <w:t> </w:t>
            </w:r>
          </w:p>
          <w:p w14:paraId="2DDB2FE2" w14:textId="77777777" w:rsidR="00412798" w:rsidRPr="00186B29" w:rsidRDefault="00412798" w:rsidP="00186B29">
            <w:pPr>
              <w:textAlignment w:val="baseline"/>
              <w:rPr>
                <w:rFonts w:ascii="Times New Roman" w:eastAsia="Times New Roman" w:hAnsi="Times New Roman" w:cs="Times New Roman"/>
                <w:sz w:val="20"/>
                <w:szCs w:val="20"/>
              </w:rPr>
            </w:pPr>
            <w:r w:rsidRPr="00186B29">
              <w:rPr>
                <w:rFonts w:ascii="Times New Roman" w:eastAsia="Times New Roman" w:hAnsi="Times New Roman" w:cs="Times New Roman"/>
                <w:b/>
                <w:bCs/>
                <w:sz w:val="20"/>
                <w:szCs w:val="20"/>
              </w:rPr>
              <w:t>Answer</w:t>
            </w:r>
            <w:r w:rsidRPr="00186B29">
              <w:rPr>
                <w:rFonts w:ascii="Times New Roman" w:eastAsia="Times New Roman" w:hAnsi="Times New Roman" w:cs="Times New Roman"/>
                <w:sz w:val="20"/>
                <w:szCs w:val="20"/>
              </w:rPr>
              <w:t>:  </w:t>
            </w:r>
          </w:p>
          <w:p w14:paraId="4CC8C000" w14:textId="77777777" w:rsidR="00412798" w:rsidRPr="00186B29" w:rsidRDefault="00412798" w:rsidP="00186B29">
            <w:pPr>
              <w:textAlignment w:val="baseline"/>
              <w:rPr>
                <w:rFonts w:ascii="Times New Roman" w:eastAsia="Times New Roman" w:hAnsi="Times New Roman" w:cs="Times New Roman"/>
                <w:sz w:val="20"/>
                <w:szCs w:val="20"/>
              </w:rPr>
            </w:pPr>
            <w:r w:rsidRPr="00186B29">
              <w:rPr>
                <w:rFonts w:ascii="Times New Roman" w:eastAsia="Times New Roman" w:hAnsi="Times New Roman" w:cs="Times New Roman"/>
                <w:sz w:val="20"/>
                <w:szCs w:val="20"/>
              </w:rPr>
              <w:t>Please see the below anticipated timeline from p. 15 of the Workshop slides published to the 4% HTC/Bonds Competitive Rounds page of the DCA website (</w:t>
            </w:r>
            <w:hyperlink r:id="rId18" w:tgtFrame="_blank" w:history="1">
              <w:r w:rsidRPr="00186B29">
                <w:rPr>
                  <w:rFonts w:ascii="Times New Roman" w:eastAsia="Times New Roman" w:hAnsi="Times New Roman" w:cs="Times New Roman"/>
                  <w:color w:val="0563C1"/>
                  <w:sz w:val="20"/>
                  <w:szCs w:val="20"/>
                  <w:u w:val="single"/>
                </w:rPr>
                <w:t>click here</w:t>
              </w:r>
            </w:hyperlink>
            <w:r w:rsidRPr="00186B29">
              <w:rPr>
                <w:rFonts w:ascii="Times New Roman" w:eastAsia="Times New Roman" w:hAnsi="Times New Roman" w:cs="Times New Roman"/>
                <w:sz w:val="20"/>
                <w:szCs w:val="20"/>
              </w:rPr>
              <w:t>). </w:t>
            </w:r>
          </w:p>
          <w:p w14:paraId="4C7AA41B" w14:textId="77777777" w:rsidR="00412798" w:rsidRPr="00186B29" w:rsidRDefault="00412798" w:rsidP="00186B29">
            <w:pPr>
              <w:textAlignment w:val="baseline"/>
              <w:rPr>
                <w:rFonts w:ascii="Times New Roman" w:eastAsia="Times New Roman" w:hAnsi="Times New Roman" w:cs="Times New Roman"/>
                <w:sz w:val="20"/>
                <w:szCs w:val="20"/>
              </w:rPr>
            </w:pPr>
            <w:r w:rsidRPr="00186B29">
              <w:rPr>
                <w:rFonts w:ascii="Times New Roman" w:eastAsia="Times New Roman" w:hAnsi="Times New Roman" w:cs="Times New Roman"/>
                <w:sz w:val="20"/>
                <w:szCs w:val="20"/>
              </w:rPr>
              <w:t> </w:t>
            </w:r>
          </w:p>
          <w:p w14:paraId="17F66D10" w14:textId="77777777" w:rsidR="00412798" w:rsidRPr="007424E0" w:rsidRDefault="00412798" w:rsidP="00186B29">
            <w:pPr>
              <w:textAlignment w:val="baseline"/>
              <w:rPr>
                <w:rFonts w:ascii="Times New Roman" w:eastAsia="Times New Roman" w:hAnsi="Times New Roman" w:cs="Times New Roman"/>
                <w:b/>
                <w:bCs/>
                <w:sz w:val="20"/>
                <w:szCs w:val="20"/>
              </w:rPr>
            </w:pPr>
            <w:r w:rsidRPr="007424E0">
              <w:rPr>
                <w:rFonts w:ascii="Times New Roman" w:eastAsia="Times New Roman" w:hAnsi="Times New Roman" w:cs="Times New Roman"/>
                <w:b/>
                <w:bCs/>
                <w:noProof/>
                <w:sz w:val="20"/>
                <w:szCs w:val="20"/>
              </w:rPr>
              <w:lastRenderedPageBreak/>
              <w:drawing>
                <wp:inline distT="0" distB="0" distL="0" distR="0" wp14:anchorId="427C4B83" wp14:editId="3569C7B1">
                  <wp:extent cx="4688006" cy="2131306"/>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98556" cy="2136103"/>
                          </a:xfrm>
                          <a:prstGeom prst="rect">
                            <a:avLst/>
                          </a:prstGeom>
                          <a:noFill/>
                          <a:ln>
                            <a:noFill/>
                          </a:ln>
                        </pic:spPr>
                      </pic:pic>
                    </a:graphicData>
                  </a:graphic>
                </wp:inline>
              </w:drawing>
            </w:r>
          </w:p>
        </w:tc>
      </w:tr>
      <w:tr w:rsidR="00412798" w:rsidRPr="007424E0" w14:paraId="218BFD0B"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40CE2094"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9/27/22</w:t>
            </w:r>
          </w:p>
        </w:tc>
        <w:tc>
          <w:tcPr>
            <w:tcW w:w="2663" w:type="dxa"/>
            <w:shd w:val="clear" w:color="auto" w:fill="auto"/>
            <w:tcMar>
              <w:top w:w="72" w:type="dxa"/>
              <w:left w:w="115" w:type="dxa"/>
              <w:bottom w:w="72" w:type="dxa"/>
              <w:right w:w="115" w:type="dxa"/>
            </w:tcMar>
            <w:vAlign w:val="center"/>
          </w:tcPr>
          <w:p w14:paraId="3EC4A9C7"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1.05</w:t>
            </w:r>
          </w:p>
          <w:p w14:paraId="19B2133C"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Core Plan;</w:t>
            </w:r>
          </w:p>
          <w:p w14:paraId="5F989367"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Geographic Pools</w:t>
            </w:r>
          </w:p>
        </w:tc>
        <w:tc>
          <w:tcPr>
            <w:tcW w:w="9585" w:type="dxa"/>
            <w:shd w:val="clear" w:color="auto" w:fill="auto"/>
            <w:tcMar>
              <w:top w:w="72" w:type="dxa"/>
              <w:left w:w="115" w:type="dxa"/>
              <w:bottom w:w="72" w:type="dxa"/>
              <w:right w:w="115" w:type="dxa"/>
            </w:tcMar>
            <w:vAlign w:val="center"/>
          </w:tcPr>
          <w:p w14:paraId="7B5BAF81" w14:textId="77777777" w:rsidR="00412798" w:rsidRPr="007424E0" w:rsidRDefault="00412798" w:rsidP="00911772">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F252F8">
              <w:rPr>
                <w:rFonts w:ascii="Times New Roman" w:eastAsia="Times New Roman" w:hAnsi="Times New Roman" w:cs="Times New Roman"/>
                <w:sz w:val="20"/>
                <w:szCs w:val="20"/>
              </w:rPr>
              <w:t>1013349343 </w:t>
            </w:r>
            <w:r w:rsidRPr="007424E0">
              <w:rPr>
                <w:rFonts w:ascii="Times New Roman" w:eastAsia="Times New Roman" w:hAnsi="Times New Roman" w:cs="Times New Roman"/>
                <w:sz w:val="20"/>
                <w:szCs w:val="20"/>
              </w:rPr>
              <w:br/>
            </w:r>
            <w:r w:rsidRPr="007424E0">
              <w:rPr>
                <w:rFonts w:ascii="Times New Roman" w:eastAsia="Times New Roman" w:hAnsi="Times New Roman" w:cs="Times New Roman"/>
                <w:color w:val="000000"/>
                <w:sz w:val="20"/>
                <w:szCs w:val="20"/>
              </w:rPr>
              <w:t>Will rural deals vs. metro deals be in the same pool? For instance, a rural deal can get two points for having on call bus transportation. A metro deal has to be within a certain distance of a bus stop. Will rural/metro deals be in the same pool for scoring purposes? </w:t>
            </w:r>
          </w:p>
          <w:p w14:paraId="0768E6F2" w14:textId="77777777" w:rsidR="00412798" w:rsidRPr="007424E0" w:rsidRDefault="00412798" w:rsidP="00911772">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5E7087C9" w14:textId="77777777" w:rsidR="00412798" w:rsidRPr="007424E0" w:rsidRDefault="00412798" w:rsidP="00911772">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1E161ADD" w14:textId="77777777" w:rsidR="00412798" w:rsidRPr="007424E0" w:rsidRDefault="00412798" w:rsidP="00911772">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Yes, rural and metro deals will be in the same pool for scoring purposes. </w:t>
            </w:r>
          </w:p>
          <w:p w14:paraId="511158E4" w14:textId="77777777" w:rsidR="00412798" w:rsidRPr="007424E0" w:rsidRDefault="00412798" w:rsidP="00690A7E">
            <w:pPr>
              <w:textAlignment w:val="baseline"/>
              <w:rPr>
                <w:rFonts w:ascii="Times New Roman" w:hAnsi="Times New Roman" w:cs="Times New Roman"/>
                <w:b/>
                <w:bCs/>
                <w:sz w:val="20"/>
                <w:szCs w:val="20"/>
              </w:rPr>
            </w:pPr>
          </w:p>
        </w:tc>
      </w:tr>
      <w:tr w:rsidR="00412798" w:rsidRPr="007424E0" w14:paraId="11DB7C0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12775D26"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9/27/22</w:t>
            </w:r>
          </w:p>
        </w:tc>
        <w:tc>
          <w:tcPr>
            <w:tcW w:w="2663" w:type="dxa"/>
            <w:shd w:val="clear" w:color="auto" w:fill="auto"/>
            <w:tcMar>
              <w:top w:w="72" w:type="dxa"/>
              <w:left w:w="115" w:type="dxa"/>
              <w:bottom w:w="72" w:type="dxa"/>
              <w:right w:w="115" w:type="dxa"/>
            </w:tcMar>
            <w:vAlign w:val="center"/>
          </w:tcPr>
          <w:p w14:paraId="083D3F98"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2.06</w:t>
            </w:r>
          </w:p>
          <w:p w14:paraId="30BD53F4"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 Criteria;</w:t>
            </w:r>
          </w:p>
          <w:p w14:paraId="6A4A9825"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Appraisals</w:t>
            </w:r>
          </w:p>
        </w:tc>
        <w:tc>
          <w:tcPr>
            <w:tcW w:w="9585" w:type="dxa"/>
            <w:shd w:val="clear" w:color="auto" w:fill="auto"/>
            <w:tcMar>
              <w:top w:w="72" w:type="dxa"/>
              <w:left w:w="115" w:type="dxa"/>
              <w:bottom w:w="72" w:type="dxa"/>
              <w:right w:w="115" w:type="dxa"/>
            </w:tcMar>
            <w:vAlign w:val="center"/>
          </w:tcPr>
          <w:p w14:paraId="4ABBC1D8" w14:textId="77777777" w:rsidR="00412798" w:rsidRPr="007424E0" w:rsidRDefault="00412798" w:rsidP="00CA6A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1010137424 </w:t>
            </w:r>
          </w:p>
          <w:p w14:paraId="200865B8" w14:textId="77777777" w:rsidR="00412798" w:rsidRPr="007424E0" w:rsidRDefault="00412798" w:rsidP="00CA6A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We are submitting an application for 4% tax credits in October. The vacant land is owned by our GP/development partner, and there will be a $650 total ground lease (i.e. there is no acquisition cost for the land or any identity of interest between buyer and seller because the land will not be sold.) We also will not be generating tax credits. Do we still need to provide an appraisal with our app even though it would serve none of the purposes mentioned in the QAP? </w:t>
            </w:r>
          </w:p>
          <w:p w14:paraId="7D330D0C" w14:textId="77777777" w:rsidR="00412798" w:rsidRPr="007424E0" w:rsidRDefault="00412798" w:rsidP="00CA6A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2A8870F5" w14:textId="77777777" w:rsidR="00412798" w:rsidRPr="007424E0" w:rsidRDefault="00412798" w:rsidP="00CA6A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4F623A8C" w14:textId="77777777" w:rsidR="00412798" w:rsidRPr="007424E0" w:rsidRDefault="00412798" w:rsidP="00CA6A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Per </w:t>
            </w:r>
            <w:r w:rsidRPr="007424E0">
              <w:rPr>
                <w:rFonts w:ascii="Times New Roman" w:eastAsia="Times New Roman" w:hAnsi="Times New Roman" w:cs="Times New Roman"/>
                <w:b/>
                <w:bCs/>
                <w:sz w:val="20"/>
                <w:szCs w:val="20"/>
              </w:rPr>
              <w:t>(Threshold) Appraisals</w:t>
            </w:r>
            <w:r w:rsidRPr="007424E0">
              <w:rPr>
                <w:rFonts w:ascii="Times New Roman" w:eastAsia="Times New Roman" w:hAnsi="Times New Roman" w:cs="Times New Roman"/>
                <w:sz w:val="20"/>
                <w:szCs w:val="20"/>
              </w:rPr>
              <w:t xml:space="preserve">, </w:t>
            </w:r>
            <w:r w:rsidRPr="007424E0">
              <w:rPr>
                <w:rFonts w:ascii="Times New Roman" w:eastAsia="Times New Roman" w:hAnsi="Times New Roman" w:cs="Times New Roman"/>
                <w:i/>
                <w:iCs/>
                <w:sz w:val="20"/>
                <w:szCs w:val="20"/>
              </w:rPr>
              <w:t>“An Application for tax credits for 4% bond financed developments must contain an appraisal commissioned by the lender or by a DCA-approved appraiser with an effective date of not more than 6 months earlier than the date of the Application, regardless of whether there is an Identity of Interest between the buyer and the seller.”</w:t>
            </w:r>
            <w:r w:rsidRPr="007424E0">
              <w:rPr>
                <w:rFonts w:ascii="Times New Roman" w:eastAsia="Times New Roman" w:hAnsi="Times New Roman" w:cs="Times New Roman"/>
                <w:sz w:val="20"/>
                <w:szCs w:val="20"/>
              </w:rPr>
              <w:t> </w:t>
            </w:r>
          </w:p>
          <w:p w14:paraId="066CFB02" w14:textId="77777777" w:rsidR="00412798" w:rsidRPr="007424E0" w:rsidRDefault="00412798" w:rsidP="00CA6A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1DE62FA7" w14:textId="77777777" w:rsidR="00412798" w:rsidRPr="007424E0" w:rsidRDefault="00412798" w:rsidP="00CA6A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lastRenderedPageBreak/>
              <w:t xml:space="preserve">However, Appraisals is not applicable to the 4%/Bonds Competitive Round October 14 submission (see </w:t>
            </w:r>
            <w:r w:rsidRPr="007424E0">
              <w:rPr>
                <w:rFonts w:ascii="Times New Roman" w:eastAsia="Times New Roman" w:hAnsi="Times New Roman" w:cs="Times New Roman"/>
                <w:b/>
                <w:bCs/>
                <w:sz w:val="20"/>
                <w:szCs w:val="20"/>
              </w:rPr>
              <w:t>Applicability of Threshold Criteria</w:t>
            </w:r>
            <w:r w:rsidRPr="007424E0">
              <w:rPr>
                <w:rFonts w:ascii="Times New Roman" w:eastAsia="Times New Roman" w:hAnsi="Times New Roman" w:cs="Times New Roman"/>
                <w:sz w:val="20"/>
                <w:szCs w:val="20"/>
              </w:rPr>
              <w:t>). If awarded through the Competitive Round, applicants must meet the requirements of Appraisals with full application. </w:t>
            </w:r>
          </w:p>
          <w:p w14:paraId="22BEEECA" w14:textId="77777777" w:rsidR="00412798" w:rsidRPr="007424E0" w:rsidRDefault="00412798" w:rsidP="003479E0">
            <w:pPr>
              <w:textAlignment w:val="baseline"/>
              <w:rPr>
                <w:rFonts w:ascii="Times New Roman" w:eastAsia="Times New Roman" w:hAnsi="Times New Roman" w:cs="Times New Roman"/>
                <w:b/>
                <w:bCs/>
                <w:sz w:val="20"/>
                <w:szCs w:val="20"/>
              </w:rPr>
            </w:pPr>
          </w:p>
        </w:tc>
      </w:tr>
      <w:tr w:rsidR="00412798" w:rsidRPr="007424E0" w14:paraId="4C96DAC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2C32A8D5"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9/27/22</w:t>
            </w:r>
          </w:p>
        </w:tc>
        <w:tc>
          <w:tcPr>
            <w:tcW w:w="2663" w:type="dxa"/>
            <w:shd w:val="clear" w:color="auto" w:fill="auto"/>
            <w:tcMar>
              <w:top w:w="72" w:type="dxa"/>
              <w:left w:w="115" w:type="dxa"/>
              <w:bottom w:w="72" w:type="dxa"/>
              <w:right w:w="115" w:type="dxa"/>
            </w:tcMar>
            <w:vAlign w:val="center"/>
          </w:tcPr>
          <w:p w14:paraId="2E83D05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2.10</w:t>
            </w:r>
          </w:p>
          <w:p w14:paraId="11DD6996"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 Criteria;</w:t>
            </w:r>
          </w:p>
          <w:p w14:paraId="7628653F"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Site Zoning</w:t>
            </w:r>
          </w:p>
        </w:tc>
        <w:tc>
          <w:tcPr>
            <w:tcW w:w="9585" w:type="dxa"/>
            <w:shd w:val="clear" w:color="auto" w:fill="auto"/>
            <w:tcMar>
              <w:top w:w="72" w:type="dxa"/>
              <w:left w:w="115" w:type="dxa"/>
              <w:bottom w:w="72" w:type="dxa"/>
              <w:right w:w="115" w:type="dxa"/>
            </w:tcMar>
            <w:vAlign w:val="center"/>
          </w:tcPr>
          <w:p w14:paraId="06C12637" w14:textId="77777777" w:rsidR="00412798" w:rsidRPr="007424E0" w:rsidRDefault="00412798" w:rsidP="003479E0">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1012028005_1 </w:t>
            </w:r>
          </w:p>
          <w:p w14:paraId="3AE3B711" w14:textId="77777777" w:rsidR="00412798" w:rsidRPr="007424E0" w:rsidRDefault="00412798" w:rsidP="003479E0">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In </w:t>
            </w:r>
            <w:r w:rsidRPr="007424E0">
              <w:rPr>
                <w:rFonts w:ascii="Times New Roman" w:eastAsia="Times New Roman" w:hAnsi="Times New Roman" w:cs="Times New Roman"/>
                <w:b/>
                <w:bCs/>
                <w:color w:val="000000"/>
                <w:sz w:val="20"/>
                <w:szCs w:val="20"/>
              </w:rPr>
              <w:t>(Threshold Criteria) Site Zoning,</w:t>
            </w:r>
            <w:r w:rsidRPr="007424E0">
              <w:rPr>
                <w:rFonts w:ascii="Times New Roman" w:eastAsia="Times New Roman" w:hAnsi="Times New Roman" w:cs="Times New Roman"/>
                <w:color w:val="000000"/>
                <w:sz w:val="20"/>
                <w:szCs w:val="20"/>
              </w:rPr>
              <w:t xml:space="preserve"> under minimum documentation the QAP states </w:t>
            </w:r>
            <w:r w:rsidRPr="007424E0">
              <w:rPr>
                <w:rFonts w:ascii="Times New Roman" w:eastAsia="Times New Roman" w:hAnsi="Times New Roman" w:cs="Times New Roman"/>
                <w:i/>
                <w:iCs/>
                <w:color w:val="000000"/>
                <w:sz w:val="20"/>
                <w:szCs w:val="20"/>
              </w:rPr>
              <w:t>"Letter from Local Government official which includes project name, address, or parcel ID and confirms zoning"</w:t>
            </w:r>
            <w:r w:rsidRPr="007424E0">
              <w:rPr>
                <w:rFonts w:ascii="Times New Roman" w:eastAsia="Times New Roman" w:hAnsi="Times New Roman" w:cs="Times New Roman"/>
                <w:color w:val="000000"/>
                <w:sz w:val="20"/>
                <w:szCs w:val="20"/>
              </w:rPr>
              <w:t>. Can DCA confirm that if the project name is not on the zoning letter but the address is that the zoning letter will pass threshold? Is the project name required for the zoning letter? </w:t>
            </w:r>
          </w:p>
          <w:p w14:paraId="4CF2CBA9" w14:textId="77777777" w:rsidR="00412798" w:rsidRPr="007424E0" w:rsidRDefault="00412798" w:rsidP="003479E0">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197BECFC" w14:textId="77777777" w:rsidR="00412798" w:rsidRPr="007424E0" w:rsidRDefault="00412798" w:rsidP="003479E0">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423F4A2D" w14:textId="77777777" w:rsidR="00412798" w:rsidRPr="007424E0" w:rsidRDefault="00412798" w:rsidP="003479E0">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Per the 2022 QAP, (Threshold Criteria) Site Zoning), the minimum documentation requires a </w:t>
            </w:r>
            <w:r w:rsidRPr="007424E0">
              <w:rPr>
                <w:rFonts w:ascii="Times New Roman" w:eastAsia="Times New Roman" w:hAnsi="Times New Roman" w:cs="Times New Roman"/>
                <w:i/>
                <w:iCs/>
                <w:sz w:val="20"/>
                <w:szCs w:val="20"/>
              </w:rPr>
              <w:t xml:space="preserve">“Letter from Local Government official which includes </w:t>
            </w:r>
            <w:r w:rsidRPr="007424E0">
              <w:rPr>
                <w:rFonts w:ascii="Times New Roman" w:eastAsia="Times New Roman" w:hAnsi="Times New Roman" w:cs="Times New Roman"/>
                <w:b/>
                <w:bCs/>
                <w:i/>
                <w:iCs/>
                <w:sz w:val="20"/>
                <w:szCs w:val="20"/>
              </w:rPr>
              <w:t>project name</w:t>
            </w:r>
            <w:r w:rsidRPr="007424E0">
              <w:rPr>
                <w:rFonts w:ascii="Times New Roman" w:eastAsia="Times New Roman" w:hAnsi="Times New Roman" w:cs="Times New Roman"/>
                <w:i/>
                <w:iCs/>
                <w:sz w:val="20"/>
                <w:szCs w:val="20"/>
              </w:rPr>
              <w:t xml:space="preserve">, </w:t>
            </w:r>
            <w:r w:rsidRPr="007424E0">
              <w:rPr>
                <w:rFonts w:ascii="Times New Roman" w:eastAsia="Times New Roman" w:hAnsi="Times New Roman" w:cs="Times New Roman"/>
                <w:b/>
                <w:bCs/>
                <w:i/>
                <w:iCs/>
                <w:sz w:val="20"/>
                <w:szCs w:val="20"/>
              </w:rPr>
              <w:t>address</w:t>
            </w:r>
            <w:r w:rsidRPr="007424E0">
              <w:rPr>
                <w:rFonts w:ascii="Times New Roman" w:eastAsia="Times New Roman" w:hAnsi="Times New Roman" w:cs="Times New Roman"/>
                <w:i/>
                <w:iCs/>
                <w:sz w:val="20"/>
                <w:szCs w:val="20"/>
              </w:rPr>
              <w:t xml:space="preserve">, </w:t>
            </w:r>
            <w:r w:rsidRPr="007424E0">
              <w:rPr>
                <w:rFonts w:ascii="Times New Roman" w:eastAsia="Times New Roman" w:hAnsi="Times New Roman" w:cs="Times New Roman"/>
                <w:b/>
                <w:bCs/>
                <w:i/>
                <w:iCs/>
                <w:sz w:val="20"/>
                <w:szCs w:val="20"/>
                <w:u w:val="single"/>
              </w:rPr>
              <w:t>or</w:t>
            </w:r>
            <w:r w:rsidRPr="007424E0">
              <w:rPr>
                <w:rFonts w:ascii="Times New Roman" w:eastAsia="Times New Roman" w:hAnsi="Times New Roman" w:cs="Times New Roman"/>
                <w:i/>
                <w:iCs/>
                <w:sz w:val="20"/>
                <w:szCs w:val="20"/>
              </w:rPr>
              <w:t xml:space="preserve"> </w:t>
            </w:r>
            <w:r w:rsidRPr="007424E0">
              <w:rPr>
                <w:rFonts w:ascii="Times New Roman" w:eastAsia="Times New Roman" w:hAnsi="Times New Roman" w:cs="Times New Roman"/>
                <w:b/>
                <w:bCs/>
                <w:i/>
                <w:iCs/>
                <w:sz w:val="20"/>
                <w:szCs w:val="20"/>
              </w:rPr>
              <w:t>parcel ID</w:t>
            </w:r>
            <w:r w:rsidRPr="007424E0">
              <w:rPr>
                <w:rFonts w:ascii="Times New Roman" w:eastAsia="Times New Roman" w:hAnsi="Times New Roman" w:cs="Times New Roman"/>
                <w:i/>
                <w:iCs/>
                <w:sz w:val="20"/>
                <w:szCs w:val="20"/>
              </w:rPr>
              <w:t xml:space="preserve"> and confirms zoning. Letter must be dated within six (6) months of Application Submission.”</w:t>
            </w:r>
            <w:r w:rsidRPr="007424E0">
              <w:rPr>
                <w:rFonts w:ascii="Times New Roman" w:eastAsia="Times New Roman" w:hAnsi="Times New Roman" w:cs="Times New Roman"/>
                <w:sz w:val="20"/>
                <w:szCs w:val="20"/>
              </w:rPr>
              <w:t> So as long as one of the above-mentioned identifying factors for the project is present, the zoning letter shall be sufficient. </w:t>
            </w:r>
          </w:p>
          <w:p w14:paraId="110D76E5"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5E92DA1A"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5254B95F"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9/27/22</w:t>
            </w:r>
          </w:p>
        </w:tc>
        <w:tc>
          <w:tcPr>
            <w:tcW w:w="2663" w:type="dxa"/>
            <w:shd w:val="clear" w:color="auto" w:fill="auto"/>
            <w:tcMar>
              <w:top w:w="72" w:type="dxa"/>
              <w:left w:w="115" w:type="dxa"/>
              <w:bottom w:w="72" w:type="dxa"/>
              <w:right w:w="115" w:type="dxa"/>
            </w:tcMar>
            <w:vAlign w:val="center"/>
          </w:tcPr>
          <w:p w14:paraId="1758559E"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2.20</w:t>
            </w:r>
          </w:p>
          <w:p w14:paraId="32D95BA7"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579DD38F"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Experience, Capacity and Performance Requirements</w:t>
            </w:r>
          </w:p>
        </w:tc>
        <w:tc>
          <w:tcPr>
            <w:tcW w:w="9585" w:type="dxa"/>
            <w:shd w:val="clear" w:color="auto" w:fill="auto"/>
            <w:tcMar>
              <w:top w:w="72" w:type="dxa"/>
              <w:left w:w="115" w:type="dxa"/>
              <w:bottom w:w="72" w:type="dxa"/>
              <w:right w:w="115" w:type="dxa"/>
            </w:tcMar>
            <w:vAlign w:val="center"/>
          </w:tcPr>
          <w:p w14:paraId="5CC9F023" w14:textId="77777777" w:rsidR="00412798" w:rsidRPr="007424E0" w:rsidRDefault="00412798" w:rsidP="00232EDB">
            <w:pPr>
              <w:contextualSpacing/>
              <w:rPr>
                <w:rFonts w:ascii="Times New Roman" w:hAnsi="Times New Roman" w:cs="Times New Roman"/>
                <w:sz w:val="20"/>
                <w:szCs w:val="20"/>
              </w:rPr>
            </w:pPr>
            <w:r w:rsidRPr="007424E0">
              <w:rPr>
                <w:rFonts w:ascii="Times New Roman" w:hAnsi="Times New Roman" w:cs="Times New Roman"/>
                <w:b/>
                <w:bCs/>
                <w:sz w:val="20"/>
                <w:szCs w:val="20"/>
              </w:rPr>
              <w:t>Question ID: 1011983787</w:t>
            </w:r>
          </w:p>
          <w:p w14:paraId="4A0E4ABA" w14:textId="77777777" w:rsidR="00412798" w:rsidRPr="007424E0" w:rsidRDefault="00412798" w:rsidP="00232EDB">
            <w:pPr>
              <w:contextualSpacing/>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If a principal has over a 20% ownership interest in an entity in previous deals that isn’t the GP but does have control of the deal, does that suffice for the experience requirements? </w:t>
            </w:r>
          </w:p>
          <w:p w14:paraId="21559D82" w14:textId="77777777" w:rsidR="00412798" w:rsidRPr="007424E0" w:rsidRDefault="00412798" w:rsidP="00232EDB">
            <w:pPr>
              <w:rPr>
                <w:rFonts w:ascii="Times New Roman" w:eastAsia="Times New Roman" w:hAnsi="Times New Roman" w:cs="Times New Roman"/>
                <w:color w:val="000000" w:themeColor="text1"/>
                <w:sz w:val="20"/>
                <w:szCs w:val="20"/>
              </w:rPr>
            </w:pPr>
          </w:p>
          <w:p w14:paraId="6C885931" w14:textId="77777777" w:rsidR="00412798" w:rsidRPr="007424E0" w:rsidRDefault="00412798" w:rsidP="00232EDB">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45D2AC41" w14:textId="77777777" w:rsidR="00412798" w:rsidRPr="007424E0" w:rsidRDefault="00412798" w:rsidP="00232EDB">
            <w:pPr>
              <w:contextualSpacing/>
              <w:rPr>
                <w:rFonts w:ascii="Times New Roman" w:hAnsi="Times New Roman" w:cs="Times New Roman"/>
                <w:sz w:val="20"/>
                <w:szCs w:val="20"/>
              </w:rPr>
            </w:pPr>
            <w:r w:rsidRPr="007424E0">
              <w:rPr>
                <w:rFonts w:ascii="Times New Roman" w:hAnsi="Times New Roman" w:cs="Times New Roman"/>
                <w:sz w:val="20"/>
                <w:szCs w:val="20"/>
              </w:rPr>
              <w:t xml:space="preserve">Per </w:t>
            </w:r>
            <w:r w:rsidRPr="007424E0">
              <w:rPr>
                <w:rFonts w:ascii="Times New Roman" w:hAnsi="Times New Roman" w:cs="Times New Roman"/>
                <w:b/>
                <w:bCs/>
                <w:sz w:val="20"/>
                <w:szCs w:val="20"/>
              </w:rPr>
              <w:t>(Threshold) Experience, Capacity and Performance Requirements, C. Requirements for Experience (Certifying Entity):</w:t>
            </w:r>
          </w:p>
          <w:p w14:paraId="3E271267" w14:textId="77777777" w:rsidR="00412798" w:rsidRPr="007424E0" w:rsidRDefault="00412798" w:rsidP="00232EDB">
            <w:pPr>
              <w:contextualSpacing/>
              <w:rPr>
                <w:rFonts w:ascii="Times New Roman" w:hAnsi="Times New Roman" w:cs="Times New Roman"/>
                <w:sz w:val="20"/>
                <w:szCs w:val="20"/>
              </w:rPr>
            </w:pPr>
          </w:p>
          <w:p w14:paraId="7BF9DC9F" w14:textId="77777777" w:rsidR="00412798" w:rsidRPr="007424E0" w:rsidRDefault="00412798" w:rsidP="00232EDB">
            <w:pPr>
              <w:ind w:left="720"/>
              <w:rPr>
                <w:rFonts w:ascii="Times New Roman" w:hAnsi="Times New Roman" w:cs="Times New Roman"/>
                <w:i/>
                <w:iCs/>
                <w:sz w:val="20"/>
                <w:szCs w:val="20"/>
              </w:rPr>
            </w:pPr>
            <w:r w:rsidRPr="007424E0">
              <w:rPr>
                <w:rFonts w:ascii="Times New Roman" w:hAnsi="Times New Roman" w:cs="Times New Roman"/>
                <w:i/>
                <w:iCs/>
                <w:sz w:val="20"/>
                <w:szCs w:val="20"/>
              </w:rPr>
              <w:t>“In order to be counted as a Successful Tax Credit Project, the following requirements must be met for each project claimed by a Certifying Entity:</w:t>
            </w:r>
          </w:p>
          <w:p w14:paraId="3B91AC7C" w14:textId="77777777" w:rsidR="00412798" w:rsidRPr="007424E0" w:rsidRDefault="00412798" w:rsidP="00232EDB">
            <w:pPr>
              <w:pStyle w:val="ListParagraph"/>
              <w:numPr>
                <w:ilvl w:val="0"/>
                <w:numId w:val="68"/>
              </w:numPr>
              <w:textAlignment w:val="baseline"/>
              <w:rPr>
                <w:rFonts w:ascii="Times New Roman" w:eastAsia="Times New Roman" w:hAnsi="Times New Roman" w:cs="Times New Roman"/>
                <w:b/>
                <w:bCs/>
                <w:sz w:val="20"/>
                <w:szCs w:val="20"/>
              </w:rPr>
            </w:pPr>
            <w:r w:rsidRPr="007424E0">
              <w:rPr>
                <w:rFonts w:ascii="Times New Roman" w:hAnsi="Times New Roman" w:cs="Times New Roman"/>
                <w:i/>
                <w:iCs/>
                <w:sz w:val="20"/>
                <w:szCs w:val="20"/>
              </w:rPr>
              <w:t>The Certifying Entity must own a minimum 20% interest in the General Partner and Developer entities for each property claimed. The interest must be reflected in the syndicator letter and Partnership Agreement for the property.”</w:t>
            </w:r>
          </w:p>
        </w:tc>
      </w:tr>
      <w:tr w:rsidR="00412798" w:rsidRPr="007424E0" w14:paraId="7FF34B7C"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42C5F51B"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9/27/22</w:t>
            </w:r>
          </w:p>
        </w:tc>
        <w:tc>
          <w:tcPr>
            <w:tcW w:w="2663" w:type="dxa"/>
            <w:shd w:val="clear" w:color="auto" w:fill="auto"/>
            <w:tcMar>
              <w:top w:w="72" w:type="dxa"/>
              <w:left w:w="115" w:type="dxa"/>
              <w:bottom w:w="72" w:type="dxa"/>
              <w:right w:w="115" w:type="dxa"/>
            </w:tcMar>
            <w:vAlign w:val="center"/>
          </w:tcPr>
          <w:p w14:paraId="3F58E899"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2.20</w:t>
            </w:r>
          </w:p>
          <w:p w14:paraId="50DFFC9D"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 Criteria;</w:t>
            </w:r>
          </w:p>
          <w:p w14:paraId="3BEAF45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Experience, Capacity and Performance Requirements for General Partner and Developer Entities</w:t>
            </w:r>
          </w:p>
        </w:tc>
        <w:tc>
          <w:tcPr>
            <w:tcW w:w="9585" w:type="dxa"/>
            <w:shd w:val="clear" w:color="auto" w:fill="auto"/>
            <w:tcMar>
              <w:top w:w="72" w:type="dxa"/>
              <w:left w:w="115" w:type="dxa"/>
              <w:bottom w:w="72" w:type="dxa"/>
              <w:right w:w="115" w:type="dxa"/>
            </w:tcMar>
            <w:vAlign w:val="center"/>
          </w:tcPr>
          <w:p w14:paraId="3FAD921D" w14:textId="77777777" w:rsidR="00412798" w:rsidRPr="007424E0" w:rsidRDefault="00412798" w:rsidP="009F255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1012443352 </w:t>
            </w:r>
            <w:r w:rsidRPr="007424E0">
              <w:rPr>
                <w:rFonts w:ascii="Times New Roman" w:eastAsia="Times New Roman" w:hAnsi="Times New Roman" w:cs="Times New Roman"/>
                <w:sz w:val="20"/>
                <w:szCs w:val="20"/>
              </w:rPr>
              <w:br/>
            </w:r>
            <w:r w:rsidRPr="007424E0">
              <w:rPr>
                <w:rFonts w:ascii="Times New Roman" w:eastAsia="Times New Roman" w:hAnsi="Times New Roman" w:cs="Times New Roman"/>
                <w:color w:val="000000"/>
                <w:sz w:val="20"/>
                <w:szCs w:val="20"/>
              </w:rPr>
              <w:t>I have a question regarding the Performance Workbook Experience section requirements. I know that a Performance Workbook and all relevant documentation is required for the GP/Developer, but is a Performance Workbook also required for all other members of the development team (i.e.. attorneys, GC, Architects, Syndicators, Lenders, etc.)? </w:t>
            </w:r>
          </w:p>
          <w:p w14:paraId="00CB45D2" w14:textId="77777777" w:rsidR="00412798" w:rsidRPr="007424E0" w:rsidRDefault="00412798" w:rsidP="009F255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11423041" w14:textId="77777777" w:rsidR="00412798" w:rsidRPr="007424E0" w:rsidRDefault="00412798" w:rsidP="009F255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3341F27A" w14:textId="77777777" w:rsidR="00412798" w:rsidRPr="007424E0" w:rsidRDefault="00412798" w:rsidP="009F255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lastRenderedPageBreak/>
              <w:t>(Threshold Criteria) Experience, Capacity and Performance Requirements, I. Required Documents </w:t>
            </w:r>
            <w:r w:rsidRPr="007424E0">
              <w:rPr>
                <w:rFonts w:ascii="Times New Roman" w:eastAsia="Times New Roman" w:hAnsi="Times New Roman" w:cs="Times New Roman"/>
                <w:sz w:val="20"/>
                <w:szCs w:val="20"/>
              </w:rPr>
              <w:t>includes the following requirements for “all other Project Team members”: </w:t>
            </w:r>
          </w:p>
          <w:p w14:paraId="03FFEE87" w14:textId="77777777" w:rsidR="00412798" w:rsidRPr="007424E0" w:rsidRDefault="00412798" w:rsidP="009F255E">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sz w:val="20"/>
                <w:szCs w:val="20"/>
              </w:rPr>
              <w:t>“17. Performance Questionnaire.</w:t>
            </w:r>
            <w:r w:rsidRPr="007424E0">
              <w:rPr>
                <w:rFonts w:ascii="Times New Roman" w:eastAsia="Times New Roman" w:hAnsi="Times New Roman" w:cs="Times New Roman"/>
                <w:sz w:val="20"/>
                <w:szCs w:val="20"/>
              </w:rPr>
              <w:t> </w:t>
            </w:r>
          </w:p>
          <w:p w14:paraId="0C6E75B8" w14:textId="77777777" w:rsidR="00412798" w:rsidRPr="007424E0" w:rsidRDefault="00412798" w:rsidP="009F255E">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sz w:val="20"/>
                <w:szCs w:val="20"/>
              </w:rPr>
              <w:t>18. DCA Compliance History Form...</w:t>
            </w:r>
            <w:r w:rsidRPr="007424E0">
              <w:rPr>
                <w:rFonts w:ascii="Times New Roman" w:eastAsia="Times New Roman" w:hAnsi="Times New Roman" w:cs="Times New Roman"/>
                <w:sz w:val="20"/>
                <w:szCs w:val="20"/>
              </w:rPr>
              <w:t> </w:t>
            </w:r>
          </w:p>
          <w:p w14:paraId="04A6C650" w14:textId="77777777" w:rsidR="00412798" w:rsidRPr="007424E0" w:rsidRDefault="00412798" w:rsidP="009F255E">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sz w:val="20"/>
                <w:szCs w:val="20"/>
              </w:rPr>
              <w:t>19. Performance Workbook Certification Letter.</w:t>
            </w:r>
            <w:r w:rsidRPr="007424E0">
              <w:rPr>
                <w:rFonts w:ascii="Times New Roman" w:eastAsia="Times New Roman" w:hAnsi="Times New Roman" w:cs="Times New Roman"/>
                <w:sz w:val="20"/>
                <w:szCs w:val="20"/>
              </w:rPr>
              <w:t> </w:t>
            </w:r>
          </w:p>
          <w:p w14:paraId="0D129836" w14:textId="77777777" w:rsidR="00412798" w:rsidRPr="007424E0" w:rsidRDefault="00412798" w:rsidP="009F255E">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sz w:val="20"/>
                <w:szCs w:val="20"/>
              </w:rPr>
              <w:t>20. Credit &amp; Criminal Release form, if requested by DCA.”</w:t>
            </w:r>
            <w:r w:rsidRPr="007424E0">
              <w:rPr>
                <w:rFonts w:ascii="Times New Roman" w:eastAsia="Times New Roman" w:hAnsi="Times New Roman" w:cs="Times New Roman"/>
                <w:sz w:val="20"/>
                <w:szCs w:val="20"/>
              </w:rPr>
              <w:t> </w:t>
            </w:r>
          </w:p>
          <w:p w14:paraId="1D6600BC" w14:textId="77777777" w:rsidR="00412798" w:rsidRPr="007424E0" w:rsidRDefault="00412798" w:rsidP="009F255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D36F576" w14:textId="77777777" w:rsidR="00412798" w:rsidRPr="007424E0" w:rsidRDefault="00412798" w:rsidP="009F255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“Project Team” is defined in </w:t>
            </w:r>
            <w:r w:rsidRPr="007424E0">
              <w:rPr>
                <w:rFonts w:ascii="Times New Roman" w:eastAsia="Times New Roman" w:hAnsi="Times New Roman" w:cs="Times New Roman"/>
                <w:b/>
                <w:bCs/>
                <w:sz w:val="20"/>
                <w:szCs w:val="20"/>
              </w:rPr>
              <w:t xml:space="preserve">(Core) Definitions </w:t>
            </w:r>
            <w:r w:rsidRPr="007424E0">
              <w:rPr>
                <w:rFonts w:ascii="Times New Roman" w:eastAsia="Times New Roman" w:hAnsi="Times New Roman" w:cs="Times New Roman"/>
                <w:sz w:val="20"/>
                <w:szCs w:val="20"/>
              </w:rPr>
              <w:t>as</w:t>
            </w:r>
            <w:r w:rsidRPr="007424E0">
              <w:rPr>
                <w:rFonts w:ascii="Times New Roman" w:eastAsia="Times New Roman" w:hAnsi="Times New Roman" w:cs="Times New Roman"/>
                <w:i/>
                <w:iCs/>
                <w:sz w:val="20"/>
                <w:szCs w:val="20"/>
              </w:rPr>
              <w:t xml:space="preserve"> “General Partner, Developer, Consultant and the Principal(s) thereof for a proposed tax credit project. For purposes of project participant qualifications, consultants with less than 5% interest in the project are not considered members of the Project Team.”</w:t>
            </w:r>
            <w:r w:rsidRPr="007424E0">
              <w:rPr>
                <w:rFonts w:ascii="Times New Roman" w:eastAsia="Times New Roman" w:hAnsi="Times New Roman" w:cs="Times New Roman"/>
                <w:sz w:val="20"/>
                <w:szCs w:val="20"/>
              </w:rPr>
              <w:t> </w:t>
            </w:r>
          </w:p>
          <w:p w14:paraId="7073AB29" w14:textId="77777777" w:rsidR="00412798" w:rsidRPr="007424E0" w:rsidRDefault="00412798" w:rsidP="009F255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07A2CB9" w14:textId="77777777" w:rsidR="00412798" w:rsidRPr="007424E0" w:rsidRDefault="00412798" w:rsidP="009F255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Further, the Performance Workbook states that </w:t>
            </w:r>
            <w:r w:rsidRPr="007424E0">
              <w:rPr>
                <w:rFonts w:ascii="Times New Roman" w:eastAsia="Times New Roman" w:hAnsi="Times New Roman" w:cs="Times New Roman"/>
                <w:i/>
                <w:iCs/>
                <w:sz w:val="20"/>
                <w:szCs w:val="20"/>
              </w:rPr>
              <w:t>“any general partner, developer, consultant with more than 5% ownership interest, or principal must submit individual Performance Questionnaire, Compliance History Forms (All States and GA), and Performance Workbook Certification Letter.”</w:t>
            </w:r>
            <w:r w:rsidRPr="007424E0">
              <w:rPr>
                <w:rFonts w:ascii="Times New Roman" w:eastAsia="Times New Roman" w:hAnsi="Times New Roman" w:cs="Times New Roman"/>
                <w:sz w:val="20"/>
                <w:szCs w:val="20"/>
              </w:rPr>
              <w:t> </w:t>
            </w:r>
          </w:p>
          <w:p w14:paraId="0A126D2F" w14:textId="77777777" w:rsidR="00412798" w:rsidRPr="007424E0" w:rsidRDefault="00412798" w:rsidP="003479E0">
            <w:pPr>
              <w:textAlignment w:val="baseline"/>
              <w:rPr>
                <w:rFonts w:ascii="Times New Roman" w:eastAsia="Times New Roman" w:hAnsi="Times New Roman" w:cs="Times New Roman"/>
                <w:b/>
                <w:bCs/>
                <w:sz w:val="20"/>
                <w:szCs w:val="20"/>
              </w:rPr>
            </w:pPr>
          </w:p>
        </w:tc>
      </w:tr>
      <w:tr w:rsidR="00412798" w:rsidRPr="007424E0" w14:paraId="223A8A20"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3A3C2B8"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9/27/22</w:t>
            </w:r>
          </w:p>
        </w:tc>
        <w:tc>
          <w:tcPr>
            <w:tcW w:w="2663" w:type="dxa"/>
            <w:shd w:val="clear" w:color="auto" w:fill="auto"/>
            <w:tcMar>
              <w:top w:w="72" w:type="dxa"/>
              <w:left w:w="115" w:type="dxa"/>
              <w:bottom w:w="72" w:type="dxa"/>
              <w:right w:w="115" w:type="dxa"/>
            </w:tcMar>
            <w:vAlign w:val="center"/>
          </w:tcPr>
          <w:p w14:paraId="2C71CB43"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2.20</w:t>
            </w:r>
          </w:p>
          <w:p w14:paraId="248F8895"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 Criteria;</w:t>
            </w:r>
          </w:p>
          <w:p w14:paraId="31777B4B"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Experience, Capacity and Performance Requirements</w:t>
            </w:r>
          </w:p>
        </w:tc>
        <w:tc>
          <w:tcPr>
            <w:tcW w:w="9585" w:type="dxa"/>
            <w:shd w:val="clear" w:color="auto" w:fill="auto"/>
            <w:tcMar>
              <w:top w:w="72" w:type="dxa"/>
              <w:left w:w="115" w:type="dxa"/>
              <w:bottom w:w="72" w:type="dxa"/>
              <w:right w:w="115" w:type="dxa"/>
            </w:tcMar>
            <w:vAlign w:val="center"/>
          </w:tcPr>
          <w:p w14:paraId="4FC1CACE" w14:textId="77777777" w:rsidR="00412798" w:rsidRPr="007424E0" w:rsidRDefault="00412798" w:rsidP="00975F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color w:val="000000"/>
                <w:sz w:val="20"/>
                <w:szCs w:val="20"/>
                <w:shd w:val="clear" w:color="auto" w:fill="FFFFFF"/>
              </w:rPr>
              <w:t>1011983787_2 </w:t>
            </w:r>
            <w:r w:rsidRPr="007424E0">
              <w:rPr>
                <w:rFonts w:ascii="Times New Roman" w:eastAsia="Times New Roman" w:hAnsi="Times New Roman" w:cs="Times New Roman"/>
                <w:color w:val="000000"/>
                <w:sz w:val="20"/>
                <w:szCs w:val="20"/>
              </w:rPr>
              <w:t> </w:t>
            </w:r>
          </w:p>
          <w:p w14:paraId="588E2384" w14:textId="77777777" w:rsidR="00412798" w:rsidRPr="007424E0" w:rsidRDefault="00412798" w:rsidP="00975F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What’s the minimum amount of projects for the compliance worksheet for a Developer that’s done over 100 LIHTC deals? </w:t>
            </w:r>
          </w:p>
          <w:p w14:paraId="5FF56142" w14:textId="77777777" w:rsidR="00412798" w:rsidRPr="007424E0" w:rsidRDefault="00412798" w:rsidP="00975F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3A106CD" w14:textId="77777777" w:rsidR="00412798" w:rsidRPr="007424E0" w:rsidRDefault="00412798" w:rsidP="00975F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338EE0E8" w14:textId="77777777" w:rsidR="00412798" w:rsidRPr="007424E0" w:rsidRDefault="00412798" w:rsidP="00975FE1">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Per the Performance Workbook, Compliance History All States tab, “all Project Team Members/Entities must list all affordable housing properties located in all states in which an entity or principal has participated in the ownership and/or development.” Per the GA DCA Compliance History tab, “all Applicants must list all Georgia DCA Affordable properties on this tab.” </w:t>
            </w:r>
          </w:p>
          <w:p w14:paraId="0B56F67B" w14:textId="77777777" w:rsidR="00412798" w:rsidRPr="007424E0" w:rsidRDefault="00412798" w:rsidP="003479E0">
            <w:pPr>
              <w:textAlignment w:val="baseline"/>
              <w:rPr>
                <w:rFonts w:ascii="Times New Roman" w:eastAsia="Times New Roman" w:hAnsi="Times New Roman" w:cs="Times New Roman"/>
                <w:b/>
                <w:bCs/>
                <w:sz w:val="20"/>
                <w:szCs w:val="20"/>
              </w:rPr>
            </w:pPr>
          </w:p>
        </w:tc>
      </w:tr>
      <w:tr w:rsidR="00412798" w:rsidRPr="007424E0" w14:paraId="7B89D119"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AD1C55E"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9/27/22</w:t>
            </w:r>
          </w:p>
        </w:tc>
        <w:tc>
          <w:tcPr>
            <w:tcW w:w="2663" w:type="dxa"/>
            <w:shd w:val="clear" w:color="auto" w:fill="auto"/>
            <w:tcMar>
              <w:top w:w="72" w:type="dxa"/>
              <w:left w:w="115" w:type="dxa"/>
              <w:bottom w:w="72" w:type="dxa"/>
              <w:right w:w="115" w:type="dxa"/>
            </w:tcMar>
            <w:vAlign w:val="center"/>
          </w:tcPr>
          <w:p w14:paraId="1C8D7587"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2.25</w:t>
            </w:r>
          </w:p>
          <w:p w14:paraId="79E26F5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Threshold Criteria; </w:t>
            </w:r>
          </w:p>
          <w:p w14:paraId="7ED7533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Occupied Developments</w:t>
            </w:r>
          </w:p>
        </w:tc>
        <w:tc>
          <w:tcPr>
            <w:tcW w:w="9585" w:type="dxa"/>
            <w:shd w:val="clear" w:color="auto" w:fill="auto"/>
            <w:tcMar>
              <w:top w:w="72" w:type="dxa"/>
              <w:left w:w="115" w:type="dxa"/>
              <w:bottom w:w="72" w:type="dxa"/>
              <w:right w:w="115" w:type="dxa"/>
            </w:tcMar>
            <w:vAlign w:val="center"/>
          </w:tcPr>
          <w:p w14:paraId="25A17985" w14:textId="77777777" w:rsidR="00412798" w:rsidRPr="007424E0" w:rsidRDefault="00412798" w:rsidP="007D0FB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color w:val="000000"/>
                <w:sz w:val="20"/>
                <w:szCs w:val="20"/>
              </w:rPr>
              <w:t>996771741 </w:t>
            </w:r>
          </w:p>
          <w:p w14:paraId="3EBFB0DE" w14:textId="77777777" w:rsidR="00412798" w:rsidRPr="007424E0" w:rsidRDefault="00412798" w:rsidP="007D0FB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What is the status of non-residential tenant leases signed before site control in a Tax Credit only submission?  </w:t>
            </w:r>
          </w:p>
          <w:p w14:paraId="5AF10E69" w14:textId="77777777" w:rsidR="00412798" w:rsidRPr="007424E0" w:rsidRDefault="00412798" w:rsidP="007D0FB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6CC2C335" w14:textId="77777777" w:rsidR="00412798" w:rsidRPr="007424E0" w:rsidRDefault="00412798" w:rsidP="007D0FB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What is the impact of those leases on the relocation aspects of the development?  </w:t>
            </w:r>
          </w:p>
          <w:p w14:paraId="06C7CC22" w14:textId="77777777" w:rsidR="00412798" w:rsidRPr="007424E0" w:rsidRDefault="00412798" w:rsidP="007D0FB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39EEDBD7" w14:textId="77777777" w:rsidR="00412798" w:rsidRPr="007424E0" w:rsidRDefault="00412798" w:rsidP="007D0FB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What will the development team be responsible for, financially and otherwise? </w:t>
            </w:r>
            <w:r w:rsidRPr="007424E0">
              <w:rPr>
                <w:rFonts w:ascii="Times New Roman" w:eastAsia="Times New Roman" w:hAnsi="Times New Roman" w:cs="Times New Roman"/>
                <w:color w:val="000000"/>
                <w:sz w:val="20"/>
                <w:szCs w:val="20"/>
              </w:rPr>
              <w:br/>
              <w:t> </w:t>
            </w:r>
          </w:p>
          <w:p w14:paraId="1B749662" w14:textId="77777777" w:rsidR="00412798" w:rsidRPr="007424E0" w:rsidRDefault="00412798" w:rsidP="007D0FB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2B9E7D2" w14:textId="77777777" w:rsidR="00412798" w:rsidRPr="007424E0" w:rsidRDefault="00412798" w:rsidP="007D0FBC">
            <w:pPr>
              <w:textAlignment w:val="baseline"/>
              <w:rPr>
                <w:rFonts w:ascii="Times New Roman" w:eastAsia="Times New Roman" w:hAnsi="Times New Roman" w:cs="Times New Roman"/>
                <w:color w:val="242424"/>
                <w:sz w:val="20"/>
                <w:szCs w:val="20"/>
              </w:rPr>
            </w:pPr>
            <w:r w:rsidRPr="007424E0">
              <w:rPr>
                <w:rFonts w:ascii="Times New Roman" w:eastAsia="Times New Roman" w:hAnsi="Times New Roman" w:cs="Times New Roman"/>
                <w:sz w:val="20"/>
                <w:szCs w:val="20"/>
              </w:rPr>
              <w:t xml:space="preserve">In every circumstance where a resident or non-residential tenant will be displaced (either temporarily or permanently) due to a DCA funded development being built and/or renovated, a relocation plan and budget must be </w:t>
            </w:r>
            <w:r w:rsidRPr="007424E0">
              <w:rPr>
                <w:rFonts w:ascii="Times New Roman" w:eastAsia="Times New Roman" w:hAnsi="Times New Roman" w:cs="Times New Roman"/>
                <w:sz w:val="20"/>
                <w:szCs w:val="20"/>
              </w:rPr>
              <w:lastRenderedPageBreak/>
              <w:t xml:space="preserve">included when the application’s relocation information is submitted to DCA. </w:t>
            </w:r>
            <w:r w:rsidRPr="007424E0">
              <w:rPr>
                <w:rFonts w:ascii="Times New Roman" w:eastAsia="Times New Roman" w:hAnsi="Times New Roman" w:cs="Times New Roman"/>
                <w:color w:val="242424"/>
                <w:sz w:val="20"/>
                <w:szCs w:val="20"/>
              </w:rPr>
              <w:t>Until otherwise noted, please continue to follow the 2022 QAP and 2022 Relocation Manual for guidance. </w:t>
            </w:r>
          </w:p>
          <w:p w14:paraId="10FF424D" w14:textId="77777777" w:rsidR="00412798" w:rsidRPr="007424E0" w:rsidRDefault="00412798" w:rsidP="007D0FBC">
            <w:pPr>
              <w:textAlignment w:val="baseline"/>
              <w:rPr>
                <w:rFonts w:ascii="Times New Roman" w:eastAsia="Times New Roman" w:hAnsi="Times New Roman" w:cs="Times New Roman"/>
                <w:sz w:val="20"/>
                <w:szCs w:val="20"/>
              </w:rPr>
            </w:pPr>
          </w:p>
          <w:p w14:paraId="2B9F43BD" w14:textId="77777777" w:rsidR="00412798" w:rsidRPr="007424E0" w:rsidRDefault="00412798" w:rsidP="007D0FB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242424"/>
                <w:sz w:val="20"/>
                <w:szCs w:val="20"/>
              </w:rPr>
              <w:t xml:space="preserve">As it is stated in the 2022 QAP - </w:t>
            </w:r>
            <w:r w:rsidRPr="007424E0">
              <w:rPr>
                <w:rFonts w:ascii="Times New Roman" w:eastAsia="Times New Roman" w:hAnsi="Times New Roman" w:cs="Times New Roman"/>
                <w:i/>
                <w:iCs/>
                <w:color w:val="242424"/>
                <w:sz w:val="20"/>
                <w:szCs w:val="20"/>
              </w:rPr>
              <w:t xml:space="preserve">“In the event condemnation proceedings are pending against a proposed project, </w:t>
            </w:r>
            <w:r w:rsidRPr="007424E0">
              <w:rPr>
                <w:rFonts w:ascii="Times New Roman" w:eastAsia="Times New Roman" w:hAnsi="Times New Roman" w:cs="Times New Roman"/>
                <w:b/>
                <w:bCs/>
                <w:i/>
                <w:iCs/>
                <w:color w:val="242424"/>
                <w:sz w:val="20"/>
                <w:szCs w:val="20"/>
              </w:rPr>
              <w:t>DCA’s relocation policies apply to all residents and non-residential tenants residing at the property at the earlier of Application Submission or HOME consent request, if applicable</w:t>
            </w:r>
            <w:r w:rsidRPr="007424E0">
              <w:rPr>
                <w:rFonts w:ascii="Times New Roman" w:eastAsia="Times New Roman" w:hAnsi="Times New Roman" w:cs="Times New Roman"/>
                <w:i/>
                <w:iCs/>
                <w:color w:val="242424"/>
                <w:sz w:val="20"/>
                <w:szCs w:val="20"/>
              </w:rPr>
              <w:t>.</w:t>
            </w:r>
            <w:r w:rsidRPr="007424E0">
              <w:rPr>
                <w:rFonts w:ascii="Times New Roman" w:eastAsia="Times New Roman" w:hAnsi="Times New Roman" w:cs="Times New Roman"/>
                <w:i/>
                <w:iCs/>
                <w:sz w:val="20"/>
                <w:szCs w:val="20"/>
              </w:rPr>
              <w:t>”</w:t>
            </w:r>
            <w:r w:rsidRPr="007424E0">
              <w:rPr>
                <w:rFonts w:ascii="Times New Roman" w:eastAsia="Times New Roman" w:hAnsi="Times New Roman" w:cs="Times New Roman"/>
                <w:sz w:val="20"/>
                <w:szCs w:val="20"/>
              </w:rPr>
              <w:t> </w:t>
            </w:r>
          </w:p>
          <w:p w14:paraId="17F6733E" w14:textId="77777777" w:rsidR="00412798" w:rsidRPr="007424E0" w:rsidRDefault="00412798" w:rsidP="007D0FBC">
            <w:pPr>
              <w:textAlignment w:val="baseline"/>
              <w:rPr>
                <w:rFonts w:ascii="Times New Roman" w:eastAsia="Times New Roman" w:hAnsi="Times New Roman" w:cs="Times New Roman"/>
                <w:sz w:val="20"/>
                <w:szCs w:val="20"/>
              </w:rPr>
            </w:pPr>
          </w:p>
          <w:p w14:paraId="64AFD33C" w14:textId="77777777" w:rsidR="00412798" w:rsidRPr="007424E0" w:rsidRDefault="00412798" w:rsidP="007D0FB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242424"/>
                <w:sz w:val="20"/>
                <w:szCs w:val="20"/>
              </w:rPr>
              <w:t>Please note, applications with federal funding are subject to URA provisions. All other applications with non-federal funding are subject to DCA’s relocation requirements alone. </w:t>
            </w:r>
          </w:p>
          <w:p w14:paraId="48478A1A"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37F0201F"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71279B20"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9/27/22</w:t>
            </w:r>
          </w:p>
        </w:tc>
        <w:tc>
          <w:tcPr>
            <w:tcW w:w="2663" w:type="dxa"/>
            <w:shd w:val="clear" w:color="auto" w:fill="auto"/>
            <w:tcMar>
              <w:top w:w="72" w:type="dxa"/>
              <w:left w:w="115" w:type="dxa"/>
              <w:bottom w:w="72" w:type="dxa"/>
              <w:right w:w="115" w:type="dxa"/>
            </w:tcMar>
            <w:vAlign w:val="center"/>
          </w:tcPr>
          <w:p w14:paraId="1776FBF6"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3.05</w:t>
            </w:r>
          </w:p>
          <w:p w14:paraId="4AACBE0B"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Scoring Criteria; </w:t>
            </w:r>
          </w:p>
          <w:p w14:paraId="6003963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Desirable/Undesirable Activities</w:t>
            </w:r>
          </w:p>
        </w:tc>
        <w:tc>
          <w:tcPr>
            <w:tcW w:w="9585" w:type="dxa"/>
            <w:shd w:val="clear" w:color="auto" w:fill="auto"/>
            <w:tcMar>
              <w:top w:w="72" w:type="dxa"/>
              <w:left w:w="115" w:type="dxa"/>
              <w:bottom w:w="72" w:type="dxa"/>
              <w:right w:w="115" w:type="dxa"/>
            </w:tcMar>
            <w:vAlign w:val="center"/>
          </w:tcPr>
          <w:p w14:paraId="04A7B818" w14:textId="77777777" w:rsidR="00412798" w:rsidRPr="007424E0" w:rsidRDefault="00412798" w:rsidP="00010D26">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1011391495 </w:t>
            </w:r>
          </w:p>
          <w:p w14:paraId="314E35F4" w14:textId="77777777" w:rsidR="00412798" w:rsidRPr="007424E0" w:rsidRDefault="00412798" w:rsidP="00010D26">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When entering data into the provided Excel Sheet for Desirable/Undesirable and the Core Application I am receiving "#######" feedback from excel on some of the cells. The affected cells are longitude data cells in the Desirable/Undesirable and a few miscellaneous date cells in the core app. When I print to PDF the data shows up. I </w:t>
            </w:r>
            <w:proofErr w:type="spellStart"/>
            <w:r w:rsidRPr="007424E0">
              <w:rPr>
                <w:rFonts w:ascii="Times New Roman" w:eastAsia="Times New Roman" w:hAnsi="Times New Roman" w:cs="Times New Roman"/>
                <w:color w:val="000000"/>
                <w:sz w:val="20"/>
                <w:szCs w:val="20"/>
              </w:rPr>
              <w:t>can not</w:t>
            </w:r>
            <w:proofErr w:type="spellEnd"/>
            <w:r w:rsidRPr="007424E0">
              <w:rPr>
                <w:rFonts w:ascii="Times New Roman" w:eastAsia="Times New Roman" w:hAnsi="Times New Roman" w:cs="Times New Roman"/>
                <w:color w:val="000000"/>
                <w:sz w:val="20"/>
                <w:szCs w:val="20"/>
              </w:rPr>
              <w:t xml:space="preserve"> edit the Excel sheets because they are locked. The data I entered can be found at the top of the excel sheet when the "#####" cells are selected. I just want to make sure we will not lose any points for this occurring in our excel sheet at submission. </w:t>
            </w:r>
          </w:p>
          <w:p w14:paraId="2078A530" w14:textId="77777777" w:rsidR="00412798" w:rsidRPr="007424E0" w:rsidRDefault="00412798" w:rsidP="00010D26">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4F65EA38" w14:textId="77777777" w:rsidR="00412798" w:rsidRPr="007424E0" w:rsidRDefault="00412798" w:rsidP="00010D26">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13D740A3" w14:textId="77777777" w:rsidR="00412798" w:rsidRPr="007424E0" w:rsidRDefault="00412798" w:rsidP="00010D26">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cells display ###### when the excel cell width is not long enough to accommodate/display the number of characters; however, it doesn’t prevent the excel data input. The Latitude and Longitude columns in the Desirable/Undesirable Certification form have been widened to avoid this issue. The updated form named “2022DesirableUndesirableCertification_updated_9.23.22” has been posted on the DCA website. </w:t>
            </w:r>
          </w:p>
          <w:p w14:paraId="43D75BF8"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02FD75BB"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120D15BD"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9/27/22</w:t>
            </w:r>
          </w:p>
        </w:tc>
        <w:tc>
          <w:tcPr>
            <w:tcW w:w="2663" w:type="dxa"/>
            <w:shd w:val="clear" w:color="auto" w:fill="auto"/>
            <w:tcMar>
              <w:top w:w="72" w:type="dxa"/>
              <w:left w:w="115" w:type="dxa"/>
              <w:bottom w:w="72" w:type="dxa"/>
              <w:right w:w="115" w:type="dxa"/>
            </w:tcMar>
            <w:vAlign w:val="center"/>
          </w:tcPr>
          <w:p w14:paraId="1B07AA49"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3.07</w:t>
            </w:r>
          </w:p>
          <w:p w14:paraId="101C75F5"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Scoring Criteria;</w:t>
            </w:r>
          </w:p>
          <w:p w14:paraId="2EE5FDC3"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Quality Education Areas</w:t>
            </w:r>
          </w:p>
        </w:tc>
        <w:tc>
          <w:tcPr>
            <w:tcW w:w="9585" w:type="dxa"/>
            <w:shd w:val="clear" w:color="auto" w:fill="auto"/>
            <w:tcMar>
              <w:top w:w="72" w:type="dxa"/>
              <w:left w:w="115" w:type="dxa"/>
              <w:bottom w:w="72" w:type="dxa"/>
              <w:right w:w="115" w:type="dxa"/>
            </w:tcMar>
            <w:vAlign w:val="center"/>
          </w:tcPr>
          <w:p w14:paraId="4844FFCD" w14:textId="77777777" w:rsidR="00412798" w:rsidRPr="007424E0" w:rsidRDefault="00412798" w:rsidP="00993734">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 ID: </w:t>
            </w:r>
            <w:r w:rsidRPr="007424E0">
              <w:rPr>
                <w:rFonts w:ascii="Times New Roman" w:eastAsia="Times New Roman" w:hAnsi="Times New Roman" w:cs="Times New Roman"/>
                <w:sz w:val="20"/>
                <w:szCs w:val="20"/>
              </w:rPr>
              <w:t>1010569933 </w:t>
            </w:r>
            <w:r w:rsidRPr="007424E0">
              <w:rPr>
                <w:rFonts w:ascii="Times New Roman" w:eastAsia="Times New Roman" w:hAnsi="Times New Roman" w:cs="Times New Roman"/>
                <w:sz w:val="20"/>
                <w:szCs w:val="20"/>
              </w:rPr>
              <w:br/>
            </w:r>
            <w:r w:rsidRPr="007424E0">
              <w:rPr>
                <w:rFonts w:ascii="Times New Roman" w:eastAsia="Times New Roman" w:hAnsi="Times New Roman" w:cs="Times New Roman"/>
                <w:color w:val="000000"/>
                <w:sz w:val="20"/>
                <w:szCs w:val="20"/>
              </w:rPr>
              <w:t xml:space="preserve">There are two new schools in our district. One of the schools is a new school K – 8, which opened in 2019 and has no data. The second school is a renovated school Pre K – 5, which has data from 2017 and no updated data. Per the QAP, </w:t>
            </w:r>
            <w:r w:rsidRPr="007424E0">
              <w:rPr>
                <w:rFonts w:ascii="Times New Roman" w:eastAsia="Times New Roman" w:hAnsi="Times New Roman" w:cs="Times New Roman"/>
                <w:i/>
                <w:iCs/>
                <w:color w:val="000000"/>
                <w:sz w:val="20"/>
                <w:szCs w:val="20"/>
              </w:rPr>
              <w:t>"Some recently established schools do not have data for options A through C. For such schools the Applicant may utilize scores of the applicable grade cluster for the school district."</w:t>
            </w:r>
            <w:r w:rsidRPr="007424E0">
              <w:rPr>
                <w:rFonts w:ascii="Times New Roman" w:eastAsia="Times New Roman" w:hAnsi="Times New Roman" w:cs="Times New Roman"/>
                <w:color w:val="000000"/>
                <w:sz w:val="20"/>
                <w:szCs w:val="20"/>
              </w:rPr>
              <w:t xml:space="preserve"> Please provide guidance how to utilize the district score to qualify for points in scoring options A through C. </w:t>
            </w:r>
          </w:p>
          <w:p w14:paraId="1A162CC6" w14:textId="77777777" w:rsidR="00412798" w:rsidRPr="007424E0" w:rsidRDefault="00412798" w:rsidP="00993734">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5FC05E7A" w14:textId="77777777" w:rsidR="00412798" w:rsidRPr="007424E0" w:rsidRDefault="00412798" w:rsidP="00993734">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71F55126" w14:textId="77777777" w:rsidR="00412798" w:rsidRPr="007424E0" w:rsidRDefault="00412798" w:rsidP="00993734">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QAP states: </w:t>
            </w:r>
            <w:r w:rsidRPr="007424E0">
              <w:rPr>
                <w:rFonts w:ascii="Times New Roman" w:eastAsia="Times New Roman" w:hAnsi="Times New Roman" w:cs="Times New Roman"/>
                <w:i/>
                <w:iCs/>
                <w:sz w:val="20"/>
                <w:szCs w:val="20"/>
              </w:rPr>
              <w:t>“Some recently established schools do not have data for options A through C. For such schools, the Applicant may utilize scores of the applicable grade cluster for the school district.”</w:t>
            </w:r>
            <w:r w:rsidRPr="007424E0">
              <w:rPr>
                <w:rFonts w:ascii="Times New Roman" w:eastAsia="Times New Roman" w:hAnsi="Times New Roman" w:cs="Times New Roman"/>
                <w:sz w:val="20"/>
                <w:szCs w:val="20"/>
              </w:rPr>
              <w:t> </w:t>
            </w:r>
          </w:p>
          <w:p w14:paraId="6B370F0C" w14:textId="77777777" w:rsidR="00412798" w:rsidRPr="007424E0" w:rsidRDefault="00412798" w:rsidP="00993734">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A491D18" w14:textId="77777777" w:rsidR="00412798" w:rsidRPr="007424E0" w:rsidRDefault="00412798" w:rsidP="00993734">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lastRenderedPageBreak/>
              <w:t xml:space="preserve">Accordingly, for any applicable schools without data, district-wide average CCRPI scores may be used.  When searching the CCRPI website </w:t>
            </w:r>
            <w:hyperlink r:id="rId20" w:tgtFrame="_blank" w:history="1">
              <w:r w:rsidRPr="007424E0">
                <w:rPr>
                  <w:rFonts w:ascii="Times New Roman" w:eastAsia="Times New Roman" w:hAnsi="Times New Roman" w:cs="Times New Roman"/>
                  <w:color w:val="0563C1"/>
                  <w:sz w:val="20"/>
                  <w:szCs w:val="20"/>
                  <w:u w:val="single"/>
                </w:rPr>
                <w:t>GADOE CCRPI Reporting System</w:t>
              </w:r>
            </w:hyperlink>
            <w:r w:rsidRPr="007424E0">
              <w:rPr>
                <w:rFonts w:ascii="Times New Roman" w:eastAsia="Times New Roman" w:hAnsi="Times New Roman" w:cs="Times New Roman"/>
                <w:sz w:val="20"/>
                <w:szCs w:val="20"/>
              </w:rPr>
              <w:t>, search for the applicable county school district, and filter to the respective appropriate grade clusters (Elementary/Middle/High).   </w:t>
            </w:r>
          </w:p>
          <w:p w14:paraId="21EE048D" w14:textId="77777777" w:rsidR="00412798" w:rsidRPr="007424E0" w:rsidRDefault="00412798" w:rsidP="00993734">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43315F1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For subsection A, if both 2018 and 2019 district-wide CCRPI averages are available, the 2-year average must be used; if only one year of district-wide averages are available, the 1-year average may be used. For subsection C, use the district-wide CCRPI data for average year-over-year change and average CCRPI score. </w:t>
            </w:r>
          </w:p>
          <w:p w14:paraId="581A4608" w14:textId="77777777" w:rsidR="00412798" w:rsidRPr="007424E0" w:rsidRDefault="00412798" w:rsidP="000F6D48">
            <w:pPr>
              <w:textAlignment w:val="baseline"/>
              <w:rPr>
                <w:rFonts w:ascii="Times New Roman" w:eastAsia="Times New Roman" w:hAnsi="Times New Roman" w:cs="Times New Roman"/>
                <w:sz w:val="20"/>
                <w:szCs w:val="20"/>
              </w:rPr>
            </w:pPr>
          </w:p>
        </w:tc>
      </w:tr>
      <w:tr w:rsidR="00412798" w:rsidRPr="007424E0" w14:paraId="11DCCB4C"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509A2BB9"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9/27/22</w:t>
            </w:r>
          </w:p>
        </w:tc>
        <w:tc>
          <w:tcPr>
            <w:tcW w:w="2663" w:type="dxa"/>
            <w:shd w:val="clear" w:color="auto" w:fill="auto"/>
            <w:tcMar>
              <w:top w:w="72" w:type="dxa"/>
              <w:left w:w="115" w:type="dxa"/>
              <w:bottom w:w="72" w:type="dxa"/>
              <w:right w:w="115" w:type="dxa"/>
            </w:tcMar>
            <w:vAlign w:val="center"/>
          </w:tcPr>
          <w:p w14:paraId="458C392B" w14:textId="77777777" w:rsidR="00412798" w:rsidRPr="007424E0" w:rsidRDefault="00412798" w:rsidP="001B16E5">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3.28</w:t>
            </w:r>
          </w:p>
          <w:p w14:paraId="2F79F2C0" w14:textId="77777777" w:rsidR="00412798" w:rsidRPr="007424E0" w:rsidRDefault="00412798" w:rsidP="001B16E5">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Scoring Criteria; </w:t>
            </w:r>
          </w:p>
          <w:p w14:paraId="74627834" w14:textId="77777777" w:rsidR="00412798" w:rsidRPr="007424E0" w:rsidRDefault="00412798" w:rsidP="001B16E5">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Property Restrictions and Age</w:t>
            </w:r>
          </w:p>
          <w:p w14:paraId="00AA5589" w14:textId="77777777" w:rsidR="00412798" w:rsidRPr="007424E0" w:rsidRDefault="00412798" w:rsidP="001B16E5">
            <w:pPr>
              <w:rPr>
                <w:rFonts w:ascii="Times New Roman" w:eastAsia="Times New Roman" w:hAnsi="Times New Roman" w:cs="Times New Roman"/>
                <w:sz w:val="20"/>
                <w:szCs w:val="20"/>
              </w:rPr>
            </w:pPr>
          </w:p>
          <w:p w14:paraId="21A018F3" w14:textId="77777777" w:rsidR="00412798" w:rsidRPr="007424E0" w:rsidRDefault="00412798" w:rsidP="001B16E5">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(also 3.01 Documentation and Justifications)</w:t>
            </w:r>
          </w:p>
        </w:tc>
        <w:tc>
          <w:tcPr>
            <w:tcW w:w="9585" w:type="dxa"/>
            <w:shd w:val="clear" w:color="auto" w:fill="auto"/>
            <w:tcMar>
              <w:top w:w="72" w:type="dxa"/>
              <w:left w:w="115" w:type="dxa"/>
              <w:bottom w:w="72" w:type="dxa"/>
              <w:right w:w="115" w:type="dxa"/>
            </w:tcMar>
            <w:vAlign w:val="center"/>
          </w:tcPr>
          <w:p w14:paraId="15E9F441" w14:textId="77777777" w:rsidR="00412798" w:rsidRPr="007424E0" w:rsidRDefault="00412798" w:rsidP="002C7DDA">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 ID:</w:t>
            </w:r>
            <w:r w:rsidRPr="007424E0">
              <w:rPr>
                <w:rFonts w:ascii="Times New Roman" w:eastAsia="Times New Roman" w:hAnsi="Times New Roman" w:cs="Times New Roman"/>
                <w:sz w:val="20"/>
                <w:szCs w:val="20"/>
              </w:rPr>
              <w:t> 1009483905 </w:t>
            </w:r>
          </w:p>
          <w:p w14:paraId="4B4C15A7" w14:textId="77777777" w:rsidR="00412798" w:rsidRPr="007424E0" w:rsidRDefault="00412798" w:rsidP="002C7DDA">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We are working on a rehabilitation that was built in the early 1980's.  We have tried to obtain the Certificate of Occupancy from the City of each as it is not located at the property.  Is there another way that would be acceptable to DCA to prove occupancy prior to 2000? </w:t>
            </w:r>
          </w:p>
          <w:p w14:paraId="40E7740F" w14:textId="77777777" w:rsidR="00412798" w:rsidRPr="007424E0" w:rsidRDefault="00412798" w:rsidP="002C7DDA">
            <w:pPr>
              <w:textAlignment w:val="baseline"/>
              <w:rPr>
                <w:rFonts w:ascii="Times New Roman" w:eastAsia="Times New Roman" w:hAnsi="Times New Roman" w:cs="Times New Roman"/>
                <w:sz w:val="20"/>
                <w:szCs w:val="20"/>
              </w:rPr>
            </w:pPr>
          </w:p>
          <w:p w14:paraId="0A5C3114" w14:textId="77777777" w:rsidR="00412798" w:rsidRPr="007424E0" w:rsidRDefault="00412798" w:rsidP="002C7DDA">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0DD386A3" w14:textId="77777777" w:rsidR="00412798" w:rsidRPr="007424E0" w:rsidRDefault="00412798" w:rsidP="002C7DDA">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Please refer to </w:t>
            </w:r>
            <w:r w:rsidRPr="007424E0">
              <w:rPr>
                <w:rFonts w:ascii="Times New Roman" w:eastAsia="Times New Roman" w:hAnsi="Times New Roman" w:cs="Times New Roman"/>
                <w:b/>
                <w:bCs/>
                <w:sz w:val="20"/>
                <w:szCs w:val="20"/>
              </w:rPr>
              <w:t>Appendix II Scoring Criteria, I. Documentation and Justifications</w:t>
            </w:r>
            <w:r w:rsidRPr="007424E0">
              <w:rPr>
                <w:rFonts w:ascii="Times New Roman" w:eastAsia="Times New Roman" w:hAnsi="Times New Roman" w:cs="Times New Roman"/>
                <w:sz w:val="20"/>
                <w:szCs w:val="20"/>
              </w:rPr>
              <w:t xml:space="preserve">, </w:t>
            </w:r>
            <w:r w:rsidRPr="007424E0">
              <w:rPr>
                <w:rFonts w:ascii="Times New Roman" w:eastAsia="Times New Roman" w:hAnsi="Times New Roman" w:cs="Times New Roman"/>
                <w:b/>
                <w:bCs/>
                <w:sz w:val="20"/>
                <w:szCs w:val="20"/>
              </w:rPr>
              <w:t>A. Minimum Documentation</w:t>
            </w:r>
            <w:r w:rsidRPr="007424E0">
              <w:rPr>
                <w:rFonts w:ascii="Times New Roman" w:eastAsia="Times New Roman" w:hAnsi="Times New Roman" w:cs="Times New Roman"/>
                <w:sz w:val="20"/>
                <w:szCs w:val="20"/>
              </w:rPr>
              <w:t>:   </w:t>
            </w:r>
          </w:p>
          <w:p w14:paraId="06E0E1CD" w14:textId="77777777" w:rsidR="00412798" w:rsidRPr="007424E0" w:rsidRDefault="00412798" w:rsidP="002C7DDA">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sz w:val="20"/>
                <w:szCs w:val="20"/>
              </w:rPr>
              <w:t>“Applications without Minimum Documentation and any other documents necessary to determine the Application meets the subsection criteria will not be eligible for the points. Applications must explain any alternate document to a minimum document.”</w:t>
            </w:r>
            <w:r w:rsidRPr="007424E0">
              <w:rPr>
                <w:rFonts w:ascii="Times New Roman" w:eastAsia="Times New Roman" w:hAnsi="Times New Roman" w:cs="Times New Roman"/>
                <w:sz w:val="20"/>
                <w:szCs w:val="20"/>
              </w:rPr>
              <w:t> </w:t>
            </w:r>
          </w:p>
          <w:p w14:paraId="7C432CFE" w14:textId="77777777" w:rsidR="00412798" w:rsidRPr="007424E0" w:rsidRDefault="00412798" w:rsidP="002C7DDA">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821FCF7" w14:textId="77777777" w:rsidR="00412798" w:rsidRPr="007424E0" w:rsidRDefault="00412798" w:rsidP="002C7DDA">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If unable to meet Minimum Documentation requirements, please provide alternate documentation and explain in the comments why the listed Minimum Document is not available and how the alternate documentation evidences that subsection criteria is met. </w:t>
            </w:r>
          </w:p>
          <w:p w14:paraId="0AF270C4"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58FC2147"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5E6FF002"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9/27/22</w:t>
            </w:r>
          </w:p>
        </w:tc>
        <w:tc>
          <w:tcPr>
            <w:tcW w:w="2663" w:type="dxa"/>
            <w:shd w:val="clear" w:color="auto" w:fill="auto"/>
            <w:tcMar>
              <w:top w:w="72" w:type="dxa"/>
              <w:left w:w="115" w:type="dxa"/>
              <w:bottom w:w="72" w:type="dxa"/>
              <w:right w:w="115" w:type="dxa"/>
            </w:tcMar>
            <w:vAlign w:val="center"/>
          </w:tcPr>
          <w:p w14:paraId="07576EEC"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3.28</w:t>
            </w:r>
          </w:p>
          <w:p w14:paraId="40470051"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Scoring Criteria; </w:t>
            </w:r>
          </w:p>
          <w:p w14:paraId="7EE4002F"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Property Restrictions and Age</w:t>
            </w:r>
          </w:p>
        </w:tc>
        <w:tc>
          <w:tcPr>
            <w:tcW w:w="9585" w:type="dxa"/>
            <w:shd w:val="clear" w:color="auto" w:fill="auto"/>
            <w:tcMar>
              <w:top w:w="72" w:type="dxa"/>
              <w:left w:w="115" w:type="dxa"/>
              <w:bottom w:w="72" w:type="dxa"/>
              <w:right w:w="115" w:type="dxa"/>
            </w:tcMar>
            <w:vAlign w:val="center"/>
          </w:tcPr>
          <w:p w14:paraId="0BE80656" w14:textId="77777777" w:rsidR="00412798" w:rsidRPr="007424E0" w:rsidRDefault="00412798" w:rsidP="00B35BE9">
            <w:pPr>
              <w:textAlignment w:val="baseline"/>
              <w:rPr>
                <w:rFonts w:ascii="Times New Roman" w:eastAsia="Times New Roman" w:hAnsi="Times New Roman" w:cs="Times New Roman"/>
                <w:color w:val="000000"/>
                <w:sz w:val="20"/>
                <w:szCs w:val="20"/>
              </w:rPr>
            </w:pPr>
            <w:r w:rsidRPr="007424E0">
              <w:rPr>
                <w:rStyle w:val="normaltextrun"/>
                <w:rFonts w:ascii="Times New Roman" w:hAnsi="Times New Roman" w:cs="Times New Roman"/>
                <w:b/>
                <w:bCs/>
                <w:color w:val="000000"/>
                <w:sz w:val="20"/>
                <w:szCs w:val="20"/>
                <w:shd w:val="clear" w:color="auto" w:fill="FFFFFF"/>
              </w:rPr>
              <w:t xml:space="preserve">Question ID: </w:t>
            </w:r>
            <w:r w:rsidRPr="007424E0">
              <w:rPr>
                <w:rStyle w:val="normaltextrun"/>
                <w:rFonts w:ascii="Times New Roman" w:hAnsi="Times New Roman" w:cs="Times New Roman"/>
                <w:color w:val="000000"/>
                <w:sz w:val="20"/>
                <w:szCs w:val="20"/>
                <w:shd w:val="clear" w:color="auto" w:fill="FFFFFF"/>
              </w:rPr>
              <w:t>1003638309_2</w:t>
            </w:r>
            <w:r w:rsidRPr="007424E0">
              <w:rPr>
                <w:rStyle w:val="eop"/>
                <w:rFonts w:ascii="Times New Roman" w:hAnsi="Times New Roman" w:cs="Times New Roman"/>
                <w:color w:val="000000"/>
                <w:sz w:val="20"/>
                <w:szCs w:val="20"/>
                <w:shd w:val="clear" w:color="auto" w:fill="FFFFFF"/>
              </w:rPr>
              <w:t> </w:t>
            </w:r>
          </w:p>
          <w:p w14:paraId="5F47BD13" w14:textId="77777777" w:rsidR="00412798" w:rsidRPr="007424E0" w:rsidRDefault="00412798" w:rsidP="00B35BE9">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Our property was built in the 1970s but underwent substantial rehab in 2011. In </w:t>
            </w:r>
            <w:r w:rsidRPr="007424E0">
              <w:rPr>
                <w:rFonts w:ascii="Times New Roman" w:eastAsia="Times New Roman" w:hAnsi="Times New Roman" w:cs="Times New Roman"/>
                <w:b/>
                <w:bCs/>
                <w:color w:val="000000"/>
                <w:sz w:val="20"/>
                <w:szCs w:val="20"/>
              </w:rPr>
              <w:t>(Scoring Criteria) Property Restrictions and Ag</w:t>
            </w:r>
            <w:r w:rsidRPr="007424E0">
              <w:rPr>
                <w:rFonts w:ascii="Times New Roman" w:eastAsia="Times New Roman" w:hAnsi="Times New Roman" w:cs="Times New Roman"/>
                <w:color w:val="000000"/>
                <w:sz w:val="20"/>
                <w:szCs w:val="20"/>
              </w:rPr>
              <w:t>e, is the property age counted from the original building date or from the substantial rehabilitation date </w:t>
            </w:r>
          </w:p>
          <w:p w14:paraId="5E2D65B5" w14:textId="77777777" w:rsidR="00412798" w:rsidRPr="007424E0" w:rsidRDefault="00412798" w:rsidP="00B35BE9">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0EA3A880" w14:textId="77777777" w:rsidR="00412798" w:rsidRPr="007424E0" w:rsidRDefault="00412798" w:rsidP="00B35BE9">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3783DE8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Property age is determined by the property’s placed in service date, as evidenced by the certificate(s) of occupancy. </w:t>
            </w:r>
          </w:p>
        </w:tc>
      </w:tr>
      <w:tr w:rsidR="00412798" w:rsidRPr="007424E0" w14:paraId="2FB1A6FC"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5B958AE4"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9/27/22</w:t>
            </w:r>
          </w:p>
        </w:tc>
        <w:tc>
          <w:tcPr>
            <w:tcW w:w="2663" w:type="dxa"/>
            <w:shd w:val="clear" w:color="auto" w:fill="auto"/>
            <w:tcMar>
              <w:top w:w="72" w:type="dxa"/>
              <w:left w:w="115" w:type="dxa"/>
              <w:bottom w:w="72" w:type="dxa"/>
              <w:right w:w="115" w:type="dxa"/>
            </w:tcMar>
            <w:vAlign w:val="center"/>
          </w:tcPr>
          <w:p w14:paraId="12FE2E76"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5.00</w:t>
            </w:r>
          </w:p>
          <w:p w14:paraId="3C493258" w14:textId="77777777" w:rsidR="00412798" w:rsidRPr="007424E0" w:rsidRDefault="00412798" w:rsidP="000F6D48">
            <w:pPr>
              <w:rPr>
                <w:rFonts w:ascii="Times New Roman" w:eastAsia="Times New Roman" w:hAnsi="Times New Roman" w:cs="Times New Roman"/>
                <w:sz w:val="20"/>
                <w:szCs w:val="20"/>
              </w:rPr>
            </w:pPr>
            <w:proofErr w:type="spellStart"/>
            <w:r w:rsidRPr="007424E0">
              <w:rPr>
                <w:rFonts w:ascii="Times New Roman" w:eastAsia="Times New Roman" w:hAnsi="Times New Roman" w:cs="Times New Roman"/>
                <w:sz w:val="20"/>
                <w:szCs w:val="20"/>
              </w:rPr>
              <w:t>Emphasys</w:t>
            </w:r>
            <w:proofErr w:type="spellEnd"/>
            <w:r w:rsidRPr="007424E0">
              <w:rPr>
                <w:rFonts w:ascii="Times New Roman" w:eastAsia="Times New Roman" w:hAnsi="Times New Roman" w:cs="Times New Roman"/>
                <w:sz w:val="20"/>
                <w:szCs w:val="20"/>
              </w:rPr>
              <w:t xml:space="preserve"> Application Portal</w:t>
            </w:r>
          </w:p>
        </w:tc>
        <w:tc>
          <w:tcPr>
            <w:tcW w:w="9585" w:type="dxa"/>
            <w:shd w:val="clear" w:color="auto" w:fill="auto"/>
            <w:tcMar>
              <w:top w:w="72" w:type="dxa"/>
              <w:left w:w="115" w:type="dxa"/>
              <w:bottom w:w="72" w:type="dxa"/>
              <w:right w:w="115" w:type="dxa"/>
            </w:tcMar>
            <w:vAlign w:val="center"/>
          </w:tcPr>
          <w:p w14:paraId="5F1D2CC3" w14:textId="77777777" w:rsidR="00412798" w:rsidRPr="007424E0" w:rsidRDefault="00412798" w:rsidP="00204539">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1012025273 </w:t>
            </w:r>
          </w:p>
          <w:p w14:paraId="7D4B2A06" w14:textId="77777777" w:rsidR="00412798" w:rsidRPr="007424E0" w:rsidRDefault="00412798" w:rsidP="00204539">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When the 4% Bonds Competitive Review has been submitted via </w:t>
            </w:r>
            <w:proofErr w:type="spellStart"/>
            <w:r w:rsidRPr="007424E0">
              <w:rPr>
                <w:rFonts w:ascii="Times New Roman" w:eastAsia="Times New Roman" w:hAnsi="Times New Roman" w:cs="Times New Roman"/>
                <w:color w:val="000000"/>
                <w:sz w:val="20"/>
                <w:szCs w:val="20"/>
              </w:rPr>
              <w:t>Emphasys</w:t>
            </w:r>
            <w:proofErr w:type="spellEnd"/>
            <w:r w:rsidRPr="007424E0">
              <w:rPr>
                <w:rFonts w:ascii="Times New Roman" w:eastAsia="Times New Roman" w:hAnsi="Times New Roman" w:cs="Times New Roman"/>
                <w:color w:val="000000"/>
                <w:sz w:val="20"/>
                <w:szCs w:val="20"/>
              </w:rPr>
              <w:t>, will applicants receive a written acknowledgment? </w:t>
            </w:r>
          </w:p>
          <w:p w14:paraId="47982BAE" w14:textId="77777777" w:rsidR="00412798" w:rsidRPr="007424E0" w:rsidRDefault="00412798" w:rsidP="00204539">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33D083A9" w14:textId="77777777" w:rsidR="00412798" w:rsidRPr="007424E0" w:rsidRDefault="00412798" w:rsidP="00204539">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lastRenderedPageBreak/>
              <w:t>Answer</w:t>
            </w:r>
            <w:r w:rsidRPr="007424E0">
              <w:rPr>
                <w:rFonts w:ascii="Times New Roman" w:eastAsia="Times New Roman" w:hAnsi="Times New Roman" w:cs="Times New Roman"/>
                <w:sz w:val="20"/>
                <w:szCs w:val="20"/>
              </w:rPr>
              <w:t>:  </w:t>
            </w:r>
          </w:p>
          <w:p w14:paraId="6157AEE1" w14:textId="77777777" w:rsidR="00412798" w:rsidRPr="007424E0" w:rsidRDefault="00412798" w:rsidP="00204539">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272727"/>
                <w:sz w:val="20"/>
                <w:szCs w:val="20"/>
              </w:rPr>
              <w:t>DCA will send email confirmation of receipt after an application is submitted. Confirmation emails for applications submitted before October 14 will be sent by COB the day after submission. For applications submitted on October 14 (Application Submission deadline), confirmation emails will be sent within an hour. </w:t>
            </w:r>
          </w:p>
          <w:p w14:paraId="7BDCC853" w14:textId="77777777" w:rsidR="00412798" w:rsidRPr="007424E0" w:rsidRDefault="00412798" w:rsidP="00204539">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272727"/>
                <w:sz w:val="20"/>
                <w:szCs w:val="20"/>
              </w:rPr>
              <w:t>If you do not receive a confirmation within the period defined above, please email Felecia Speakman (</w:t>
            </w:r>
            <w:hyperlink r:id="rId21" w:tgtFrame="_blank" w:history="1">
              <w:r w:rsidRPr="007424E0">
                <w:rPr>
                  <w:rFonts w:ascii="Times New Roman" w:eastAsia="Times New Roman" w:hAnsi="Times New Roman" w:cs="Times New Roman"/>
                  <w:color w:val="0563C1"/>
                  <w:sz w:val="20"/>
                  <w:szCs w:val="20"/>
                  <w:u w:val="single"/>
                </w:rPr>
                <w:t>Felecia.Speakman@dca.ga.gov</w:t>
              </w:r>
            </w:hyperlink>
            <w:r w:rsidRPr="007424E0">
              <w:rPr>
                <w:rFonts w:ascii="Times New Roman" w:eastAsia="Times New Roman" w:hAnsi="Times New Roman" w:cs="Times New Roman"/>
                <w:color w:val="272727"/>
                <w:sz w:val="20"/>
                <w:szCs w:val="20"/>
              </w:rPr>
              <w:t>) and Sanjana Zahin (</w:t>
            </w:r>
            <w:hyperlink r:id="rId22" w:tgtFrame="_blank" w:history="1">
              <w:r w:rsidRPr="007424E0">
                <w:rPr>
                  <w:rFonts w:ascii="Times New Roman" w:eastAsia="Times New Roman" w:hAnsi="Times New Roman" w:cs="Times New Roman"/>
                  <w:color w:val="0563C1"/>
                  <w:sz w:val="20"/>
                  <w:szCs w:val="20"/>
                  <w:u w:val="single"/>
                </w:rPr>
                <w:t>Sanjana.Zahin@dca.ga.gov</w:t>
              </w:r>
            </w:hyperlink>
            <w:r w:rsidRPr="007424E0">
              <w:rPr>
                <w:rFonts w:ascii="Times New Roman" w:eastAsia="Times New Roman" w:hAnsi="Times New Roman" w:cs="Times New Roman"/>
                <w:color w:val="272727"/>
                <w:sz w:val="20"/>
                <w:szCs w:val="20"/>
              </w:rPr>
              <w:t>). </w:t>
            </w:r>
          </w:p>
          <w:p w14:paraId="5FFE092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tc>
      </w:tr>
      <w:tr w:rsidR="00412798" w:rsidRPr="007424E0" w14:paraId="67112E18"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4D5FE385"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9/27/22</w:t>
            </w:r>
          </w:p>
        </w:tc>
        <w:tc>
          <w:tcPr>
            <w:tcW w:w="2663" w:type="dxa"/>
            <w:shd w:val="clear" w:color="auto" w:fill="auto"/>
            <w:tcMar>
              <w:top w:w="72" w:type="dxa"/>
              <w:left w:w="115" w:type="dxa"/>
              <w:bottom w:w="72" w:type="dxa"/>
              <w:right w:w="115" w:type="dxa"/>
            </w:tcMar>
            <w:vAlign w:val="center"/>
          </w:tcPr>
          <w:p w14:paraId="72A83437"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6.00</w:t>
            </w:r>
          </w:p>
          <w:p w14:paraId="39E8061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4%/Bonds Round Application Requirements and Procedures  </w:t>
            </w:r>
          </w:p>
        </w:tc>
        <w:tc>
          <w:tcPr>
            <w:tcW w:w="9585" w:type="dxa"/>
            <w:shd w:val="clear" w:color="auto" w:fill="auto"/>
            <w:tcMar>
              <w:top w:w="72" w:type="dxa"/>
              <w:left w:w="115" w:type="dxa"/>
              <w:bottom w:w="72" w:type="dxa"/>
              <w:right w:w="115" w:type="dxa"/>
            </w:tcMar>
            <w:vAlign w:val="center"/>
          </w:tcPr>
          <w:p w14:paraId="153E473F" w14:textId="77777777" w:rsidR="00412798" w:rsidRPr="007424E0" w:rsidRDefault="00412798" w:rsidP="00FA7715">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1012028005_2 </w:t>
            </w:r>
          </w:p>
          <w:p w14:paraId="113FF9C8" w14:textId="77777777" w:rsidR="00412798" w:rsidRPr="007424E0" w:rsidRDefault="00412798" w:rsidP="00FA7715">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In the DCA Workshop on 9/20 the following question was asked "After receiving allocation in the competitive round, are the pre-app and full app also competitive or do you maintain your allocation as long as you meet the requirements?" DCA responded "You maintain the allocation as long as you met the requirements." Will DCA clarify what is considered an "Allocation"? </w:t>
            </w:r>
          </w:p>
          <w:p w14:paraId="5E5E227B" w14:textId="77777777" w:rsidR="00412798" w:rsidRPr="007424E0" w:rsidRDefault="00412798" w:rsidP="00FA7715">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5C5DA4B2" w14:textId="77777777" w:rsidR="00412798" w:rsidRPr="007424E0" w:rsidRDefault="00412798" w:rsidP="00FA7715">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0F841C9B" w14:textId="77777777" w:rsidR="00412798" w:rsidRPr="007424E0" w:rsidRDefault="00412798" w:rsidP="00FA7715">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above statement simply means that the competitive elements of the 4% HTC/Bonds Round are limited to the October 14 Competitive Round submission. Applicants awarded under the Competitive Round must meet the remaining Threshold requirements by the designated Pre-Application and full Application deadlines to receive a Letter of Determination. </w:t>
            </w:r>
          </w:p>
          <w:p w14:paraId="5A4A14EA" w14:textId="77777777" w:rsidR="00412798" w:rsidRPr="007424E0" w:rsidRDefault="00412798" w:rsidP="003479E0">
            <w:pPr>
              <w:textAlignment w:val="baseline"/>
              <w:rPr>
                <w:rFonts w:ascii="Times New Roman" w:eastAsia="Times New Roman" w:hAnsi="Times New Roman" w:cs="Times New Roman"/>
                <w:b/>
                <w:bCs/>
                <w:sz w:val="20"/>
                <w:szCs w:val="20"/>
              </w:rPr>
            </w:pPr>
          </w:p>
        </w:tc>
      </w:tr>
      <w:tr w:rsidR="00412798" w:rsidRPr="007424E0" w14:paraId="705664F1"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19224DCD"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9/27/22</w:t>
            </w:r>
          </w:p>
        </w:tc>
        <w:tc>
          <w:tcPr>
            <w:tcW w:w="2663" w:type="dxa"/>
            <w:shd w:val="clear" w:color="auto" w:fill="auto"/>
            <w:tcMar>
              <w:top w:w="72" w:type="dxa"/>
              <w:left w:w="115" w:type="dxa"/>
              <w:bottom w:w="72" w:type="dxa"/>
              <w:right w:w="115" w:type="dxa"/>
            </w:tcMar>
            <w:vAlign w:val="center"/>
          </w:tcPr>
          <w:p w14:paraId="540F6758" w14:textId="77777777" w:rsidR="00412798" w:rsidRPr="007424E0" w:rsidRDefault="00412798" w:rsidP="006B2FF7">
            <w:pPr>
              <w:rPr>
                <w:rFonts w:ascii="Times New Roman" w:hAnsi="Times New Roman" w:cs="Times New Roman"/>
                <w:sz w:val="20"/>
                <w:szCs w:val="20"/>
              </w:rPr>
            </w:pPr>
            <w:r w:rsidRPr="007424E0">
              <w:rPr>
                <w:rFonts w:ascii="Times New Roman" w:hAnsi="Times New Roman" w:cs="Times New Roman"/>
                <w:sz w:val="20"/>
                <w:szCs w:val="20"/>
              </w:rPr>
              <w:t>6.00</w:t>
            </w:r>
          </w:p>
          <w:p w14:paraId="6DFC8BCF" w14:textId="77777777" w:rsidR="00412798" w:rsidRPr="007424E0" w:rsidRDefault="00412798" w:rsidP="006B2FF7">
            <w:pPr>
              <w:rPr>
                <w:rFonts w:ascii="Times New Roman" w:hAnsi="Times New Roman" w:cs="Times New Roman"/>
                <w:sz w:val="20"/>
                <w:szCs w:val="20"/>
              </w:rPr>
            </w:pPr>
            <w:r w:rsidRPr="007424E0">
              <w:rPr>
                <w:rFonts w:ascii="Times New Roman" w:hAnsi="Times New Roman" w:cs="Times New Roman"/>
                <w:sz w:val="20"/>
                <w:szCs w:val="20"/>
              </w:rPr>
              <w:t xml:space="preserve">4%/Bonds Round Application Requirements and Procedures  </w:t>
            </w:r>
          </w:p>
          <w:p w14:paraId="0C8C732C" w14:textId="77777777" w:rsidR="00412798" w:rsidRPr="007424E0" w:rsidRDefault="00412798" w:rsidP="000F6D48">
            <w:pPr>
              <w:rPr>
                <w:rFonts w:ascii="Times New Roman" w:eastAsia="Times New Roman" w:hAnsi="Times New Roman" w:cs="Times New Roman"/>
                <w:sz w:val="20"/>
                <w:szCs w:val="20"/>
              </w:rPr>
            </w:pPr>
          </w:p>
        </w:tc>
        <w:tc>
          <w:tcPr>
            <w:tcW w:w="9585" w:type="dxa"/>
            <w:shd w:val="clear" w:color="auto" w:fill="auto"/>
            <w:tcMar>
              <w:top w:w="72" w:type="dxa"/>
              <w:left w:w="115" w:type="dxa"/>
              <w:bottom w:w="72" w:type="dxa"/>
              <w:right w:w="115" w:type="dxa"/>
            </w:tcMar>
            <w:vAlign w:val="center"/>
          </w:tcPr>
          <w:p w14:paraId="032B12EA" w14:textId="77777777" w:rsidR="00412798" w:rsidRPr="007424E0" w:rsidRDefault="00412798" w:rsidP="0007184D">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1012441791 </w:t>
            </w:r>
          </w:p>
          <w:p w14:paraId="268149C4" w14:textId="77777777" w:rsidR="00412798" w:rsidRPr="007424E0" w:rsidRDefault="00412798" w:rsidP="0007184D">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Do investor/lender letters of intent need to be submitted for the 4% competitive round 10/14 submission? </w:t>
            </w:r>
          </w:p>
          <w:p w14:paraId="48F7A4DE" w14:textId="77777777" w:rsidR="00412798" w:rsidRPr="007424E0" w:rsidRDefault="00412798" w:rsidP="0007184D">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5F7CC01F" w14:textId="77777777" w:rsidR="00412798" w:rsidRPr="007424E0" w:rsidRDefault="00412798" w:rsidP="0007184D">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4FE35F8B" w14:textId="77777777" w:rsidR="00412798" w:rsidRPr="007424E0" w:rsidRDefault="00412798" w:rsidP="0007184D">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DCA will not list or confirm specific documentation requirements. Applicants are responsible for determining documentation necessary to pass Threshold sections and claim points in Scoring sections applicable to the 4% HTC/Bonds Competitive Round. </w:t>
            </w:r>
          </w:p>
          <w:p w14:paraId="60D5421E" w14:textId="77777777" w:rsidR="00412798" w:rsidRPr="007424E0" w:rsidRDefault="00412798" w:rsidP="003479E0">
            <w:pPr>
              <w:textAlignment w:val="baseline"/>
              <w:rPr>
                <w:rFonts w:ascii="Times New Roman" w:eastAsia="Times New Roman" w:hAnsi="Times New Roman" w:cs="Times New Roman"/>
                <w:b/>
                <w:bCs/>
                <w:sz w:val="20"/>
                <w:szCs w:val="20"/>
              </w:rPr>
            </w:pPr>
          </w:p>
        </w:tc>
      </w:tr>
      <w:tr w:rsidR="00412798" w:rsidRPr="007424E0" w14:paraId="7199AC6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D6B6EE8"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9/27/22</w:t>
            </w:r>
          </w:p>
        </w:tc>
        <w:tc>
          <w:tcPr>
            <w:tcW w:w="2663" w:type="dxa"/>
            <w:shd w:val="clear" w:color="auto" w:fill="auto"/>
            <w:tcMar>
              <w:top w:w="72" w:type="dxa"/>
              <w:left w:w="115" w:type="dxa"/>
              <w:bottom w:w="72" w:type="dxa"/>
              <w:right w:w="115" w:type="dxa"/>
            </w:tcMar>
            <w:vAlign w:val="center"/>
          </w:tcPr>
          <w:p w14:paraId="5D8A8FC6" w14:textId="77777777" w:rsidR="00412798" w:rsidRPr="007424E0" w:rsidRDefault="00412798" w:rsidP="00052A87">
            <w:pPr>
              <w:rPr>
                <w:rFonts w:ascii="Times New Roman" w:hAnsi="Times New Roman" w:cs="Times New Roman"/>
                <w:sz w:val="20"/>
                <w:szCs w:val="20"/>
              </w:rPr>
            </w:pPr>
            <w:r w:rsidRPr="007424E0">
              <w:rPr>
                <w:rFonts w:ascii="Times New Roman" w:hAnsi="Times New Roman" w:cs="Times New Roman"/>
                <w:sz w:val="20"/>
                <w:szCs w:val="20"/>
              </w:rPr>
              <w:t>6.00</w:t>
            </w:r>
          </w:p>
          <w:p w14:paraId="27BA8270" w14:textId="77777777" w:rsidR="00412798" w:rsidRPr="007424E0" w:rsidRDefault="00412798" w:rsidP="00052A87">
            <w:pPr>
              <w:rPr>
                <w:rFonts w:ascii="Times New Roman" w:hAnsi="Times New Roman" w:cs="Times New Roman"/>
                <w:sz w:val="20"/>
                <w:szCs w:val="20"/>
              </w:rPr>
            </w:pPr>
            <w:r w:rsidRPr="007424E0">
              <w:rPr>
                <w:rFonts w:ascii="Times New Roman" w:hAnsi="Times New Roman" w:cs="Times New Roman"/>
                <w:sz w:val="20"/>
                <w:szCs w:val="20"/>
              </w:rPr>
              <w:t xml:space="preserve">4%/Bonds Round Application Requirements and Procedures  </w:t>
            </w:r>
          </w:p>
          <w:p w14:paraId="392ABE8E" w14:textId="77777777" w:rsidR="00412798" w:rsidRPr="007424E0" w:rsidRDefault="00412798" w:rsidP="000F6D48">
            <w:pPr>
              <w:rPr>
                <w:rFonts w:ascii="Times New Roman" w:eastAsia="Times New Roman" w:hAnsi="Times New Roman" w:cs="Times New Roman"/>
                <w:sz w:val="20"/>
                <w:szCs w:val="20"/>
              </w:rPr>
            </w:pPr>
          </w:p>
        </w:tc>
        <w:tc>
          <w:tcPr>
            <w:tcW w:w="9585" w:type="dxa"/>
            <w:shd w:val="clear" w:color="auto" w:fill="auto"/>
            <w:tcMar>
              <w:top w:w="72" w:type="dxa"/>
              <w:left w:w="115" w:type="dxa"/>
              <w:bottom w:w="72" w:type="dxa"/>
              <w:right w:w="115" w:type="dxa"/>
            </w:tcMar>
            <w:vAlign w:val="center"/>
          </w:tcPr>
          <w:p w14:paraId="37DD2C72" w14:textId="77777777" w:rsidR="00412798" w:rsidRPr="007424E0" w:rsidRDefault="00412798" w:rsidP="00DB36EF">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1011621366</w:t>
            </w:r>
          </w:p>
          <w:p w14:paraId="3AFEE99B" w14:textId="77777777" w:rsidR="00412798" w:rsidRPr="007424E0" w:rsidRDefault="00412798" w:rsidP="00DB36EF">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Will there be a new/different Core Application released for the 4% competitive round deadline on October 14th? The DCA website currently has a 2022 Core Application, but states that it is for 9% deals only. What Core Application will be required for the 4% round and when will it become available if it has not been released yet? </w:t>
            </w:r>
          </w:p>
          <w:p w14:paraId="6054B121" w14:textId="77777777" w:rsidR="00412798" w:rsidRPr="007424E0" w:rsidRDefault="00412798" w:rsidP="00DB36EF">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2C1C2651" w14:textId="77777777" w:rsidR="00412798" w:rsidRPr="007424E0" w:rsidRDefault="00412798" w:rsidP="00DB36EF">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Is there a 4% </w:t>
            </w:r>
            <w:proofErr w:type="spellStart"/>
            <w:r w:rsidRPr="007424E0">
              <w:rPr>
                <w:rFonts w:ascii="Times New Roman" w:eastAsia="Times New Roman" w:hAnsi="Times New Roman" w:cs="Times New Roman"/>
                <w:color w:val="000000"/>
                <w:sz w:val="20"/>
                <w:szCs w:val="20"/>
              </w:rPr>
              <w:t>Emphasys</w:t>
            </w:r>
            <w:proofErr w:type="spellEnd"/>
            <w:r w:rsidRPr="007424E0">
              <w:rPr>
                <w:rFonts w:ascii="Times New Roman" w:eastAsia="Times New Roman" w:hAnsi="Times New Roman" w:cs="Times New Roman"/>
                <w:color w:val="000000"/>
                <w:sz w:val="20"/>
                <w:szCs w:val="20"/>
              </w:rPr>
              <w:t xml:space="preserve"> Instruction Manual or Link? Instructions on the website appear to only pertain to 9% Currently. </w:t>
            </w:r>
          </w:p>
          <w:p w14:paraId="4EF6B769" w14:textId="77777777" w:rsidR="00412798" w:rsidRPr="007424E0" w:rsidRDefault="00412798" w:rsidP="00DB36EF">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69E703A5" w14:textId="77777777" w:rsidR="00412798" w:rsidRPr="007424E0" w:rsidRDefault="00412798" w:rsidP="00DB36EF">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lastRenderedPageBreak/>
              <w:t>Answer</w:t>
            </w:r>
            <w:r w:rsidRPr="007424E0">
              <w:rPr>
                <w:rFonts w:ascii="Times New Roman" w:eastAsia="Times New Roman" w:hAnsi="Times New Roman" w:cs="Times New Roman"/>
                <w:sz w:val="20"/>
                <w:szCs w:val="20"/>
              </w:rPr>
              <w:t>:  </w:t>
            </w:r>
          </w:p>
          <w:p w14:paraId="5E83BC3D" w14:textId="77777777" w:rsidR="00412798" w:rsidRPr="007424E0" w:rsidRDefault="00412798" w:rsidP="00DB36EF">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Excel Core Application and </w:t>
            </w:r>
            <w:proofErr w:type="spellStart"/>
            <w:r w:rsidRPr="007424E0">
              <w:rPr>
                <w:rFonts w:ascii="Times New Roman" w:eastAsia="Times New Roman" w:hAnsi="Times New Roman" w:cs="Times New Roman"/>
                <w:sz w:val="20"/>
                <w:szCs w:val="20"/>
              </w:rPr>
              <w:t>Emphasys</w:t>
            </w:r>
            <w:proofErr w:type="spellEnd"/>
            <w:r w:rsidRPr="007424E0">
              <w:rPr>
                <w:rFonts w:ascii="Times New Roman" w:eastAsia="Times New Roman" w:hAnsi="Times New Roman" w:cs="Times New Roman"/>
                <w:sz w:val="20"/>
                <w:szCs w:val="20"/>
              </w:rPr>
              <w:t xml:space="preserve"> instructions for this 4% HTC/Bonds Round have been published to the 2022 4% HTC/Bonds Competitive Round page of the DCA website (</w:t>
            </w:r>
            <w:hyperlink r:id="rId23" w:tgtFrame="_blank" w:history="1">
              <w:r w:rsidRPr="007424E0">
                <w:rPr>
                  <w:rFonts w:ascii="Times New Roman" w:eastAsia="Times New Roman" w:hAnsi="Times New Roman" w:cs="Times New Roman"/>
                  <w:color w:val="0563C1"/>
                  <w:sz w:val="20"/>
                  <w:szCs w:val="20"/>
                  <w:u w:val="single"/>
                </w:rPr>
                <w:t>click here</w:t>
              </w:r>
            </w:hyperlink>
            <w:r w:rsidRPr="007424E0">
              <w:rPr>
                <w:rFonts w:ascii="Times New Roman" w:eastAsia="Times New Roman" w:hAnsi="Times New Roman" w:cs="Times New Roman"/>
                <w:sz w:val="20"/>
                <w:szCs w:val="20"/>
              </w:rPr>
              <w:t>). </w:t>
            </w:r>
          </w:p>
          <w:p w14:paraId="7ED94E31"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4D9FD006"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2F78D0E7"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9/27/22</w:t>
            </w:r>
          </w:p>
        </w:tc>
        <w:tc>
          <w:tcPr>
            <w:tcW w:w="2663" w:type="dxa"/>
            <w:shd w:val="clear" w:color="auto" w:fill="auto"/>
            <w:tcMar>
              <w:top w:w="72" w:type="dxa"/>
              <w:left w:w="115" w:type="dxa"/>
              <w:bottom w:w="72" w:type="dxa"/>
              <w:right w:w="115" w:type="dxa"/>
            </w:tcMar>
            <w:vAlign w:val="center"/>
          </w:tcPr>
          <w:p w14:paraId="48F2F8C5" w14:textId="77777777" w:rsidR="00412798" w:rsidRPr="007424E0" w:rsidRDefault="00412798" w:rsidP="003F5598">
            <w:pPr>
              <w:rPr>
                <w:rFonts w:ascii="Times New Roman" w:hAnsi="Times New Roman" w:cs="Times New Roman"/>
                <w:sz w:val="20"/>
                <w:szCs w:val="20"/>
              </w:rPr>
            </w:pPr>
            <w:r w:rsidRPr="007424E0">
              <w:rPr>
                <w:rFonts w:ascii="Times New Roman" w:hAnsi="Times New Roman" w:cs="Times New Roman"/>
                <w:sz w:val="20"/>
                <w:szCs w:val="20"/>
              </w:rPr>
              <w:t>6.00</w:t>
            </w:r>
          </w:p>
          <w:p w14:paraId="2C3E8904" w14:textId="77777777" w:rsidR="00412798" w:rsidRPr="007424E0" w:rsidRDefault="00412798" w:rsidP="003F5598">
            <w:pPr>
              <w:rPr>
                <w:rFonts w:ascii="Times New Roman" w:hAnsi="Times New Roman" w:cs="Times New Roman"/>
                <w:sz w:val="20"/>
                <w:szCs w:val="20"/>
              </w:rPr>
            </w:pPr>
            <w:r w:rsidRPr="007424E0">
              <w:rPr>
                <w:rFonts w:ascii="Times New Roman" w:hAnsi="Times New Roman" w:cs="Times New Roman"/>
                <w:sz w:val="20"/>
                <w:szCs w:val="20"/>
              </w:rPr>
              <w:t xml:space="preserve">4%/Bonds Round Application Requirements and Procedures  </w:t>
            </w:r>
          </w:p>
          <w:p w14:paraId="761B240F" w14:textId="77777777" w:rsidR="00412798" w:rsidRPr="007424E0" w:rsidRDefault="00412798" w:rsidP="00185971">
            <w:pPr>
              <w:rPr>
                <w:rFonts w:ascii="Times New Roman" w:hAnsi="Times New Roman" w:cs="Times New Roman"/>
                <w:sz w:val="20"/>
                <w:szCs w:val="20"/>
              </w:rPr>
            </w:pPr>
          </w:p>
          <w:p w14:paraId="0A4349D7"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(also 1.14</w:t>
            </w:r>
          </w:p>
          <w:p w14:paraId="52747048"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Core Plan;</w:t>
            </w:r>
          </w:p>
          <w:p w14:paraId="58045651"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Project Reconfiguration/</w:t>
            </w:r>
          </w:p>
          <w:p w14:paraId="39704B4D" w14:textId="77777777" w:rsidR="00412798" w:rsidRPr="007424E0" w:rsidRDefault="00412798" w:rsidP="00185971">
            <w:pPr>
              <w:rPr>
                <w:rFonts w:ascii="Times New Roman" w:hAnsi="Times New Roman" w:cs="Times New Roman"/>
                <w:sz w:val="20"/>
                <w:szCs w:val="20"/>
              </w:rPr>
            </w:pPr>
            <w:r w:rsidRPr="007424E0">
              <w:rPr>
                <w:rFonts w:ascii="Times New Roman" w:hAnsi="Times New Roman" w:cs="Times New Roman"/>
                <w:sz w:val="20"/>
                <w:szCs w:val="20"/>
              </w:rPr>
              <w:t>Application Modification)</w:t>
            </w:r>
          </w:p>
        </w:tc>
        <w:tc>
          <w:tcPr>
            <w:tcW w:w="9585" w:type="dxa"/>
            <w:shd w:val="clear" w:color="auto" w:fill="auto"/>
            <w:tcMar>
              <w:top w:w="72" w:type="dxa"/>
              <w:left w:w="115" w:type="dxa"/>
              <w:bottom w:w="72" w:type="dxa"/>
              <w:right w:w="115" w:type="dxa"/>
            </w:tcMar>
            <w:vAlign w:val="center"/>
          </w:tcPr>
          <w:p w14:paraId="240595B4" w14:textId="77777777" w:rsidR="00412798" w:rsidRPr="007424E0" w:rsidRDefault="00412798" w:rsidP="00690A7E">
            <w:pPr>
              <w:textAlignment w:val="baseline"/>
              <w:rPr>
                <w:rFonts w:ascii="Times New Roman" w:eastAsia="Times New Roman" w:hAnsi="Times New Roman" w:cs="Times New Roman"/>
                <w:sz w:val="20"/>
                <w:szCs w:val="20"/>
              </w:rPr>
            </w:pPr>
            <w:r w:rsidRPr="007424E0">
              <w:rPr>
                <w:rFonts w:ascii="Times New Roman" w:hAnsi="Times New Roman" w:cs="Times New Roman"/>
                <w:b/>
                <w:bCs/>
                <w:sz w:val="20"/>
                <w:szCs w:val="20"/>
              </w:rPr>
              <w:t>Question ID</w:t>
            </w:r>
            <w:r w:rsidRPr="007424E0">
              <w:rPr>
                <w:rFonts w:ascii="Times New Roman" w:hAnsi="Times New Roman" w:cs="Times New Roman"/>
                <w:sz w:val="20"/>
                <w:szCs w:val="20"/>
              </w:rPr>
              <w:t>:</w:t>
            </w:r>
            <w:r w:rsidRPr="007424E0">
              <w:rPr>
                <w:rFonts w:ascii="Times New Roman" w:eastAsia="Times New Roman" w:hAnsi="Times New Roman" w:cs="Times New Roman"/>
                <w:b/>
                <w:bCs/>
                <w:sz w:val="20"/>
                <w:szCs w:val="20"/>
              </w:rPr>
              <w:t xml:space="preserve"> </w:t>
            </w:r>
            <w:r w:rsidRPr="007424E0">
              <w:rPr>
                <w:rFonts w:ascii="Times New Roman" w:eastAsia="Times New Roman" w:hAnsi="Times New Roman" w:cs="Times New Roman"/>
                <w:color w:val="000000"/>
                <w:sz w:val="20"/>
                <w:szCs w:val="20"/>
              </w:rPr>
              <w:t>997617189 </w:t>
            </w:r>
          </w:p>
          <w:p w14:paraId="054CCDDF" w14:textId="77777777" w:rsidR="00412798" w:rsidRPr="007424E0" w:rsidRDefault="00412798" w:rsidP="00690A7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We submitted a project for the 2022 9% LIHTC application round since we were unsure if DCA would have any 4% LIHTC and bond allocation available this year. However, the 4% LIHTC and tax-exempt bonds work better for our deal and will allow us to maximize the amount of rehab we can do at the property. We would like to submit the same project for the 4% LIHTC and tax-exempt bond round, however, we don't want to jeopardize either application.  </w:t>
            </w:r>
          </w:p>
          <w:p w14:paraId="6E828F51" w14:textId="77777777" w:rsidR="00412798" w:rsidRPr="007424E0" w:rsidRDefault="00412798" w:rsidP="00690A7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21C1162E" w14:textId="77777777" w:rsidR="00412798" w:rsidRPr="007424E0" w:rsidRDefault="00412798" w:rsidP="00690A7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If we end up receiving the 9% LIHTC award, can we move forward with the application process for the 4% and choose which funding works best for our deal if we receive both allocations? Would DCA consider a project to utilize both 9% and 4% tax credits together? </w:t>
            </w:r>
            <w:r w:rsidRPr="007424E0">
              <w:rPr>
                <w:rFonts w:ascii="Times New Roman" w:eastAsia="Times New Roman" w:hAnsi="Times New Roman" w:cs="Times New Roman"/>
                <w:color w:val="000000"/>
                <w:sz w:val="20"/>
                <w:szCs w:val="20"/>
              </w:rPr>
              <w:br/>
              <w:t> </w:t>
            </w:r>
          </w:p>
          <w:p w14:paraId="077CB104" w14:textId="77777777" w:rsidR="00412798" w:rsidRPr="007424E0" w:rsidRDefault="00412798" w:rsidP="007960CD">
            <w:pPr>
              <w:rPr>
                <w:rFonts w:ascii="Times New Roman" w:hAnsi="Times New Roman" w:cs="Times New Roman"/>
                <w:b/>
                <w:bCs/>
                <w:sz w:val="20"/>
                <w:szCs w:val="20"/>
              </w:rPr>
            </w:pPr>
            <w:r w:rsidRPr="007424E0">
              <w:rPr>
                <w:rFonts w:ascii="Times New Roman" w:hAnsi="Times New Roman" w:cs="Times New Roman"/>
                <w:b/>
                <w:bCs/>
                <w:sz w:val="20"/>
                <w:szCs w:val="20"/>
              </w:rPr>
              <w:t>Answer:  </w:t>
            </w:r>
          </w:p>
          <w:p w14:paraId="559F92CF" w14:textId="77777777" w:rsidR="00412798" w:rsidRPr="007424E0" w:rsidRDefault="00412798" w:rsidP="00690A7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There is no risk associated with submitting the same development under both the 9% Round and the 4%/Bonds Round. If awarded under both, yes, you can choose which funding works best for the development. Although there is no risk associated with this, DCA may charge an additional fee for any return of credits. </w:t>
            </w:r>
          </w:p>
          <w:p w14:paraId="65CFFD6B" w14:textId="77777777" w:rsidR="00412798" w:rsidRPr="007424E0" w:rsidRDefault="00412798" w:rsidP="00690A7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739D320" w14:textId="77777777" w:rsidR="00412798" w:rsidRPr="007424E0" w:rsidRDefault="00412798" w:rsidP="00690A7E">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However, DCA will not allow applicants to revise applications after receiving an award to allow for twinning (combining 9% and 4% credits for the same development), as both DCA resources are highly competitive. If awarded under both competitive rounds, you must choose whether to pursue the 9% award alone or the 4%/bonds award alone.  </w:t>
            </w:r>
          </w:p>
          <w:p w14:paraId="006569FD" w14:textId="77777777" w:rsidR="00412798" w:rsidRPr="007424E0" w:rsidRDefault="00412798" w:rsidP="00FA7715">
            <w:pPr>
              <w:textAlignment w:val="baseline"/>
              <w:rPr>
                <w:rFonts w:ascii="Times New Roman" w:eastAsia="Times New Roman" w:hAnsi="Times New Roman" w:cs="Times New Roman"/>
                <w:b/>
                <w:bCs/>
                <w:sz w:val="20"/>
                <w:szCs w:val="20"/>
              </w:rPr>
            </w:pPr>
          </w:p>
        </w:tc>
      </w:tr>
      <w:tr w:rsidR="00412798" w:rsidRPr="007424E0" w14:paraId="7D5BF488"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06FC4A1B"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9/22/22</w:t>
            </w:r>
          </w:p>
        </w:tc>
        <w:tc>
          <w:tcPr>
            <w:tcW w:w="2663" w:type="dxa"/>
            <w:shd w:val="clear" w:color="auto" w:fill="auto"/>
            <w:tcMar>
              <w:top w:w="72" w:type="dxa"/>
              <w:left w:w="115" w:type="dxa"/>
              <w:bottom w:w="72" w:type="dxa"/>
              <w:right w:w="115" w:type="dxa"/>
            </w:tcMar>
            <w:vAlign w:val="center"/>
          </w:tcPr>
          <w:p w14:paraId="17B39A18"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1.10 </w:t>
            </w:r>
          </w:p>
          <w:p w14:paraId="602B4B9B"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Core Plan;</w:t>
            </w:r>
          </w:p>
          <w:p w14:paraId="78005EAF"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4% Federal Credit – Bond Financed Projects</w:t>
            </w:r>
          </w:p>
        </w:tc>
        <w:tc>
          <w:tcPr>
            <w:tcW w:w="9585" w:type="dxa"/>
            <w:shd w:val="clear" w:color="auto" w:fill="auto"/>
            <w:tcMar>
              <w:top w:w="72" w:type="dxa"/>
              <w:left w:w="115" w:type="dxa"/>
              <w:bottom w:w="72" w:type="dxa"/>
              <w:right w:w="115" w:type="dxa"/>
            </w:tcMar>
            <w:vAlign w:val="center"/>
          </w:tcPr>
          <w:p w14:paraId="413D5690" w14:textId="77777777" w:rsidR="00412798" w:rsidRPr="007424E0" w:rsidRDefault="00412798" w:rsidP="000F6D48">
            <w:pPr>
              <w:textAlignment w:val="baseline"/>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Question ID: 1000941935</w:t>
            </w:r>
          </w:p>
          <w:p w14:paraId="692E96D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Can DCA please provide insight on the QAP language (Core Plan) 4% Federal Credit - Bond Financed Projects, subsections C) and D) and the following question? </w:t>
            </w:r>
          </w:p>
          <w:p w14:paraId="3B5ECA92" w14:textId="77777777" w:rsidR="00412798" w:rsidRPr="007424E0" w:rsidRDefault="00412798" w:rsidP="000F6D48">
            <w:pPr>
              <w:textAlignment w:val="baseline"/>
              <w:rPr>
                <w:rFonts w:ascii="Times New Roman" w:eastAsia="Times New Roman" w:hAnsi="Times New Roman" w:cs="Times New Roman"/>
                <w:b/>
                <w:bCs/>
                <w:sz w:val="20"/>
                <w:szCs w:val="20"/>
              </w:rPr>
            </w:pPr>
          </w:p>
          <w:p w14:paraId="3E8E098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Will a Public Housing Authority, participating in an application for 20% ownership through a Private Enterprise Agreement structure, be subject to only two applications? Or is the language intended for the Developer to be limited to two applications? We are looking to submit in October with a PHA who partners with an affiliated development company. The PHA wants more developers to be active in their jurisdiction but is already planning to submit two applications through their related development company.</w:t>
            </w:r>
          </w:p>
          <w:p w14:paraId="6A1116C6" w14:textId="77777777" w:rsidR="00412798" w:rsidRPr="007424E0" w:rsidRDefault="00412798" w:rsidP="000F6D48">
            <w:pPr>
              <w:textAlignment w:val="baseline"/>
              <w:rPr>
                <w:rFonts w:ascii="Times New Roman" w:eastAsia="Times New Roman" w:hAnsi="Times New Roman" w:cs="Times New Roman"/>
                <w:sz w:val="20"/>
                <w:szCs w:val="20"/>
              </w:rPr>
            </w:pPr>
          </w:p>
          <w:p w14:paraId="2CA39EB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lastRenderedPageBreak/>
              <w:t>I would think that DCA is not intending to cap applications for Public Housing Authorities looking to joint venture...but based on the wording in the QAP I was unclear.</w:t>
            </w:r>
          </w:p>
          <w:p w14:paraId="1C0DBFAF" w14:textId="77777777" w:rsidR="00412798" w:rsidRPr="007424E0" w:rsidRDefault="00412798" w:rsidP="000F6D48">
            <w:pPr>
              <w:textAlignment w:val="baseline"/>
              <w:rPr>
                <w:rFonts w:ascii="Times New Roman" w:eastAsia="Times New Roman" w:hAnsi="Times New Roman" w:cs="Times New Roman"/>
                <w:b/>
                <w:bCs/>
                <w:sz w:val="20"/>
                <w:szCs w:val="20"/>
              </w:rPr>
            </w:pPr>
          </w:p>
          <w:p w14:paraId="567F5C30" w14:textId="77777777" w:rsidR="00412798" w:rsidRPr="007424E0" w:rsidRDefault="00412798" w:rsidP="000F6D48">
            <w:pPr>
              <w:textAlignment w:val="baseline"/>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 xml:space="preserve">Answer: </w:t>
            </w:r>
          </w:p>
          <w:p w14:paraId="6F007F7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application limitation and the award limitation rely on the terms “qualified Developer,” “Applicant,” and “General Partner” (per (Core Plan) Definitions, “Applicant” and “General Partner” are synonymous).  </w:t>
            </w:r>
          </w:p>
          <w:p w14:paraId="0126025F" w14:textId="77777777" w:rsidR="00412798" w:rsidRPr="007424E0" w:rsidRDefault="00412798" w:rsidP="000F6D48">
            <w:pPr>
              <w:textAlignment w:val="baseline"/>
              <w:rPr>
                <w:rFonts w:ascii="Times New Roman" w:eastAsia="Times New Roman" w:hAnsi="Times New Roman" w:cs="Times New Roman"/>
                <w:sz w:val="20"/>
                <w:szCs w:val="20"/>
              </w:rPr>
            </w:pPr>
          </w:p>
          <w:p w14:paraId="2A35B4C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Both the Applicant/General Partner definition and the Developer definition encompass “entities that have a direct or indirect ownership” in the General Partner/Developer entity. Please review (Core Plan) Definitions to confirm whether other aspects of the definition may impact your circumstances. </w:t>
            </w:r>
          </w:p>
          <w:p w14:paraId="69650DF5" w14:textId="77777777" w:rsidR="00412798" w:rsidRPr="007424E0" w:rsidRDefault="00412798" w:rsidP="000F6D48">
            <w:pPr>
              <w:textAlignment w:val="baseline"/>
              <w:rPr>
                <w:rFonts w:ascii="Times New Roman" w:eastAsia="Times New Roman" w:hAnsi="Times New Roman" w:cs="Times New Roman"/>
                <w:sz w:val="20"/>
                <w:szCs w:val="20"/>
              </w:rPr>
            </w:pPr>
          </w:p>
          <w:p w14:paraId="64D5694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If the PHA is covered under any of the above, the application limitation and/or award limitation applies. DCA has received public input that this limitation is not appropriate given the integral role that PHAs play in 4%/Bonds developments. DCA will not disregard the 2022 QAP language for purposes of the 2022 4%/Bonds Round but will consider this public input for purposes of the 2023 QAP.</w:t>
            </w:r>
          </w:p>
          <w:p w14:paraId="6A348EEC"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0BE0E8F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4BC10ED3" w14:textId="77777777" w:rsidR="00412798" w:rsidRPr="007424E0" w:rsidRDefault="00412798" w:rsidP="64301FE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9/22/22</w:t>
            </w:r>
          </w:p>
        </w:tc>
        <w:tc>
          <w:tcPr>
            <w:tcW w:w="2663" w:type="dxa"/>
            <w:shd w:val="clear" w:color="auto" w:fill="auto"/>
            <w:tcMar>
              <w:top w:w="72" w:type="dxa"/>
              <w:left w:w="115" w:type="dxa"/>
              <w:bottom w:w="72" w:type="dxa"/>
              <w:right w:w="115" w:type="dxa"/>
            </w:tcMar>
            <w:vAlign w:val="center"/>
          </w:tcPr>
          <w:p w14:paraId="48629396" w14:textId="77777777" w:rsidR="00412798" w:rsidRPr="007424E0" w:rsidRDefault="00412798" w:rsidP="64301FE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2.21 </w:t>
            </w:r>
          </w:p>
          <w:p w14:paraId="08C4C0A8" w14:textId="77777777" w:rsidR="00412798" w:rsidRPr="007424E0" w:rsidRDefault="00412798" w:rsidP="64301FE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 Criteria;</w:t>
            </w:r>
          </w:p>
          <w:p w14:paraId="7F1F945D" w14:textId="77777777" w:rsidR="00412798" w:rsidRPr="007424E0" w:rsidRDefault="00412798" w:rsidP="64301FE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Eligibility for Credit Under the Preservation Set Asides</w:t>
            </w:r>
          </w:p>
        </w:tc>
        <w:tc>
          <w:tcPr>
            <w:tcW w:w="9585" w:type="dxa"/>
            <w:shd w:val="clear" w:color="auto" w:fill="auto"/>
            <w:tcMar>
              <w:top w:w="72" w:type="dxa"/>
              <w:left w:w="115" w:type="dxa"/>
              <w:bottom w:w="72" w:type="dxa"/>
              <w:right w:w="115" w:type="dxa"/>
            </w:tcMar>
            <w:vAlign w:val="center"/>
          </w:tcPr>
          <w:p w14:paraId="798BC1D9" w14:textId="77777777" w:rsidR="00412798" w:rsidRPr="007424E0" w:rsidRDefault="00412798" w:rsidP="007040CC">
            <w:pPr>
              <w:textAlignment w:val="baseline"/>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b/>
                <w:bCs/>
                <w:color w:val="000000"/>
                <w:sz w:val="20"/>
                <w:szCs w:val="20"/>
              </w:rPr>
              <w:t>1002018951 </w:t>
            </w:r>
          </w:p>
          <w:p w14:paraId="01988AA9" w14:textId="77777777" w:rsidR="00412798" w:rsidRPr="007424E0" w:rsidRDefault="00412798" w:rsidP="007040C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We will be submitting an application for tax-exempt bonds and the 4% credit. It will be submitted as a Preservation deal. I would like to confirm that, as there is no RAD set aside for 4% deals, we will not be required to submit HUD approval for the RAD conversion or the RAD CHAP as part of our application. </w:t>
            </w:r>
          </w:p>
          <w:p w14:paraId="540C2D5D" w14:textId="77777777" w:rsidR="00412798" w:rsidRPr="007424E0" w:rsidRDefault="00412798" w:rsidP="007040CC">
            <w:pPr>
              <w:textAlignment w:val="baseline"/>
              <w:rPr>
                <w:rFonts w:ascii="Times New Roman" w:eastAsia="Times New Roman" w:hAnsi="Times New Roman" w:cs="Times New Roman"/>
                <w:sz w:val="20"/>
                <w:szCs w:val="20"/>
              </w:rPr>
            </w:pPr>
          </w:p>
          <w:p w14:paraId="72353CEC" w14:textId="77777777" w:rsidR="00412798" w:rsidRPr="007424E0" w:rsidRDefault="00412798" w:rsidP="007040C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7F6F23DD" w14:textId="77777777" w:rsidR="00412798" w:rsidRPr="007424E0" w:rsidRDefault="00412798" w:rsidP="007040CC">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You are correct that the requirements for RAD developments listed under </w:t>
            </w:r>
            <w:r w:rsidRPr="007424E0">
              <w:rPr>
                <w:rFonts w:ascii="Times New Roman" w:eastAsia="Times New Roman" w:hAnsi="Times New Roman" w:cs="Times New Roman"/>
                <w:b/>
                <w:bCs/>
                <w:sz w:val="20"/>
                <w:szCs w:val="20"/>
              </w:rPr>
              <w:t>Eligibility for Credit Under the Preservation Set Asides</w:t>
            </w:r>
            <w:r w:rsidRPr="007424E0">
              <w:rPr>
                <w:rFonts w:ascii="Times New Roman" w:eastAsia="Times New Roman" w:hAnsi="Times New Roman" w:cs="Times New Roman"/>
                <w:sz w:val="20"/>
                <w:szCs w:val="20"/>
              </w:rPr>
              <w:t xml:space="preserve"> are not required for purposes of the 4%/Bonds Round. This section is not required for purposes of 4% Competitive Review (see </w:t>
            </w:r>
            <w:r w:rsidRPr="007424E0">
              <w:rPr>
                <w:rFonts w:ascii="Times New Roman" w:eastAsia="Times New Roman" w:hAnsi="Times New Roman" w:cs="Times New Roman"/>
                <w:b/>
                <w:bCs/>
                <w:sz w:val="20"/>
                <w:szCs w:val="20"/>
              </w:rPr>
              <w:t>Applicability of Threshold Criteria</w:t>
            </w:r>
            <w:r w:rsidRPr="007424E0">
              <w:rPr>
                <w:rFonts w:ascii="Times New Roman" w:eastAsia="Times New Roman" w:hAnsi="Times New Roman" w:cs="Times New Roman"/>
                <w:sz w:val="20"/>
                <w:szCs w:val="20"/>
              </w:rPr>
              <w:t>).  </w:t>
            </w:r>
          </w:p>
          <w:p w14:paraId="65BFD87C" w14:textId="77777777" w:rsidR="00412798" w:rsidRPr="007424E0" w:rsidRDefault="00412798" w:rsidP="64301FE8">
            <w:pPr>
              <w:rPr>
                <w:rFonts w:ascii="Times New Roman" w:eastAsia="Times New Roman" w:hAnsi="Times New Roman" w:cs="Times New Roman"/>
                <w:b/>
                <w:bCs/>
                <w:sz w:val="20"/>
                <w:szCs w:val="20"/>
              </w:rPr>
            </w:pPr>
          </w:p>
        </w:tc>
      </w:tr>
      <w:tr w:rsidR="00412798" w:rsidRPr="007424E0" w14:paraId="1AE22F8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4E56E084" w14:textId="77777777" w:rsidR="00412798" w:rsidRPr="007424E0" w:rsidRDefault="00412798" w:rsidP="64301FE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9/22/22</w:t>
            </w:r>
          </w:p>
        </w:tc>
        <w:tc>
          <w:tcPr>
            <w:tcW w:w="2663" w:type="dxa"/>
            <w:shd w:val="clear" w:color="auto" w:fill="auto"/>
            <w:tcMar>
              <w:top w:w="72" w:type="dxa"/>
              <w:left w:w="115" w:type="dxa"/>
              <w:bottom w:w="72" w:type="dxa"/>
              <w:right w:w="115" w:type="dxa"/>
            </w:tcMar>
            <w:vAlign w:val="center"/>
          </w:tcPr>
          <w:p w14:paraId="75F0010A" w14:textId="77777777" w:rsidR="00412798" w:rsidRPr="007424E0" w:rsidRDefault="00412798" w:rsidP="64301FE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3.05 </w:t>
            </w:r>
          </w:p>
          <w:p w14:paraId="1364DBB7" w14:textId="77777777" w:rsidR="00412798" w:rsidRPr="007424E0" w:rsidRDefault="00412798" w:rsidP="64301FE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Scoring Criteria;</w:t>
            </w:r>
          </w:p>
          <w:p w14:paraId="1F4DB15B" w14:textId="77777777" w:rsidR="00412798" w:rsidRPr="007424E0" w:rsidRDefault="00412798" w:rsidP="64301FE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Desirable/Undesirable Activities</w:t>
            </w:r>
          </w:p>
        </w:tc>
        <w:tc>
          <w:tcPr>
            <w:tcW w:w="9585" w:type="dxa"/>
            <w:shd w:val="clear" w:color="auto" w:fill="auto"/>
            <w:tcMar>
              <w:top w:w="72" w:type="dxa"/>
              <w:left w:w="115" w:type="dxa"/>
              <w:bottom w:w="72" w:type="dxa"/>
              <w:right w:w="115" w:type="dxa"/>
            </w:tcMar>
            <w:vAlign w:val="center"/>
          </w:tcPr>
          <w:p w14:paraId="0299BA8B" w14:textId="77777777" w:rsidR="00412798" w:rsidRPr="007424E0" w:rsidRDefault="00412798" w:rsidP="00513535">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b/>
                <w:bCs/>
                <w:color w:val="000000"/>
                <w:sz w:val="20"/>
                <w:szCs w:val="20"/>
              </w:rPr>
              <w:t>1007640689</w:t>
            </w:r>
            <w:r w:rsidRPr="007424E0">
              <w:rPr>
                <w:rFonts w:ascii="Times New Roman" w:eastAsia="Times New Roman" w:hAnsi="Times New Roman" w:cs="Times New Roman"/>
                <w:color w:val="000000"/>
                <w:sz w:val="20"/>
                <w:szCs w:val="20"/>
              </w:rPr>
              <w:t> </w:t>
            </w:r>
          </w:p>
          <w:p w14:paraId="5E9608BD" w14:textId="77777777" w:rsidR="00412798" w:rsidRPr="007424E0" w:rsidRDefault="00412798" w:rsidP="00513535">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The desirable site certification is tied to the vehicle and walking entrance coordinates on the conceptual site development plan. Do we need conceptual site development plan to be part of the initial 4% submission or will the coordinates for vehicle entrance and walking entrance suffice? </w:t>
            </w:r>
            <w:r w:rsidRPr="007424E0">
              <w:rPr>
                <w:rFonts w:ascii="Times New Roman" w:eastAsia="Times New Roman" w:hAnsi="Times New Roman" w:cs="Times New Roman"/>
                <w:color w:val="000000"/>
                <w:sz w:val="20"/>
                <w:szCs w:val="20"/>
              </w:rPr>
              <w:br/>
            </w:r>
          </w:p>
          <w:p w14:paraId="3CDA14E0" w14:textId="77777777" w:rsidR="00412798" w:rsidRPr="007424E0" w:rsidRDefault="00412798" w:rsidP="00513535">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155FBA88" w14:textId="77777777" w:rsidR="00412798" w:rsidRPr="007424E0" w:rsidRDefault="00412798" w:rsidP="00513535">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Since a CSDP is not required for the 4%/Bonds Competitive Review Submission, coordinates for the vehicle and walking distance will suffice for purposes of Desirable/Undesirable Activities.   </w:t>
            </w:r>
          </w:p>
          <w:p w14:paraId="1483AF21" w14:textId="77777777" w:rsidR="00412798" w:rsidRPr="007424E0" w:rsidRDefault="00412798" w:rsidP="00513535">
            <w:pPr>
              <w:textAlignment w:val="baseline"/>
              <w:rPr>
                <w:rFonts w:ascii="Times New Roman" w:eastAsia="Times New Roman" w:hAnsi="Times New Roman" w:cs="Times New Roman"/>
                <w:sz w:val="20"/>
                <w:szCs w:val="20"/>
              </w:rPr>
            </w:pPr>
          </w:p>
        </w:tc>
      </w:tr>
      <w:tr w:rsidR="00412798" w:rsidRPr="007424E0" w14:paraId="3D81E6C7"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7246EE4A"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9/22/22</w:t>
            </w:r>
          </w:p>
        </w:tc>
        <w:tc>
          <w:tcPr>
            <w:tcW w:w="2663" w:type="dxa"/>
            <w:shd w:val="clear" w:color="auto" w:fill="auto"/>
            <w:tcMar>
              <w:top w:w="72" w:type="dxa"/>
              <w:left w:w="115" w:type="dxa"/>
              <w:bottom w:w="72" w:type="dxa"/>
              <w:right w:w="115" w:type="dxa"/>
            </w:tcMar>
            <w:vAlign w:val="center"/>
          </w:tcPr>
          <w:p w14:paraId="26308452"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3.07 </w:t>
            </w:r>
          </w:p>
          <w:p w14:paraId="2E5105F2"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Scoring Criteria;</w:t>
            </w:r>
          </w:p>
          <w:p w14:paraId="755DEBA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Quality Education Areas</w:t>
            </w:r>
          </w:p>
        </w:tc>
        <w:tc>
          <w:tcPr>
            <w:tcW w:w="9585" w:type="dxa"/>
            <w:shd w:val="clear" w:color="auto" w:fill="auto"/>
            <w:tcMar>
              <w:top w:w="72" w:type="dxa"/>
              <w:left w:w="115" w:type="dxa"/>
              <w:bottom w:w="72" w:type="dxa"/>
              <w:right w:w="115" w:type="dxa"/>
            </w:tcMar>
            <w:vAlign w:val="center"/>
          </w:tcPr>
          <w:p w14:paraId="2F275917" w14:textId="77777777" w:rsidR="00412798" w:rsidRPr="007424E0" w:rsidRDefault="00412798" w:rsidP="000F6D48">
            <w:pPr>
              <w:textAlignment w:val="baseline"/>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Question ID: 1006251146 </w:t>
            </w:r>
          </w:p>
          <w:p w14:paraId="139189F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Under Section VII.) Quality Education Areas, do all three schools that the property is districted for have to meet the criteria in order to qualify for points?  </w:t>
            </w:r>
          </w:p>
          <w:p w14:paraId="5166B4E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C37CD0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For Example, under subsection A) if 2/3 schools have above average CCRPI scores do they qualify for points? </w:t>
            </w:r>
          </w:p>
          <w:p w14:paraId="33C152B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1A8F3A48" w14:textId="77777777" w:rsidR="00412798" w:rsidRPr="007424E0" w:rsidRDefault="00412798" w:rsidP="000F6D48">
            <w:pPr>
              <w:textAlignment w:val="baseline"/>
              <w:rPr>
                <w:rFonts w:ascii="Times New Roman" w:eastAsia="Times New Roman" w:hAnsi="Times New Roman" w:cs="Times New Roman"/>
                <w:b/>
                <w:bCs/>
                <w:sz w:val="20"/>
                <w:szCs w:val="20"/>
              </w:rPr>
            </w:pPr>
            <w:r w:rsidRPr="007424E0">
              <w:rPr>
                <w:rFonts w:ascii="Times New Roman" w:eastAsia="Times New Roman" w:hAnsi="Times New Roman" w:cs="Times New Roman"/>
                <w:sz w:val="20"/>
                <w:szCs w:val="20"/>
              </w:rPr>
              <w:t>Under subsection B) if 1/3 schools has a "Beating the Odds" designation do they qualify for points?</w:t>
            </w:r>
            <w:r w:rsidRPr="007424E0">
              <w:rPr>
                <w:rFonts w:ascii="Times New Roman" w:eastAsia="Times New Roman" w:hAnsi="Times New Roman" w:cs="Times New Roman"/>
                <w:b/>
                <w:bCs/>
                <w:sz w:val="20"/>
                <w:szCs w:val="20"/>
              </w:rPr>
              <w:t> </w:t>
            </w:r>
            <w:r w:rsidRPr="007424E0">
              <w:rPr>
                <w:rFonts w:ascii="Times New Roman" w:eastAsia="Times New Roman" w:hAnsi="Times New Roman" w:cs="Times New Roman"/>
                <w:b/>
                <w:bCs/>
                <w:sz w:val="20"/>
                <w:szCs w:val="20"/>
              </w:rPr>
              <w:br/>
              <w:t> </w:t>
            </w:r>
          </w:p>
          <w:p w14:paraId="03BBA30B" w14:textId="77777777" w:rsidR="00412798" w:rsidRPr="007424E0" w:rsidRDefault="00412798" w:rsidP="000F6D48">
            <w:pPr>
              <w:textAlignment w:val="baseline"/>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Answer:  </w:t>
            </w:r>
          </w:p>
          <w:p w14:paraId="506A8A0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As stated in the QAP, </w:t>
            </w:r>
            <w:r w:rsidRPr="007424E0">
              <w:rPr>
                <w:rFonts w:ascii="Times New Roman" w:eastAsia="Times New Roman" w:hAnsi="Times New Roman" w:cs="Times New Roman"/>
                <w:b/>
                <w:bCs/>
                <w:sz w:val="20"/>
                <w:szCs w:val="20"/>
              </w:rPr>
              <w:t>Scoring VII Quality Education Areas</w:t>
            </w:r>
            <w:r w:rsidRPr="007424E0">
              <w:rPr>
                <w:rFonts w:ascii="Times New Roman" w:eastAsia="Times New Roman" w:hAnsi="Times New Roman" w:cs="Times New Roman"/>
                <w:sz w:val="20"/>
                <w:szCs w:val="20"/>
              </w:rPr>
              <w:t xml:space="preserve">, </w:t>
            </w:r>
            <w:r w:rsidRPr="007424E0">
              <w:rPr>
                <w:rFonts w:ascii="Times New Roman" w:eastAsia="Times New Roman" w:hAnsi="Times New Roman" w:cs="Times New Roman"/>
                <w:i/>
                <w:iCs/>
                <w:sz w:val="20"/>
                <w:szCs w:val="20"/>
              </w:rPr>
              <w:t>“Each school qualifying for points must meet requirements for A, B or C.”</w:t>
            </w:r>
            <w:r w:rsidRPr="007424E0">
              <w:rPr>
                <w:rFonts w:ascii="Times New Roman" w:eastAsia="Times New Roman" w:hAnsi="Times New Roman" w:cs="Times New Roman"/>
                <w:sz w:val="20"/>
                <w:szCs w:val="20"/>
              </w:rPr>
              <w:t> </w:t>
            </w:r>
          </w:p>
          <w:p w14:paraId="223E0EC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41C8BE4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Following the same example, if 2 out of 3 schools that the property is districted for meet the qualifications for subsection A., those 2 schools would qualify for points under subsection A. If 1 school that the property is districted for meets the qualifications for subsection B., that 1 school would qualify for points under subsection B.  </w:t>
            </w:r>
          </w:p>
          <w:p w14:paraId="4D38A48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110C96C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total number of grades served by qualifying schools under subsection A., B., and C. will be added together to determine the number of points awarded under this scoring section. Please refer to the Scoring Table in this section for more detail. </w:t>
            </w:r>
          </w:p>
          <w:p w14:paraId="2B001712" w14:textId="77777777" w:rsidR="00412798" w:rsidRPr="007424E0" w:rsidRDefault="00412798" w:rsidP="000F6D48">
            <w:pPr>
              <w:rPr>
                <w:rFonts w:ascii="Times New Roman" w:eastAsia="Times New Roman" w:hAnsi="Times New Roman" w:cs="Times New Roman"/>
                <w:b/>
                <w:bCs/>
                <w:sz w:val="20"/>
                <w:szCs w:val="20"/>
              </w:rPr>
            </w:pPr>
          </w:p>
        </w:tc>
      </w:tr>
      <w:tr w:rsidR="00412798" w:rsidRPr="007424E0" w14:paraId="1630B185"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B7F46F2"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9/22/22</w:t>
            </w:r>
          </w:p>
        </w:tc>
        <w:tc>
          <w:tcPr>
            <w:tcW w:w="2663" w:type="dxa"/>
            <w:shd w:val="clear" w:color="auto" w:fill="auto"/>
            <w:tcMar>
              <w:top w:w="72" w:type="dxa"/>
              <w:left w:w="115" w:type="dxa"/>
              <w:bottom w:w="72" w:type="dxa"/>
              <w:right w:w="115" w:type="dxa"/>
            </w:tcMar>
            <w:vAlign w:val="center"/>
          </w:tcPr>
          <w:p w14:paraId="1CD185E9"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3.07 </w:t>
            </w:r>
          </w:p>
          <w:p w14:paraId="2D0B06E0"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Scoring Criteria;</w:t>
            </w:r>
          </w:p>
          <w:p w14:paraId="1B1380F1"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Quality Education Areas</w:t>
            </w:r>
          </w:p>
        </w:tc>
        <w:tc>
          <w:tcPr>
            <w:tcW w:w="9585" w:type="dxa"/>
            <w:shd w:val="clear" w:color="auto" w:fill="auto"/>
            <w:tcMar>
              <w:top w:w="72" w:type="dxa"/>
              <w:left w:w="115" w:type="dxa"/>
              <w:bottom w:w="72" w:type="dxa"/>
              <w:right w:w="115" w:type="dxa"/>
            </w:tcMar>
            <w:vAlign w:val="center"/>
          </w:tcPr>
          <w:p w14:paraId="56464E8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 ID: 1001875371</w:t>
            </w:r>
            <w:r w:rsidRPr="007424E0">
              <w:rPr>
                <w:rFonts w:ascii="Times New Roman" w:eastAsia="Times New Roman" w:hAnsi="Times New Roman" w:cs="Times New Roman"/>
                <w:b/>
                <w:bCs/>
                <w:sz w:val="20"/>
                <w:szCs w:val="20"/>
              </w:rPr>
              <w:br/>
            </w:r>
            <w:r w:rsidRPr="007424E0">
              <w:rPr>
                <w:rFonts w:ascii="Times New Roman" w:eastAsia="Times New Roman" w:hAnsi="Times New Roman" w:cs="Times New Roman"/>
                <w:sz w:val="20"/>
                <w:szCs w:val="20"/>
              </w:rPr>
              <w:t>Are CCRPI 2020-2022 averages waved due to covid? Still need to provide 2018/19 CCRPI documentation?</w:t>
            </w:r>
          </w:p>
          <w:p w14:paraId="62406F7B" w14:textId="77777777" w:rsidR="00412798" w:rsidRPr="007424E0" w:rsidRDefault="00412798" w:rsidP="000F6D48">
            <w:pPr>
              <w:textAlignment w:val="baseline"/>
              <w:rPr>
                <w:rFonts w:ascii="Times New Roman" w:eastAsia="Times New Roman" w:hAnsi="Times New Roman" w:cs="Times New Roman"/>
                <w:b/>
                <w:bCs/>
                <w:sz w:val="20"/>
                <w:szCs w:val="20"/>
              </w:rPr>
            </w:pPr>
          </w:p>
          <w:p w14:paraId="5D01AFFA" w14:textId="77777777" w:rsidR="00412798" w:rsidRPr="007424E0" w:rsidRDefault="00412798" w:rsidP="000F6D48">
            <w:pPr>
              <w:textAlignment w:val="baseline"/>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 xml:space="preserve">Answer: </w:t>
            </w:r>
          </w:p>
          <w:p w14:paraId="24C8F20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Per the GA Department of Education CCRPI website </w:t>
            </w:r>
            <w:r w:rsidRPr="007424E0">
              <w:rPr>
                <w:rStyle w:val="normaltextrun"/>
                <w:rFonts w:ascii="Times New Roman" w:hAnsi="Times New Roman" w:cs="Times New Roman"/>
                <w:color w:val="000000"/>
                <w:sz w:val="20"/>
                <w:szCs w:val="20"/>
                <w:shd w:val="clear" w:color="auto" w:fill="FFFFFF"/>
              </w:rPr>
              <w:t>(</w:t>
            </w:r>
            <w:hyperlink r:id="rId24" w:tgtFrame="_blank" w:history="1">
              <w:r w:rsidRPr="007424E0">
                <w:rPr>
                  <w:rStyle w:val="normaltextrun"/>
                  <w:rFonts w:ascii="Times New Roman" w:hAnsi="Times New Roman" w:cs="Times New Roman"/>
                  <w:color w:val="0563C1"/>
                  <w:sz w:val="20"/>
                  <w:szCs w:val="20"/>
                  <w:u w:val="single"/>
                  <w:shd w:val="clear" w:color="auto" w:fill="FFFFFF"/>
                </w:rPr>
                <w:t>click here</w:t>
              </w:r>
            </w:hyperlink>
            <w:r w:rsidRPr="007424E0">
              <w:rPr>
                <w:rStyle w:val="normaltextrun"/>
                <w:rFonts w:ascii="Times New Roman" w:hAnsi="Times New Roman" w:cs="Times New Roman"/>
                <w:color w:val="000000"/>
                <w:sz w:val="20"/>
                <w:szCs w:val="20"/>
                <w:shd w:val="clear" w:color="auto" w:fill="FFFFFF"/>
              </w:rPr>
              <w:t xml:space="preserve">), </w:t>
            </w:r>
            <w:r w:rsidRPr="007424E0">
              <w:rPr>
                <w:rFonts w:ascii="Times New Roman" w:eastAsia="Times New Roman" w:hAnsi="Times New Roman" w:cs="Times New Roman"/>
                <w:sz w:val="20"/>
                <w:szCs w:val="20"/>
              </w:rPr>
              <w:t xml:space="preserve">for 2020 and 2021 scores purposes, there are no CCRPI summary scores for the state, school districts, or schools. </w:t>
            </w:r>
          </w:p>
          <w:p w14:paraId="4BFA833C" w14:textId="77777777" w:rsidR="00412798" w:rsidRPr="007424E0" w:rsidRDefault="00412798" w:rsidP="000F6D48">
            <w:pPr>
              <w:textAlignment w:val="baseline"/>
              <w:rPr>
                <w:rFonts w:ascii="Times New Roman" w:eastAsia="Times New Roman" w:hAnsi="Times New Roman" w:cs="Times New Roman"/>
                <w:sz w:val="20"/>
                <w:szCs w:val="20"/>
              </w:rPr>
            </w:pPr>
          </w:p>
          <w:p w14:paraId="64897C9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Therefore, the Quality Education Areas Scoring Instructions document as posted to the website can still be used for the 2022 4%/Bonds Round </w:t>
            </w:r>
            <w:r w:rsidRPr="007424E0">
              <w:rPr>
                <w:rStyle w:val="normaltextrun"/>
                <w:rFonts w:ascii="Times New Roman" w:hAnsi="Times New Roman" w:cs="Times New Roman"/>
                <w:color w:val="000000"/>
                <w:sz w:val="20"/>
                <w:szCs w:val="20"/>
                <w:shd w:val="clear" w:color="auto" w:fill="FFFFFF"/>
              </w:rPr>
              <w:t>(</w:t>
            </w:r>
            <w:hyperlink r:id="rId25" w:tgtFrame="_blank" w:history="1">
              <w:r w:rsidRPr="007424E0">
                <w:rPr>
                  <w:rStyle w:val="normaltextrun"/>
                  <w:rFonts w:ascii="Times New Roman" w:hAnsi="Times New Roman" w:cs="Times New Roman"/>
                  <w:color w:val="0563C1"/>
                  <w:sz w:val="20"/>
                  <w:szCs w:val="20"/>
                  <w:u w:val="single"/>
                  <w:shd w:val="clear" w:color="auto" w:fill="FFFFFF"/>
                </w:rPr>
                <w:t>click here</w:t>
              </w:r>
            </w:hyperlink>
            <w:r w:rsidRPr="007424E0">
              <w:rPr>
                <w:rStyle w:val="normaltextrun"/>
                <w:rFonts w:ascii="Times New Roman" w:hAnsi="Times New Roman" w:cs="Times New Roman"/>
                <w:color w:val="000000"/>
                <w:sz w:val="20"/>
                <w:szCs w:val="20"/>
                <w:shd w:val="clear" w:color="auto" w:fill="FFFFFF"/>
              </w:rPr>
              <w:t>).</w:t>
            </w:r>
          </w:p>
          <w:p w14:paraId="097CDCD6" w14:textId="77777777" w:rsidR="00412798" w:rsidRPr="007424E0" w:rsidRDefault="00412798" w:rsidP="000F6D48">
            <w:pPr>
              <w:textAlignment w:val="baseline"/>
              <w:rPr>
                <w:rFonts w:ascii="Times New Roman" w:eastAsia="Times New Roman" w:hAnsi="Times New Roman" w:cs="Times New Roman"/>
                <w:color w:val="000000" w:themeColor="text1"/>
                <w:sz w:val="20"/>
                <w:szCs w:val="20"/>
              </w:rPr>
            </w:pPr>
          </w:p>
        </w:tc>
      </w:tr>
      <w:tr w:rsidR="00412798" w:rsidRPr="007424E0" w14:paraId="4D401956"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6517027F" w14:textId="77777777" w:rsidR="00412798" w:rsidRPr="007424E0" w:rsidRDefault="00412798" w:rsidP="64301FE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9/22/22</w:t>
            </w:r>
          </w:p>
        </w:tc>
        <w:tc>
          <w:tcPr>
            <w:tcW w:w="2663" w:type="dxa"/>
            <w:shd w:val="clear" w:color="auto" w:fill="auto"/>
            <w:tcMar>
              <w:top w:w="72" w:type="dxa"/>
              <w:left w:w="115" w:type="dxa"/>
              <w:bottom w:w="72" w:type="dxa"/>
              <w:right w:w="115" w:type="dxa"/>
            </w:tcMar>
            <w:vAlign w:val="center"/>
          </w:tcPr>
          <w:p w14:paraId="3EC7B168" w14:textId="77777777" w:rsidR="00412798" w:rsidRPr="007424E0" w:rsidRDefault="00412798" w:rsidP="00344EE6">
            <w:pPr>
              <w:rPr>
                <w:rFonts w:ascii="Times New Roman" w:hAnsi="Times New Roman" w:cs="Times New Roman"/>
                <w:sz w:val="20"/>
                <w:szCs w:val="20"/>
              </w:rPr>
            </w:pPr>
            <w:r w:rsidRPr="007424E0">
              <w:rPr>
                <w:rFonts w:ascii="Times New Roman" w:hAnsi="Times New Roman" w:cs="Times New Roman"/>
                <w:sz w:val="20"/>
                <w:szCs w:val="20"/>
              </w:rPr>
              <w:t>7.00</w:t>
            </w:r>
          </w:p>
          <w:p w14:paraId="0DEDB282" w14:textId="77777777" w:rsidR="00412798" w:rsidRPr="007424E0" w:rsidRDefault="00412798" w:rsidP="00344EE6">
            <w:pPr>
              <w:rPr>
                <w:rFonts w:ascii="Times New Roman" w:eastAsia="Times New Roman" w:hAnsi="Times New Roman" w:cs="Times New Roman"/>
                <w:sz w:val="20"/>
                <w:szCs w:val="20"/>
              </w:rPr>
            </w:pPr>
            <w:r w:rsidRPr="007424E0">
              <w:rPr>
                <w:rFonts w:ascii="Times New Roman" w:hAnsi="Times New Roman" w:cs="Times New Roman"/>
                <w:sz w:val="20"/>
                <w:szCs w:val="20"/>
              </w:rPr>
              <w:t>Other</w:t>
            </w:r>
          </w:p>
        </w:tc>
        <w:tc>
          <w:tcPr>
            <w:tcW w:w="9585" w:type="dxa"/>
            <w:shd w:val="clear" w:color="auto" w:fill="auto"/>
            <w:tcMar>
              <w:top w:w="72" w:type="dxa"/>
              <w:left w:w="115" w:type="dxa"/>
              <w:bottom w:w="72" w:type="dxa"/>
              <w:right w:w="115" w:type="dxa"/>
            </w:tcMar>
            <w:vAlign w:val="center"/>
          </w:tcPr>
          <w:p w14:paraId="72E5E2E4" w14:textId="77777777" w:rsidR="00412798" w:rsidRPr="007424E0" w:rsidRDefault="00412798" w:rsidP="00316F75">
            <w:pPr>
              <w:pStyle w:val="paragraph"/>
              <w:spacing w:before="0" w:beforeAutospacing="0" w:after="0" w:afterAutospacing="0"/>
              <w:textAlignment w:val="baseline"/>
              <w:rPr>
                <w:sz w:val="20"/>
                <w:szCs w:val="20"/>
              </w:rPr>
            </w:pPr>
            <w:r w:rsidRPr="007424E0">
              <w:rPr>
                <w:b/>
                <w:bCs/>
                <w:sz w:val="20"/>
                <w:szCs w:val="20"/>
              </w:rPr>
              <w:t>Question ID:</w:t>
            </w:r>
            <w:r w:rsidRPr="007424E0">
              <w:rPr>
                <w:rStyle w:val="normaltextrun"/>
                <w:b/>
                <w:bCs/>
                <w:sz w:val="20"/>
                <w:szCs w:val="20"/>
              </w:rPr>
              <w:t xml:space="preserve"> </w:t>
            </w:r>
            <w:r w:rsidRPr="007424E0">
              <w:rPr>
                <w:rStyle w:val="normaltextrun"/>
                <w:b/>
                <w:bCs/>
                <w:color w:val="000000"/>
                <w:sz w:val="20"/>
                <w:szCs w:val="20"/>
              </w:rPr>
              <w:t>995462618</w:t>
            </w:r>
            <w:r w:rsidRPr="007424E0">
              <w:rPr>
                <w:rStyle w:val="scxw80676492"/>
                <w:rFonts w:eastAsiaTheme="majorEastAsia"/>
                <w:b/>
                <w:bCs/>
                <w:color w:val="000000"/>
                <w:sz w:val="20"/>
                <w:szCs w:val="20"/>
              </w:rPr>
              <w:t> </w:t>
            </w:r>
            <w:r w:rsidRPr="007424E0">
              <w:rPr>
                <w:color w:val="000000"/>
                <w:sz w:val="20"/>
                <w:szCs w:val="20"/>
              </w:rPr>
              <w:br/>
            </w:r>
            <w:r w:rsidRPr="007424E0">
              <w:rPr>
                <w:rStyle w:val="normaltextrun"/>
                <w:color w:val="000000"/>
                <w:sz w:val="20"/>
                <w:szCs w:val="20"/>
              </w:rPr>
              <w:t xml:space="preserve">We are a </w:t>
            </w:r>
            <w:r w:rsidRPr="007424E0">
              <w:rPr>
                <w:rStyle w:val="contextualspellingandgrammarerror"/>
                <w:rFonts w:eastAsiaTheme="majorEastAsia"/>
                <w:color w:val="000000"/>
                <w:sz w:val="20"/>
                <w:szCs w:val="20"/>
              </w:rPr>
              <w:t>previously-awarded</w:t>
            </w:r>
            <w:r w:rsidRPr="007424E0">
              <w:rPr>
                <w:rStyle w:val="normaltextrun"/>
                <w:color w:val="000000"/>
                <w:sz w:val="20"/>
                <w:szCs w:val="20"/>
              </w:rPr>
              <w:t xml:space="preserve"> 9% development that is stalled due to construction cost increases. We think that this deal could work, though, with 4% credits and bonds. We are contemplating applying under the upcoming 4%/Bonds Competitive Round and returning the </w:t>
            </w:r>
            <w:r w:rsidRPr="007424E0">
              <w:rPr>
                <w:rStyle w:val="contextualspellingandgrammarerror"/>
                <w:rFonts w:eastAsiaTheme="majorEastAsia"/>
                <w:color w:val="000000"/>
                <w:sz w:val="20"/>
                <w:szCs w:val="20"/>
              </w:rPr>
              <w:t>previously-awarded</w:t>
            </w:r>
            <w:r w:rsidRPr="007424E0">
              <w:rPr>
                <w:rStyle w:val="normaltextrun"/>
                <w:color w:val="000000"/>
                <w:sz w:val="20"/>
                <w:szCs w:val="20"/>
              </w:rPr>
              <w:t xml:space="preserve"> 9% credits. </w:t>
            </w:r>
            <w:r w:rsidRPr="007424E0">
              <w:rPr>
                <w:rStyle w:val="scxw80676492"/>
                <w:rFonts w:eastAsiaTheme="majorEastAsia"/>
                <w:color w:val="000000"/>
                <w:sz w:val="20"/>
                <w:szCs w:val="20"/>
              </w:rPr>
              <w:t> </w:t>
            </w:r>
            <w:r w:rsidRPr="007424E0">
              <w:rPr>
                <w:color w:val="000000"/>
                <w:sz w:val="20"/>
                <w:szCs w:val="20"/>
              </w:rPr>
              <w:br/>
            </w:r>
            <w:r w:rsidRPr="007424E0">
              <w:rPr>
                <w:rStyle w:val="eop"/>
                <w:color w:val="000000"/>
                <w:sz w:val="20"/>
                <w:szCs w:val="20"/>
              </w:rPr>
              <w:t> </w:t>
            </w:r>
          </w:p>
          <w:p w14:paraId="783E3179" w14:textId="77777777" w:rsidR="00412798" w:rsidRPr="007424E0" w:rsidRDefault="00412798" w:rsidP="00316F75">
            <w:pPr>
              <w:pStyle w:val="paragraph"/>
              <w:spacing w:before="0" w:beforeAutospacing="0" w:after="0" w:afterAutospacing="0"/>
              <w:textAlignment w:val="baseline"/>
              <w:rPr>
                <w:sz w:val="20"/>
                <w:szCs w:val="20"/>
              </w:rPr>
            </w:pPr>
            <w:r w:rsidRPr="007424E0">
              <w:rPr>
                <w:rStyle w:val="normaltextrun"/>
                <w:color w:val="000000"/>
                <w:sz w:val="20"/>
                <w:szCs w:val="20"/>
              </w:rPr>
              <w:lastRenderedPageBreak/>
              <w:t>If awarded a 4% allocation, we would immediately return the 2021 9% allocation and move to closing with the new 4% allocation.</w:t>
            </w:r>
            <w:r w:rsidRPr="007424E0">
              <w:rPr>
                <w:rStyle w:val="eop"/>
                <w:color w:val="000000"/>
                <w:sz w:val="20"/>
                <w:szCs w:val="20"/>
              </w:rPr>
              <w:t> </w:t>
            </w:r>
          </w:p>
          <w:p w14:paraId="04FCD77C" w14:textId="77777777" w:rsidR="00412798" w:rsidRPr="007424E0" w:rsidRDefault="00412798" w:rsidP="00316F75">
            <w:pPr>
              <w:pStyle w:val="paragraph"/>
              <w:spacing w:before="0" w:beforeAutospacing="0" w:after="0" w:afterAutospacing="0"/>
              <w:ind w:firstLine="720"/>
              <w:textAlignment w:val="baseline"/>
              <w:rPr>
                <w:sz w:val="20"/>
                <w:szCs w:val="20"/>
              </w:rPr>
            </w:pPr>
            <w:r w:rsidRPr="007424E0">
              <w:rPr>
                <w:rStyle w:val="normaltextrun"/>
                <w:color w:val="000000"/>
                <w:sz w:val="20"/>
                <w:szCs w:val="20"/>
              </w:rPr>
              <w:t>a. What would the process for returning credits entail?</w:t>
            </w:r>
            <w:r w:rsidRPr="007424E0">
              <w:rPr>
                <w:rStyle w:val="eop"/>
                <w:color w:val="000000"/>
                <w:sz w:val="20"/>
                <w:szCs w:val="20"/>
              </w:rPr>
              <w:t> </w:t>
            </w:r>
          </w:p>
          <w:p w14:paraId="72E37281" w14:textId="77777777" w:rsidR="00412798" w:rsidRPr="007424E0" w:rsidRDefault="00412798" w:rsidP="00316F75">
            <w:pPr>
              <w:pStyle w:val="paragraph"/>
              <w:spacing w:before="0" w:beforeAutospacing="0" w:after="0" w:afterAutospacing="0"/>
              <w:ind w:left="720"/>
              <w:textAlignment w:val="baseline"/>
              <w:rPr>
                <w:sz w:val="20"/>
                <w:szCs w:val="20"/>
              </w:rPr>
            </w:pPr>
            <w:r w:rsidRPr="007424E0">
              <w:rPr>
                <w:rStyle w:val="normaltextrun"/>
                <w:color w:val="000000"/>
                <w:sz w:val="20"/>
                <w:szCs w:val="20"/>
              </w:rPr>
              <w:t>b. Would there be any additional fees or reimbursement of prior fees paid?</w:t>
            </w:r>
            <w:r w:rsidRPr="007424E0">
              <w:rPr>
                <w:rStyle w:val="eop"/>
                <w:color w:val="000000"/>
                <w:sz w:val="20"/>
                <w:szCs w:val="20"/>
              </w:rPr>
              <w:t> </w:t>
            </w:r>
          </w:p>
          <w:p w14:paraId="1AACC37D" w14:textId="77777777" w:rsidR="00412798" w:rsidRPr="007424E0" w:rsidRDefault="00412798" w:rsidP="00316F75">
            <w:pPr>
              <w:pStyle w:val="paragraph"/>
              <w:spacing w:before="0" w:beforeAutospacing="0" w:after="0" w:afterAutospacing="0"/>
              <w:textAlignment w:val="baseline"/>
              <w:rPr>
                <w:sz w:val="20"/>
                <w:szCs w:val="20"/>
              </w:rPr>
            </w:pPr>
            <w:r w:rsidRPr="007424E0">
              <w:rPr>
                <w:rStyle w:val="eop"/>
                <w:color w:val="000000"/>
                <w:sz w:val="20"/>
                <w:szCs w:val="20"/>
              </w:rPr>
              <w:t> </w:t>
            </w:r>
          </w:p>
          <w:p w14:paraId="70D4595D" w14:textId="77777777" w:rsidR="00412798" w:rsidRPr="007424E0" w:rsidRDefault="00412798" w:rsidP="00316F75">
            <w:pPr>
              <w:pStyle w:val="paragraph"/>
              <w:spacing w:before="0" w:beforeAutospacing="0" w:after="0" w:afterAutospacing="0"/>
              <w:textAlignment w:val="baseline"/>
              <w:rPr>
                <w:rStyle w:val="eop"/>
                <w:color w:val="000000"/>
                <w:sz w:val="20"/>
                <w:szCs w:val="20"/>
              </w:rPr>
            </w:pPr>
            <w:r w:rsidRPr="007424E0">
              <w:rPr>
                <w:rStyle w:val="normaltextrun"/>
                <w:color w:val="000000"/>
                <w:sz w:val="20"/>
                <w:szCs w:val="20"/>
              </w:rPr>
              <w:t xml:space="preserve">If not awarded a 4% allocation, we would still require an extension of the PIS deadline either directly (per IRS Revenue Procedure 2014-49) or a credit exchange. </w:t>
            </w:r>
            <w:r w:rsidRPr="007424E0">
              <w:rPr>
                <w:rStyle w:val="advancedproofingissue"/>
                <w:color w:val="000000"/>
                <w:sz w:val="20"/>
                <w:szCs w:val="20"/>
              </w:rPr>
              <w:t>Generally speaking, is</w:t>
            </w:r>
            <w:r w:rsidRPr="007424E0">
              <w:rPr>
                <w:rStyle w:val="normaltextrun"/>
                <w:color w:val="000000"/>
                <w:sz w:val="20"/>
                <w:szCs w:val="20"/>
              </w:rPr>
              <w:t xml:space="preserve"> DCA willing to allow us to delay any exchange request until such time that DCA has made its award determination on the proposed 4% application?</w:t>
            </w:r>
            <w:r w:rsidRPr="007424E0">
              <w:rPr>
                <w:rStyle w:val="eop"/>
                <w:color w:val="000000"/>
                <w:sz w:val="20"/>
                <w:szCs w:val="20"/>
              </w:rPr>
              <w:t> </w:t>
            </w:r>
          </w:p>
          <w:p w14:paraId="1D754584" w14:textId="77777777" w:rsidR="00412798" w:rsidRPr="007424E0" w:rsidRDefault="00412798" w:rsidP="00316F75">
            <w:pPr>
              <w:pStyle w:val="paragraph"/>
              <w:spacing w:before="0" w:beforeAutospacing="0" w:after="0" w:afterAutospacing="0"/>
              <w:textAlignment w:val="baseline"/>
              <w:rPr>
                <w:rStyle w:val="eop"/>
                <w:color w:val="000000"/>
                <w:sz w:val="20"/>
                <w:szCs w:val="20"/>
              </w:rPr>
            </w:pPr>
          </w:p>
          <w:p w14:paraId="36F88ED4" w14:textId="77777777" w:rsidR="00412798" w:rsidRPr="007424E0" w:rsidRDefault="00412798" w:rsidP="00A93AC0">
            <w:pPr>
              <w:pStyle w:val="paragraph"/>
              <w:spacing w:before="0" w:beforeAutospacing="0" w:after="0" w:afterAutospacing="0"/>
              <w:textAlignment w:val="baseline"/>
              <w:rPr>
                <w:b/>
                <w:bCs/>
                <w:sz w:val="20"/>
                <w:szCs w:val="20"/>
              </w:rPr>
            </w:pPr>
            <w:r w:rsidRPr="007424E0">
              <w:rPr>
                <w:rStyle w:val="eop"/>
                <w:b/>
                <w:bCs/>
                <w:color w:val="000000"/>
                <w:sz w:val="20"/>
                <w:szCs w:val="20"/>
              </w:rPr>
              <w:t>Answer:</w:t>
            </w:r>
          </w:p>
          <w:p w14:paraId="788C257E" w14:textId="77777777" w:rsidR="00412798" w:rsidRPr="007424E0" w:rsidRDefault="00412798" w:rsidP="004D23CA">
            <w:pPr>
              <w:pStyle w:val="paragraph"/>
              <w:spacing w:before="0" w:beforeAutospacing="0" w:after="0" w:afterAutospacing="0"/>
              <w:textAlignment w:val="baseline"/>
              <w:rPr>
                <w:b/>
                <w:bCs/>
                <w:sz w:val="20"/>
                <w:szCs w:val="20"/>
              </w:rPr>
            </w:pPr>
            <w:r w:rsidRPr="007424E0">
              <w:rPr>
                <w:rStyle w:val="normaltextrun"/>
                <w:color w:val="4472C4"/>
                <w:sz w:val="20"/>
                <w:szCs w:val="20"/>
              </w:rPr>
              <w:t>“What would the process for returning credits entail? Would there be any additional fees or reimbursement of prior fees paid?” </w:t>
            </w:r>
            <w:r w:rsidRPr="007424E0">
              <w:rPr>
                <w:rStyle w:val="eop"/>
                <w:color w:val="4472C4"/>
                <w:sz w:val="20"/>
                <w:szCs w:val="20"/>
              </w:rPr>
              <w:t> </w:t>
            </w:r>
          </w:p>
          <w:p w14:paraId="338741BE" w14:textId="77777777" w:rsidR="00412798" w:rsidRPr="007424E0" w:rsidRDefault="00412798" w:rsidP="00660A95">
            <w:pPr>
              <w:pStyle w:val="paragraph"/>
              <w:numPr>
                <w:ilvl w:val="0"/>
                <w:numId w:val="66"/>
              </w:numPr>
              <w:spacing w:before="0" w:beforeAutospacing="0" w:after="0" w:afterAutospacing="0"/>
              <w:textAlignment w:val="baseline"/>
              <w:rPr>
                <w:sz w:val="20"/>
                <w:szCs w:val="20"/>
              </w:rPr>
            </w:pPr>
            <w:r w:rsidRPr="007424E0">
              <w:rPr>
                <w:rStyle w:val="normaltextrun"/>
                <w:sz w:val="20"/>
                <w:szCs w:val="20"/>
              </w:rPr>
              <w:t xml:space="preserve">If selected under the 4%/Bonds Competitive Round, you will receive a DCA Consent letter granting approval to submit a </w:t>
            </w:r>
            <w:r w:rsidRPr="007424E0">
              <w:rPr>
                <w:rStyle w:val="contextualspellingandgrammarerror"/>
                <w:rFonts w:eastAsiaTheme="majorEastAsia"/>
                <w:sz w:val="20"/>
                <w:szCs w:val="20"/>
              </w:rPr>
              <w:t>Pre-</w:t>
            </w:r>
            <w:r w:rsidRPr="007424E0">
              <w:rPr>
                <w:rStyle w:val="normaltextrun"/>
                <w:sz w:val="20"/>
                <w:szCs w:val="20"/>
              </w:rPr>
              <w:t xml:space="preserve">Application within 40 days. Upon receiving this notice, please submit official confirmation of your intent to return previously awarded 9% credits. </w:t>
            </w:r>
            <w:r w:rsidRPr="007424E0">
              <w:rPr>
                <w:rStyle w:val="scxw80676492"/>
                <w:rFonts w:eastAsiaTheme="majorEastAsia"/>
                <w:sz w:val="20"/>
                <w:szCs w:val="20"/>
              </w:rPr>
              <w:t> </w:t>
            </w:r>
            <w:r w:rsidRPr="007424E0">
              <w:rPr>
                <w:sz w:val="20"/>
                <w:szCs w:val="20"/>
              </w:rPr>
              <w:br/>
            </w:r>
            <w:r w:rsidRPr="007424E0">
              <w:rPr>
                <w:rStyle w:val="eop"/>
                <w:sz w:val="20"/>
                <w:szCs w:val="20"/>
              </w:rPr>
              <w:t> </w:t>
            </w:r>
          </w:p>
          <w:p w14:paraId="66F1F04F" w14:textId="77777777" w:rsidR="00412798" w:rsidRPr="007424E0" w:rsidRDefault="00412798" w:rsidP="004D23CA">
            <w:pPr>
              <w:pStyle w:val="paragraph"/>
              <w:spacing w:before="0" w:beforeAutospacing="0" w:after="0" w:afterAutospacing="0"/>
              <w:textAlignment w:val="baseline"/>
              <w:rPr>
                <w:sz w:val="20"/>
                <w:szCs w:val="20"/>
              </w:rPr>
            </w:pPr>
            <w:r w:rsidRPr="007424E0">
              <w:rPr>
                <w:rStyle w:val="normaltextrun"/>
                <w:color w:val="4472C4"/>
                <w:sz w:val="20"/>
                <w:szCs w:val="20"/>
              </w:rPr>
              <w:t>“Is DCA willing to allow us to delay any exchange request until such time that DCA has made its award determination on the proposed 4% application?”</w:t>
            </w:r>
            <w:r w:rsidRPr="007424E0">
              <w:rPr>
                <w:rStyle w:val="eop"/>
                <w:color w:val="4472C4"/>
                <w:sz w:val="20"/>
                <w:szCs w:val="20"/>
              </w:rPr>
              <w:t> </w:t>
            </w:r>
          </w:p>
          <w:p w14:paraId="6A9D022E" w14:textId="77777777" w:rsidR="00412798" w:rsidRPr="007424E0" w:rsidRDefault="00412798" w:rsidP="00660A95">
            <w:pPr>
              <w:pStyle w:val="paragraph"/>
              <w:numPr>
                <w:ilvl w:val="0"/>
                <w:numId w:val="66"/>
              </w:numPr>
              <w:spacing w:before="0" w:beforeAutospacing="0" w:after="0" w:afterAutospacing="0"/>
              <w:textAlignment w:val="baseline"/>
              <w:rPr>
                <w:sz w:val="20"/>
                <w:szCs w:val="20"/>
              </w:rPr>
            </w:pPr>
            <w:r w:rsidRPr="007424E0">
              <w:rPr>
                <w:rStyle w:val="normaltextrun"/>
                <w:sz w:val="20"/>
                <w:szCs w:val="20"/>
              </w:rPr>
              <w:t xml:space="preserve">DCA will allow credit exchange request extensions for those waiting on awards from the 4%/Bonds Competitive Round. </w:t>
            </w:r>
            <w:r w:rsidRPr="007424E0">
              <w:rPr>
                <w:rStyle w:val="scxw80676492"/>
                <w:rFonts w:eastAsiaTheme="majorEastAsia"/>
                <w:sz w:val="20"/>
                <w:szCs w:val="20"/>
              </w:rPr>
              <w:t> </w:t>
            </w:r>
            <w:r w:rsidRPr="007424E0">
              <w:rPr>
                <w:sz w:val="20"/>
                <w:szCs w:val="20"/>
              </w:rPr>
              <w:br/>
            </w:r>
            <w:r w:rsidRPr="007424E0">
              <w:rPr>
                <w:rStyle w:val="eop"/>
                <w:sz w:val="20"/>
                <w:szCs w:val="20"/>
              </w:rPr>
              <w:t> </w:t>
            </w:r>
          </w:p>
          <w:p w14:paraId="246985BD" w14:textId="77777777" w:rsidR="00412798" w:rsidRPr="007424E0" w:rsidRDefault="00412798" w:rsidP="00316F75">
            <w:pPr>
              <w:pStyle w:val="paragraph"/>
              <w:spacing w:before="0" w:beforeAutospacing="0" w:after="0" w:afterAutospacing="0"/>
              <w:textAlignment w:val="baseline"/>
              <w:rPr>
                <w:sz w:val="20"/>
                <w:szCs w:val="20"/>
              </w:rPr>
            </w:pPr>
            <w:r w:rsidRPr="007424E0">
              <w:rPr>
                <w:rStyle w:val="normaltextrun"/>
                <w:sz w:val="20"/>
                <w:szCs w:val="20"/>
              </w:rPr>
              <w:t>At this time, DCA cannot provide more specific guidance for either of the above (e.g., regarding fees).</w:t>
            </w:r>
            <w:r w:rsidRPr="007424E0">
              <w:rPr>
                <w:rStyle w:val="eop"/>
                <w:sz w:val="20"/>
                <w:szCs w:val="20"/>
              </w:rPr>
              <w:t> </w:t>
            </w:r>
          </w:p>
          <w:p w14:paraId="7F3C7421" w14:textId="77777777" w:rsidR="00412798" w:rsidRPr="007424E0" w:rsidRDefault="00412798" w:rsidP="64301FE8">
            <w:pPr>
              <w:rPr>
                <w:rFonts w:ascii="Times New Roman" w:eastAsia="Times New Roman" w:hAnsi="Times New Roman" w:cs="Times New Roman"/>
                <w:b/>
                <w:bCs/>
                <w:sz w:val="20"/>
                <w:szCs w:val="20"/>
              </w:rPr>
            </w:pPr>
          </w:p>
        </w:tc>
      </w:tr>
      <w:tr w:rsidR="00412798" w:rsidRPr="007424E0" w14:paraId="407E02DE"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2F18E21E" w14:textId="77777777" w:rsidR="00412798" w:rsidRPr="007424E0" w:rsidRDefault="00412798" w:rsidP="64301FE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9/22/22</w:t>
            </w:r>
          </w:p>
        </w:tc>
        <w:tc>
          <w:tcPr>
            <w:tcW w:w="2663" w:type="dxa"/>
            <w:shd w:val="clear" w:color="auto" w:fill="auto"/>
            <w:tcMar>
              <w:top w:w="72" w:type="dxa"/>
              <w:left w:w="115" w:type="dxa"/>
              <w:bottom w:w="72" w:type="dxa"/>
              <w:right w:w="115" w:type="dxa"/>
            </w:tcMar>
            <w:vAlign w:val="center"/>
          </w:tcPr>
          <w:p w14:paraId="68A7659F" w14:textId="77777777" w:rsidR="00412798" w:rsidRPr="007424E0" w:rsidRDefault="00412798" w:rsidP="64301FE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7.00</w:t>
            </w:r>
          </w:p>
          <w:p w14:paraId="78F284F6" w14:textId="77777777" w:rsidR="00412798" w:rsidRPr="007424E0" w:rsidRDefault="00412798" w:rsidP="64301FE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Other</w:t>
            </w:r>
          </w:p>
        </w:tc>
        <w:tc>
          <w:tcPr>
            <w:tcW w:w="9585" w:type="dxa"/>
            <w:shd w:val="clear" w:color="auto" w:fill="auto"/>
            <w:tcMar>
              <w:top w:w="72" w:type="dxa"/>
              <w:left w:w="115" w:type="dxa"/>
              <w:bottom w:w="72" w:type="dxa"/>
              <w:right w:w="115" w:type="dxa"/>
            </w:tcMar>
            <w:vAlign w:val="center"/>
          </w:tcPr>
          <w:p w14:paraId="0AE3C968" w14:textId="77777777" w:rsidR="00412798" w:rsidRPr="007424E0" w:rsidRDefault="00412798" w:rsidP="00300A50">
            <w:pPr>
              <w:pStyle w:val="paragraph"/>
              <w:spacing w:before="0" w:beforeAutospacing="0" w:after="0" w:afterAutospacing="0"/>
              <w:textAlignment w:val="baseline"/>
              <w:rPr>
                <w:sz w:val="20"/>
                <w:szCs w:val="20"/>
              </w:rPr>
            </w:pPr>
            <w:r w:rsidRPr="007424E0">
              <w:rPr>
                <w:rStyle w:val="normaltextrun"/>
                <w:b/>
                <w:bCs/>
                <w:sz w:val="20"/>
                <w:szCs w:val="20"/>
              </w:rPr>
              <w:t xml:space="preserve">Question ID: </w:t>
            </w:r>
            <w:r w:rsidRPr="007424E0">
              <w:rPr>
                <w:rStyle w:val="normaltextrun"/>
                <w:b/>
                <w:bCs/>
                <w:color w:val="000000"/>
                <w:sz w:val="20"/>
                <w:szCs w:val="20"/>
              </w:rPr>
              <w:t>1002055675</w:t>
            </w:r>
            <w:r w:rsidRPr="007424E0">
              <w:rPr>
                <w:rStyle w:val="eop"/>
                <w:b/>
                <w:bCs/>
                <w:color w:val="000000"/>
                <w:sz w:val="20"/>
                <w:szCs w:val="20"/>
              </w:rPr>
              <w:t> </w:t>
            </w:r>
          </w:p>
          <w:p w14:paraId="5FB24DF5" w14:textId="77777777" w:rsidR="00412798" w:rsidRPr="007424E0" w:rsidRDefault="00412798" w:rsidP="00300A50">
            <w:pPr>
              <w:pStyle w:val="paragraph"/>
              <w:spacing w:before="0" w:beforeAutospacing="0" w:after="0" w:afterAutospacing="0"/>
              <w:textAlignment w:val="baseline"/>
              <w:rPr>
                <w:sz w:val="20"/>
                <w:szCs w:val="20"/>
              </w:rPr>
            </w:pPr>
            <w:r w:rsidRPr="007424E0">
              <w:rPr>
                <w:rStyle w:val="normaltextrun"/>
                <w:color w:val="000000"/>
                <w:sz w:val="20"/>
                <w:szCs w:val="20"/>
              </w:rPr>
              <w:t>The 2022 HOME Manual and Forms button does not work. Could the link be fixed? Thanks</w:t>
            </w:r>
            <w:r w:rsidRPr="007424E0">
              <w:rPr>
                <w:rStyle w:val="scxw100267300"/>
                <w:rFonts w:eastAsiaTheme="majorEastAsia"/>
                <w:color w:val="000000"/>
                <w:sz w:val="20"/>
                <w:szCs w:val="20"/>
              </w:rPr>
              <w:t> </w:t>
            </w:r>
          </w:p>
          <w:p w14:paraId="56658C2A" w14:textId="77777777" w:rsidR="00412798" w:rsidRPr="007424E0" w:rsidRDefault="00412798" w:rsidP="00300A50">
            <w:pPr>
              <w:pStyle w:val="paragraph"/>
              <w:spacing w:before="0" w:beforeAutospacing="0" w:after="0" w:afterAutospacing="0"/>
              <w:textAlignment w:val="baseline"/>
              <w:rPr>
                <w:sz w:val="20"/>
                <w:szCs w:val="20"/>
              </w:rPr>
            </w:pPr>
            <w:r w:rsidRPr="007424E0">
              <w:rPr>
                <w:rStyle w:val="eop"/>
                <w:color w:val="000000"/>
                <w:sz w:val="20"/>
                <w:szCs w:val="20"/>
              </w:rPr>
              <w:t> </w:t>
            </w:r>
          </w:p>
          <w:p w14:paraId="10BF1122" w14:textId="77777777" w:rsidR="00412798" w:rsidRPr="007424E0" w:rsidRDefault="00412798" w:rsidP="00300A50">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0D011215" w14:textId="77777777" w:rsidR="00412798" w:rsidRPr="007424E0" w:rsidRDefault="00412798" w:rsidP="00300A50">
            <w:pPr>
              <w:pStyle w:val="paragraph"/>
              <w:spacing w:before="0" w:beforeAutospacing="0" w:after="0" w:afterAutospacing="0"/>
              <w:textAlignment w:val="baseline"/>
              <w:rPr>
                <w:sz w:val="20"/>
                <w:szCs w:val="20"/>
              </w:rPr>
            </w:pPr>
            <w:r w:rsidRPr="007424E0">
              <w:rPr>
                <w:rStyle w:val="normaltextrun"/>
                <w:sz w:val="20"/>
                <w:szCs w:val="20"/>
              </w:rPr>
              <w:t>The 2022 HOME Manual and Forms have not yet been posted, but they are also not currently applicable to an open competition:</w:t>
            </w:r>
            <w:r w:rsidRPr="007424E0">
              <w:rPr>
                <w:rStyle w:val="scxw100267300"/>
                <w:rFonts w:eastAsiaTheme="majorEastAsia"/>
                <w:sz w:val="20"/>
                <w:szCs w:val="20"/>
              </w:rPr>
              <w:t> </w:t>
            </w:r>
            <w:r w:rsidRPr="007424E0">
              <w:rPr>
                <w:sz w:val="20"/>
                <w:szCs w:val="20"/>
              </w:rPr>
              <w:br/>
            </w:r>
            <w:r w:rsidRPr="007424E0">
              <w:rPr>
                <w:rStyle w:val="eop"/>
                <w:sz w:val="20"/>
                <w:szCs w:val="20"/>
              </w:rPr>
              <w:t> </w:t>
            </w:r>
          </w:p>
          <w:p w14:paraId="7D1F631A" w14:textId="77777777" w:rsidR="00412798" w:rsidRPr="007424E0" w:rsidRDefault="00412798" w:rsidP="00660A95">
            <w:pPr>
              <w:pStyle w:val="paragraph"/>
              <w:numPr>
                <w:ilvl w:val="0"/>
                <w:numId w:val="67"/>
              </w:numPr>
              <w:spacing w:before="0" w:beforeAutospacing="0" w:after="0" w:afterAutospacing="0"/>
              <w:textAlignment w:val="baseline"/>
              <w:rPr>
                <w:sz w:val="20"/>
                <w:szCs w:val="20"/>
              </w:rPr>
            </w:pPr>
            <w:r w:rsidRPr="007424E0">
              <w:rPr>
                <w:rStyle w:val="normaltextrun"/>
                <w:sz w:val="20"/>
                <w:szCs w:val="20"/>
              </w:rPr>
              <w:t>HOME and NHTF are not available as soft funds for the 4%/Bonds Competitive Round. </w:t>
            </w:r>
            <w:r w:rsidRPr="007424E0">
              <w:rPr>
                <w:rStyle w:val="eop"/>
                <w:sz w:val="20"/>
                <w:szCs w:val="20"/>
              </w:rPr>
              <w:t> </w:t>
            </w:r>
          </w:p>
          <w:p w14:paraId="3829D47B" w14:textId="77777777" w:rsidR="00412798" w:rsidRPr="007424E0" w:rsidRDefault="00412798" w:rsidP="00660A95">
            <w:pPr>
              <w:pStyle w:val="paragraph"/>
              <w:numPr>
                <w:ilvl w:val="0"/>
                <w:numId w:val="67"/>
              </w:numPr>
              <w:spacing w:before="0" w:beforeAutospacing="0" w:after="0" w:afterAutospacing="0"/>
              <w:textAlignment w:val="baseline"/>
              <w:rPr>
                <w:sz w:val="20"/>
                <w:szCs w:val="20"/>
              </w:rPr>
            </w:pPr>
            <w:r w:rsidRPr="007424E0">
              <w:rPr>
                <w:rStyle w:val="normaltextrun"/>
                <w:sz w:val="20"/>
                <w:szCs w:val="20"/>
              </w:rPr>
              <w:t>For purposes of the Cost Increases NOFA, the posted 2021 HOME manuals and forms are to be used. </w:t>
            </w:r>
            <w:r w:rsidRPr="007424E0">
              <w:rPr>
                <w:rStyle w:val="eop"/>
                <w:sz w:val="20"/>
                <w:szCs w:val="20"/>
              </w:rPr>
              <w:t> </w:t>
            </w:r>
          </w:p>
          <w:p w14:paraId="37C94C39" w14:textId="77777777" w:rsidR="00412798" w:rsidRPr="007424E0" w:rsidRDefault="00412798" w:rsidP="64301FE8">
            <w:pPr>
              <w:rPr>
                <w:rFonts w:ascii="Times New Roman" w:eastAsia="Times New Roman" w:hAnsi="Times New Roman" w:cs="Times New Roman"/>
                <w:b/>
                <w:bCs/>
                <w:sz w:val="20"/>
                <w:szCs w:val="20"/>
              </w:rPr>
            </w:pPr>
          </w:p>
        </w:tc>
      </w:tr>
      <w:tr w:rsidR="00412798" w:rsidRPr="007424E0" w14:paraId="14DE6B32"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D40E886"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9/15/22</w:t>
            </w:r>
          </w:p>
        </w:tc>
        <w:tc>
          <w:tcPr>
            <w:tcW w:w="2663" w:type="dxa"/>
            <w:shd w:val="clear" w:color="auto" w:fill="auto"/>
            <w:tcMar>
              <w:top w:w="72" w:type="dxa"/>
              <w:left w:w="115" w:type="dxa"/>
              <w:bottom w:w="72" w:type="dxa"/>
              <w:right w:w="115" w:type="dxa"/>
            </w:tcMar>
            <w:vAlign w:val="center"/>
          </w:tcPr>
          <w:p w14:paraId="7E252967"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1.10</w:t>
            </w:r>
          </w:p>
          <w:p w14:paraId="72B2549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Core Plan;</w:t>
            </w:r>
          </w:p>
          <w:p w14:paraId="3E652982"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4% Federal Credit – Bond Financed Projects</w:t>
            </w:r>
          </w:p>
        </w:tc>
        <w:tc>
          <w:tcPr>
            <w:tcW w:w="9585" w:type="dxa"/>
            <w:shd w:val="clear" w:color="auto" w:fill="auto"/>
            <w:tcMar>
              <w:top w:w="72" w:type="dxa"/>
              <w:left w:w="115" w:type="dxa"/>
              <w:bottom w:w="72" w:type="dxa"/>
              <w:right w:w="115" w:type="dxa"/>
            </w:tcMar>
            <w:vAlign w:val="center"/>
          </w:tcPr>
          <w:p w14:paraId="49F640A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color w:val="000000" w:themeColor="text1"/>
                <w:sz w:val="20"/>
                <w:szCs w:val="20"/>
              </w:rPr>
              <w:t>995414261_2 </w:t>
            </w:r>
          </w:p>
          <w:p w14:paraId="071B647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Scattered Site - We are applying for 4% credits for two rehabilitation properties. One project is a RAD conversion and the other is a 202 building.  </w:t>
            </w:r>
          </w:p>
          <w:p w14:paraId="40EA179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6F9837C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Per the Application Restrictions on p. 12 of the "Core" section, the scattered site is only eligible for consideration if proposing rehabilitation of properties funded by USDA, RAD Conversion, or pre-approved during Pre-Application process.  </w:t>
            </w:r>
          </w:p>
          <w:p w14:paraId="3DA0960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54A9329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themeColor="text1"/>
                <w:sz w:val="20"/>
                <w:szCs w:val="20"/>
              </w:rPr>
              <w:t>Will these projects qualify here since one is a RAD Conversion, or is it disqualified because the 2nd property is not a RAD conversion? </w:t>
            </w:r>
          </w:p>
          <w:p w14:paraId="7A06715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64380AE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5507EF9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w:t>
            </w:r>
            <w:r w:rsidRPr="007424E0">
              <w:rPr>
                <w:rFonts w:ascii="Times New Roman" w:eastAsia="Times New Roman" w:hAnsi="Times New Roman" w:cs="Times New Roman"/>
                <w:i/>
                <w:sz w:val="20"/>
                <w:szCs w:val="20"/>
              </w:rPr>
              <w:t xml:space="preserve"> “…or approved during the Pre-Application process”</w:t>
            </w:r>
            <w:r w:rsidRPr="007424E0">
              <w:rPr>
                <w:rFonts w:ascii="Times New Roman" w:eastAsia="Times New Roman" w:hAnsi="Times New Roman" w:cs="Times New Roman"/>
                <w:sz w:val="20"/>
                <w:szCs w:val="20"/>
              </w:rPr>
              <w:t xml:space="preserve"> language primarily is intended for when DCA accepts Pre-Applications prior to the competitive round for purposes of allowing special circumstances. Under the 2022 4%/Bonds Competitive Round, there is no DCA review of special circumstances prior to the competitive round.  </w:t>
            </w:r>
          </w:p>
          <w:p w14:paraId="2C7FC80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D2A842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Scattered site applications are allowed under the 4%/Bonds Competitive Round, provided all requirements under </w:t>
            </w:r>
            <w:r w:rsidRPr="007424E0">
              <w:rPr>
                <w:rFonts w:ascii="Times New Roman" w:eastAsia="Times New Roman" w:hAnsi="Times New Roman" w:cs="Times New Roman"/>
                <w:b/>
                <w:bCs/>
                <w:sz w:val="20"/>
                <w:szCs w:val="20"/>
              </w:rPr>
              <w:t>(Core Plan) Eligibility of Certain Project Configurations</w:t>
            </w:r>
            <w:r w:rsidRPr="007424E0">
              <w:rPr>
                <w:rFonts w:ascii="Times New Roman" w:eastAsia="Times New Roman" w:hAnsi="Times New Roman" w:cs="Times New Roman"/>
                <w:sz w:val="20"/>
                <w:szCs w:val="20"/>
              </w:rPr>
              <w:t xml:space="preserve">, subsection </w:t>
            </w:r>
            <w:r w:rsidRPr="007424E0">
              <w:rPr>
                <w:rFonts w:ascii="Times New Roman" w:eastAsia="Times New Roman" w:hAnsi="Times New Roman" w:cs="Times New Roman"/>
                <w:b/>
                <w:bCs/>
                <w:sz w:val="20"/>
                <w:szCs w:val="20"/>
              </w:rPr>
              <w:t>A. Eligibility of Scattered Sites</w:t>
            </w:r>
            <w:r w:rsidRPr="007424E0">
              <w:rPr>
                <w:rFonts w:ascii="Times New Roman" w:eastAsia="Times New Roman" w:hAnsi="Times New Roman" w:cs="Times New Roman"/>
                <w:sz w:val="20"/>
                <w:szCs w:val="20"/>
              </w:rPr>
              <w:t xml:space="preserve"> are met. Further, as stated in this subsection, for purposes of requirements and points eligibility, </w:t>
            </w:r>
            <w:r w:rsidRPr="007424E0">
              <w:rPr>
                <w:rFonts w:ascii="Times New Roman" w:eastAsia="Times New Roman" w:hAnsi="Times New Roman" w:cs="Times New Roman"/>
                <w:i/>
                <w:sz w:val="20"/>
                <w:szCs w:val="20"/>
              </w:rPr>
              <w:t>“Each site must meet all applicable Threshold and Scoring criteria.” </w:t>
            </w:r>
          </w:p>
          <w:p w14:paraId="231C6F16" w14:textId="77777777" w:rsidR="00412798" w:rsidRPr="007424E0" w:rsidRDefault="00412798" w:rsidP="000F6D48">
            <w:pPr>
              <w:rPr>
                <w:rFonts w:ascii="Times New Roman" w:hAnsi="Times New Roman" w:cs="Times New Roman"/>
                <w:b/>
                <w:bCs/>
                <w:sz w:val="20"/>
                <w:szCs w:val="20"/>
              </w:rPr>
            </w:pPr>
          </w:p>
        </w:tc>
      </w:tr>
      <w:tr w:rsidR="00412798" w:rsidRPr="007424E0" w14:paraId="023A19C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3C32C97"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9/15/22</w:t>
            </w:r>
          </w:p>
        </w:tc>
        <w:tc>
          <w:tcPr>
            <w:tcW w:w="2663" w:type="dxa"/>
            <w:shd w:val="clear" w:color="auto" w:fill="auto"/>
            <w:tcMar>
              <w:top w:w="72" w:type="dxa"/>
              <w:left w:w="115" w:type="dxa"/>
              <w:bottom w:w="72" w:type="dxa"/>
              <w:right w:w="115" w:type="dxa"/>
            </w:tcMar>
            <w:vAlign w:val="center"/>
          </w:tcPr>
          <w:p w14:paraId="61926502"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1.12</w:t>
            </w:r>
          </w:p>
          <w:p w14:paraId="4839FADB"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Core Plan;</w:t>
            </w:r>
          </w:p>
          <w:p w14:paraId="73598A6F"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Eligibility of Certain Project Configurations</w:t>
            </w:r>
          </w:p>
        </w:tc>
        <w:tc>
          <w:tcPr>
            <w:tcW w:w="9585" w:type="dxa"/>
            <w:shd w:val="clear" w:color="auto" w:fill="auto"/>
            <w:tcMar>
              <w:top w:w="72" w:type="dxa"/>
              <w:left w:w="115" w:type="dxa"/>
              <w:bottom w:w="72" w:type="dxa"/>
              <w:right w:w="115" w:type="dxa"/>
            </w:tcMar>
            <w:vAlign w:val="center"/>
          </w:tcPr>
          <w:p w14:paraId="4D20AD39" w14:textId="77777777" w:rsidR="00412798" w:rsidRPr="007424E0" w:rsidRDefault="00412798" w:rsidP="000F6D48">
            <w:pPr>
              <w:contextualSpacing/>
              <w:rPr>
                <w:rFonts w:ascii="Times New Roman" w:hAnsi="Times New Roman" w:cs="Times New Roman"/>
                <w:b/>
                <w:bCs/>
                <w:sz w:val="20"/>
                <w:szCs w:val="20"/>
              </w:rPr>
            </w:pPr>
            <w:r w:rsidRPr="007424E0">
              <w:rPr>
                <w:rFonts w:ascii="Times New Roman" w:hAnsi="Times New Roman" w:cs="Times New Roman"/>
                <w:b/>
                <w:bCs/>
                <w:sz w:val="20"/>
                <w:szCs w:val="20"/>
              </w:rPr>
              <w:t xml:space="preserve">Question ID: </w:t>
            </w:r>
            <w:r w:rsidRPr="007424E0">
              <w:rPr>
                <w:rFonts w:ascii="Times New Roman" w:hAnsi="Times New Roman" w:cs="Times New Roman"/>
                <w:sz w:val="20"/>
                <w:szCs w:val="20"/>
              </w:rPr>
              <w:t>995841793 </w:t>
            </w:r>
          </w:p>
          <w:p w14:paraId="79A248EF" w14:textId="77777777" w:rsidR="00412798" w:rsidRPr="007424E0" w:rsidRDefault="00412798" w:rsidP="000F6D48">
            <w:pPr>
              <w:rPr>
                <w:rFonts w:ascii="Times New Roman" w:hAnsi="Times New Roman" w:cs="Times New Roman"/>
                <w:sz w:val="20"/>
                <w:szCs w:val="20"/>
              </w:rPr>
            </w:pPr>
            <w:r w:rsidRPr="007424E0">
              <w:rPr>
                <w:rStyle w:val="normaltextrun"/>
                <w:rFonts w:ascii="Times New Roman" w:hAnsi="Times New Roman" w:cs="Times New Roman"/>
                <w:color w:val="000000"/>
                <w:sz w:val="20"/>
                <w:szCs w:val="20"/>
              </w:rPr>
              <w:t xml:space="preserve">When submitting a scattered site project, should each project have a separate Excel Core </w:t>
            </w:r>
            <w:r w:rsidRPr="007424E0">
              <w:rPr>
                <w:rStyle w:val="contextualspellingandgrammarerror"/>
                <w:rFonts w:ascii="Times New Roman" w:hAnsi="Times New Roman" w:cs="Times New Roman"/>
                <w:color w:val="000000"/>
                <w:sz w:val="20"/>
                <w:szCs w:val="20"/>
              </w:rPr>
              <w:t>Application</w:t>
            </w:r>
            <w:r w:rsidRPr="007424E0">
              <w:rPr>
                <w:rStyle w:val="normaltextrun"/>
                <w:rFonts w:ascii="Times New Roman" w:hAnsi="Times New Roman" w:cs="Times New Roman"/>
                <w:color w:val="000000"/>
                <w:sz w:val="20"/>
                <w:szCs w:val="20"/>
              </w:rPr>
              <w:t xml:space="preserve"> or should they be combined in one?</w:t>
            </w:r>
            <w:r w:rsidRPr="007424E0">
              <w:rPr>
                <w:rStyle w:val="eop"/>
                <w:rFonts w:ascii="Times New Roman" w:hAnsi="Times New Roman" w:cs="Times New Roman"/>
                <w:color w:val="000000"/>
                <w:sz w:val="20"/>
                <w:szCs w:val="20"/>
              </w:rPr>
              <w:t> </w:t>
            </w:r>
          </w:p>
          <w:p w14:paraId="61D4E1DF" w14:textId="77777777" w:rsidR="00412798" w:rsidRPr="007424E0" w:rsidRDefault="00412798" w:rsidP="000F6D48">
            <w:pPr>
              <w:rPr>
                <w:rFonts w:ascii="Times New Roman" w:hAnsi="Times New Roman" w:cs="Times New Roman"/>
                <w:sz w:val="20"/>
                <w:szCs w:val="20"/>
              </w:rPr>
            </w:pPr>
            <w:r w:rsidRPr="007424E0">
              <w:rPr>
                <w:rStyle w:val="eop"/>
                <w:rFonts w:ascii="Times New Roman" w:hAnsi="Times New Roman" w:cs="Times New Roman"/>
                <w:color w:val="000000"/>
                <w:sz w:val="20"/>
                <w:szCs w:val="20"/>
              </w:rPr>
              <w:t> </w:t>
            </w:r>
          </w:p>
          <w:p w14:paraId="3EEA1B54"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w:t>
            </w:r>
          </w:p>
          <w:p w14:paraId="36272DE6" w14:textId="77777777" w:rsidR="00412798" w:rsidRPr="007424E0" w:rsidRDefault="00412798" w:rsidP="000F6D48">
            <w:pPr>
              <w:rPr>
                <w:rFonts w:ascii="Times New Roman" w:hAnsi="Times New Roman" w:cs="Times New Roman"/>
                <w:sz w:val="20"/>
                <w:szCs w:val="20"/>
              </w:rPr>
            </w:pPr>
            <w:r w:rsidRPr="007424E0">
              <w:rPr>
                <w:rStyle w:val="normaltextrun"/>
                <w:rFonts w:ascii="Times New Roman" w:hAnsi="Times New Roman" w:cs="Times New Roman"/>
                <w:sz w:val="20"/>
                <w:szCs w:val="20"/>
              </w:rPr>
              <w:t>Scattered site developments should utilize only one Excel Core Application. </w:t>
            </w:r>
          </w:p>
          <w:p w14:paraId="181895DE" w14:textId="77777777" w:rsidR="00412798" w:rsidRPr="007424E0" w:rsidRDefault="00412798" w:rsidP="000F6D48">
            <w:pPr>
              <w:rPr>
                <w:rStyle w:val="normaltextrun"/>
                <w:rFonts w:ascii="Times New Roman" w:hAnsi="Times New Roman" w:cs="Times New Roman"/>
                <w:sz w:val="20"/>
                <w:szCs w:val="20"/>
              </w:rPr>
            </w:pPr>
          </w:p>
        </w:tc>
      </w:tr>
      <w:tr w:rsidR="00412798" w:rsidRPr="007424E0" w14:paraId="0278055C"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09FC9123"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9/15/22</w:t>
            </w:r>
          </w:p>
        </w:tc>
        <w:tc>
          <w:tcPr>
            <w:tcW w:w="2663" w:type="dxa"/>
            <w:shd w:val="clear" w:color="auto" w:fill="auto"/>
            <w:tcMar>
              <w:top w:w="72" w:type="dxa"/>
              <w:left w:w="115" w:type="dxa"/>
              <w:bottom w:w="72" w:type="dxa"/>
              <w:right w:w="115" w:type="dxa"/>
            </w:tcMar>
            <w:vAlign w:val="center"/>
          </w:tcPr>
          <w:p w14:paraId="3958A005"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2.02</w:t>
            </w:r>
          </w:p>
          <w:p w14:paraId="17FFA20C"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 Criteria;</w:t>
            </w:r>
          </w:p>
          <w:p w14:paraId="44F8606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Project Feasibility, Viability Analysis &amp; Conformance with Plan</w:t>
            </w:r>
          </w:p>
        </w:tc>
        <w:tc>
          <w:tcPr>
            <w:tcW w:w="9585" w:type="dxa"/>
            <w:shd w:val="clear" w:color="auto" w:fill="auto"/>
            <w:tcMar>
              <w:top w:w="72" w:type="dxa"/>
              <w:left w:w="115" w:type="dxa"/>
              <w:bottom w:w="72" w:type="dxa"/>
              <w:right w:w="115" w:type="dxa"/>
            </w:tcMar>
            <w:vAlign w:val="center"/>
          </w:tcPr>
          <w:p w14:paraId="07982D0A" w14:textId="77777777" w:rsidR="00412798" w:rsidRPr="007424E0" w:rsidRDefault="00412798" w:rsidP="000F6D48">
            <w:pPr>
              <w:pStyle w:val="paragraph"/>
              <w:spacing w:before="0" w:beforeAutospacing="0" w:after="0" w:afterAutospacing="0"/>
              <w:textAlignment w:val="baseline"/>
              <w:rPr>
                <w:sz w:val="20"/>
                <w:szCs w:val="20"/>
              </w:rPr>
            </w:pPr>
            <w:r w:rsidRPr="007424E0">
              <w:rPr>
                <w:b/>
                <w:bCs/>
                <w:sz w:val="20"/>
                <w:szCs w:val="20"/>
              </w:rPr>
              <w:t xml:space="preserve">Question ID: </w:t>
            </w:r>
            <w:r w:rsidRPr="007424E0">
              <w:rPr>
                <w:sz w:val="20"/>
                <w:szCs w:val="20"/>
              </w:rPr>
              <w:t>999018344</w:t>
            </w:r>
            <w:r w:rsidRPr="007424E0">
              <w:rPr>
                <w:rStyle w:val="scxw202753128"/>
                <w:rFonts w:eastAsiaTheme="majorEastAsia"/>
                <w:color w:val="000000" w:themeColor="text1"/>
                <w:sz w:val="20"/>
                <w:szCs w:val="20"/>
              </w:rPr>
              <w:t> </w:t>
            </w:r>
            <w:r w:rsidRPr="007424E0">
              <w:rPr>
                <w:sz w:val="20"/>
                <w:szCs w:val="20"/>
              </w:rPr>
              <w:br/>
            </w:r>
            <w:r w:rsidRPr="007424E0">
              <w:rPr>
                <w:rStyle w:val="normaltextrun"/>
                <w:color w:val="000000" w:themeColor="text1"/>
                <w:sz w:val="20"/>
                <w:szCs w:val="20"/>
              </w:rPr>
              <w:t>Will the Core Application that is due with the Competitive Review proposal in October require a full development budget and operating pro forma completed in accordance with GHFA's underwriting parameters? </w:t>
            </w:r>
            <w:r w:rsidRPr="007424E0">
              <w:rPr>
                <w:rStyle w:val="eop"/>
                <w:rFonts w:eastAsiaTheme="majorEastAsia"/>
                <w:color w:val="000000" w:themeColor="text1"/>
                <w:sz w:val="20"/>
                <w:szCs w:val="20"/>
              </w:rPr>
              <w:t> </w:t>
            </w:r>
          </w:p>
          <w:p w14:paraId="74047A4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rFonts w:eastAsiaTheme="majorEastAsia"/>
                <w:color w:val="000000"/>
                <w:sz w:val="20"/>
                <w:szCs w:val="20"/>
              </w:rPr>
              <w:t> </w:t>
            </w:r>
          </w:p>
          <w:p w14:paraId="6AD3BE9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t xml:space="preserve">If so, to what degree will GHFA allow changes to the numbers from one stage (Competitive Review) to another (Full Application), understanding that in the best of circumstances, there will be a lag of at least six to eight months, </w:t>
            </w:r>
            <w:r w:rsidRPr="007424E0">
              <w:rPr>
                <w:rStyle w:val="normaltextrun"/>
                <w:color w:val="000000"/>
                <w:sz w:val="20"/>
                <w:szCs w:val="20"/>
              </w:rPr>
              <w:lastRenderedPageBreak/>
              <w:t>which in the current economic environment could see quite a bit of change - for good or bad?</w:t>
            </w:r>
            <w:r w:rsidRPr="007424E0">
              <w:rPr>
                <w:rStyle w:val="scxw202753128"/>
                <w:rFonts w:eastAsiaTheme="majorEastAsia"/>
                <w:color w:val="000000"/>
                <w:sz w:val="20"/>
                <w:szCs w:val="20"/>
              </w:rPr>
              <w:t> </w:t>
            </w:r>
            <w:r w:rsidRPr="007424E0">
              <w:rPr>
                <w:color w:val="000000"/>
                <w:sz w:val="20"/>
                <w:szCs w:val="20"/>
              </w:rPr>
              <w:br/>
            </w:r>
            <w:r w:rsidRPr="007424E0">
              <w:rPr>
                <w:rStyle w:val="eop"/>
                <w:rFonts w:eastAsiaTheme="majorEastAsia"/>
                <w:color w:val="000000"/>
                <w:sz w:val="20"/>
                <w:szCs w:val="20"/>
              </w:rPr>
              <w:t> </w:t>
            </w:r>
          </w:p>
          <w:p w14:paraId="5844C8E1" w14:textId="77777777" w:rsidR="00412798" w:rsidRPr="007424E0" w:rsidRDefault="00412798" w:rsidP="000F6D48">
            <w:pPr>
              <w:rPr>
                <w:rFonts w:ascii="Times New Roman" w:hAnsi="Times New Roman" w:cs="Times New Roman"/>
                <w:b/>
                <w:bCs/>
                <w:sz w:val="20"/>
                <w:szCs w:val="20"/>
              </w:rPr>
            </w:pPr>
            <w:r w:rsidRPr="007424E0">
              <w:rPr>
                <w:rFonts w:ascii="Times New Roman" w:hAnsi="Times New Roman" w:cs="Times New Roman"/>
                <w:b/>
                <w:bCs/>
                <w:sz w:val="20"/>
                <w:szCs w:val="20"/>
              </w:rPr>
              <w:t>Answer:  </w:t>
            </w:r>
          </w:p>
          <w:p w14:paraId="61DB47F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For the first question: DCA understands that the development budget estimates will need to be updated between the Competitive Review Submission and the Full Application. </w:t>
            </w:r>
            <w:r w:rsidRPr="007424E0">
              <w:rPr>
                <w:rStyle w:val="advancedproofingissue"/>
                <w:sz w:val="20"/>
                <w:szCs w:val="20"/>
              </w:rPr>
              <w:t>This is why</w:t>
            </w:r>
            <w:r w:rsidRPr="007424E0">
              <w:rPr>
                <w:rStyle w:val="normaltextrun"/>
                <w:sz w:val="20"/>
                <w:szCs w:val="20"/>
              </w:rPr>
              <w:t xml:space="preserve">, per </w:t>
            </w:r>
            <w:r w:rsidRPr="007424E0">
              <w:rPr>
                <w:rStyle w:val="normaltextrun"/>
                <w:b/>
                <w:bCs/>
                <w:sz w:val="20"/>
                <w:szCs w:val="20"/>
              </w:rPr>
              <w:t>(Threshold Criteria) Applicability of Threshold Criteria</w:t>
            </w:r>
            <w:r w:rsidRPr="007424E0">
              <w:rPr>
                <w:rStyle w:val="normaltextrun"/>
                <w:sz w:val="20"/>
                <w:szCs w:val="20"/>
              </w:rPr>
              <w:t xml:space="preserve">, applicants will not be strictly held to the standards of </w:t>
            </w:r>
            <w:r w:rsidRPr="007424E0">
              <w:rPr>
                <w:rStyle w:val="normaltextrun"/>
                <w:b/>
                <w:bCs/>
                <w:sz w:val="20"/>
                <w:szCs w:val="20"/>
              </w:rPr>
              <w:t xml:space="preserve">Project Feasibility </w:t>
            </w:r>
            <w:r w:rsidRPr="007424E0">
              <w:rPr>
                <w:rStyle w:val="normaltextrun"/>
                <w:sz w:val="20"/>
                <w:szCs w:val="20"/>
              </w:rPr>
              <w:t>at the time of the Competitive Review Submission.</w:t>
            </w:r>
            <w:r w:rsidRPr="007424E0">
              <w:rPr>
                <w:rStyle w:val="eop"/>
                <w:rFonts w:eastAsiaTheme="majorEastAsia"/>
                <w:sz w:val="20"/>
                <w:szCs w:val="20"/>
              </w:rPr>
              <w:t> </w:t>
            </w:r>
          </w:p>
          <w:p w14:paraId="34649B9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rFonts w:eastAsiaTheme="majorEastAsia"/>
                <w:sz w:val="20"/>
                <w:szCs w:val="20"/>
              </w:rPr>
              <w:t> </w:t>
            </w:r>
          </w:p>
          <w:p w14:paraId="12B2711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If selected under 2022 4%/Bonds Round, the applicant will be required to pass all </w:t>
            </w:r>
            <w:r w:rsidRPr="007424E0">
              <w:rPr>
                <w:rStyle w:val="normaltextrun"/>
                <w:b/>
                <w:bCs/>
                <w:sz w:val="20"/>
                <w:szCs w:val="20"/>
              </w:rPr>
              <w:t>Project Feasibility</w:t>
            </w:r>
            <w:r w:rsidRPr="007424E0">
              <w:rPr>
                <w:rStyle w:val="normaltextrun"/>
                <w:sz w:val="20"/>
                <w:szCs w:val="20"/>
              </w:rPr>
              <w:t xml:space="preserve"> requirements as part of the Full Application submission. </w:t>
            </w:r>
            <w:r w:rsidRPr="007424E0">
              <w:rPr>
                <w:rStyle w:val="eop"/>
                <w:rFonts w:eastAsiaTheme="majorEastAsia"/>
                <w:sz w:val="20"/>
                <w:szCs w:val="20"/>
              </w:rPr>
              <w:t> </w:t>
            </w:r>
          </w:p>
          <w:p w14:paraId="62A9226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rFonts w:eastAsiaTheme="majorEastAsia"/>
                <w:sz w:val="20"/>
                <w:szCs w:val="20"/>
              </w:rPr>
              <w:t> </w:t>
            </w:r>
          </w:p>
          <w:p w14:paraId="0D9A636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However, applicants should not expect to be able to increase the bonds requested, as tax-exempt bonds are, for the time being, a scarce resource. Filling out the development budget and pro forma at the Competitive Review stage is to ensure DCA underwriters have information to work with in assessing whether the estimates and assumptions underlying the bonds request are reasonable and realistic. </w:t>
            </w:r>
            <w:r w:rsidRPr="007424E0">
              <w:rPr>
                <w:rStyle w:val="eop"/>
                <w:rFonts w:eastAsiaTheme="majorEastAsia"/>
                <w:sz w:val="20"/>
                <w:szCs w:val="20"/>
              </w:rPr>
              <w:t> </w:t>
            </w:r>
          </w:p>
          <w:p w14:paraId="76E3210E" w14:textId="77777777" w:rsidR="00412798" w:rsidRPr="007424E0" w:rsidRDefault="00412798" w:rsidP="000F6D48">
            <w:pPr>
              <w:pStyle w:val="paragraph"/>
              <w:spacing w:before="0" w:beforeAutospacing="0" w:after="0" w:afterAutospacing="0"/>
              <w:textAlignment w:val="baseline"/>
              <w:rPr>
                <w:rStyle w:val="eop"/>
                <w:sz w:val="20"/>
                <w:szCs w:val="20"/>
              </w:rPr>
            </w:pPr>
          </w:p>
        </w:tc>
      </w:tr>
      <w:tr w:rsidR="00412798" w:rsidRPr="007424E0" w14:paraId="71E1B81F"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517243DB"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9/15/22</w:t>
            </w:r>
          </w:p>
        </w:tc>
        <w:tc>
          <w:tcPr>
            <w:tcW w:w="2663" w:type="dxa"/>
            <w:shd w:val="clear" w:color="auto" w:fill="auto"/>
            <w:tcMar>
              <w:top w:w="72" w:type="dxa"/>
              <w:left w:w="115" w:type="dxa"/>
              <w:bottom w:w="72" w:type="dxa"/>
              <w:right w:w="115" w:type="dxa"/>
            </w:tcMar>
            <w:vAlign w:val="center"/>
          </w:tcPr>
          <w:p w14:paraId="27A2138F"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2.07</w:t>
            </w:r>
          </w:p>
          <w:p w14:paraId="0FD52E1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w:t>
            </w:r>
          </w:p>
          <w:p w14:paraId="0056EE39"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Environmental Requirements</w:t>
            </w:r>
          </w:p>
        </w:tc>
        <w:tc>
          <w:tcPr>
            <w:tcW w:w="9585" w:type="dxa"/>
            <w:shd w:val="clear" w:color="auto" w:fill="auto"/>
            <w:tcMar>
              <w:top w:w="72" w:type="dxa"/>
              <w:left w:w="115" w:type="dxa"/>
              <w:bottom w:w="72" w:type="dxa"/>
              <w:right w:w="115" w:type="dxa"/>
            </w:tcMar>
            <w:vAlign w:val="center"/>
          </w:tcPr>
          <w:p w14:paraId="21FDB27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1006350748 </w:t>
            </w:r>
            <w:r w:rsidRPr="007424E0">
              <w:rPr>
                <w:rFonts w:ascii="Times New Roman" w:hAnsi="Times New Roman" w:cs="Times New Roman"/>
                <w:sz w:val="20"/>
                <w:szCs w:val="20"/>
              </w:rPr>
              <w:br/>
            </w:r>
            <w:r w:rsidRPr="007424E0">
              <w:rPr>
                <w:rFonts w:ascii="Times New Roman" w:eastAsia="Times New Roman" w:hAnsi="Times New Roman" w:cs="Times New Roman"/>
                <w:color w:val="000000" w:themeColor="text1"/>
                <w:sz w:val="20"/>
                <w:szCs w:val="20"/>
              </w:rPr>
              <w:t>We are preparing our 4% Competitive Review Submission.  </w:t>
            </w:r>
          </w:p>
          <w:p w14:paraId="1CB423B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45CB43A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We understand that certain environmental reports are required by the 10/14/2022 deadline, but we are not clear whether a complete Asbestos, Lead, and Radon Report are required at that time, or whether providing evidence that they have been engaged and are underway would be sufficient.  </w:t>
            </w:r>
          </w:p>
          <w:p w14:paraId="21F02B0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15AF639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We would be able to submit the Phase I ESA, Noise Study, 50-Year Chain of Title, and Lien Search requirements by the 10/14/2022 deadline.  But the timing to obtain an Asbestos, Lead, and Radon Report is 60 days out, so we would have those separate reports shortly after the 10/14/2022 deadline.   </w:t>
            </w:r>
          </w:p>
          <w:p w14:paraId="048C6C9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1A2F142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1B241B12" w14:textId="77777777" w:rsidR="00412798" w:rsidRPr="007424E0" w:rsidRDefault="00412798" w:rsidP="000F6D48">
            <w:pPr>
              <w:textAlignment w:val="baseline"/>
              <w:rPr>
                <w:rFonts w:ascii="Times New Roman" w:eastAsia="Times New Roman" w:hAnsi="Times New Roman" w:cs="Times New Roman"/>
                <w:color w:val="333333"/>
                <w:sz w:val="20"/>
                <w:szCs w:val="20"/>
              </w:rPr>
            </w:pPr>
            <w:r w:rsidRPr="007424E0">
              <w:rPr>
                <w:rFonts w:ascii="Times New Roman" w:eastAsia="Times New Roman" w:hAnsi="Times New Roman" w:cs="Times New Roman"/>
                <w:color w:val="333333"/>
                <w:sz w:val="20"/>
                <w:szCs w:val="20"/>
              </w:rPr>
              <w:t>According to the DCA Environmental Review Manual, the asbestos survey, lead inspection and radon report are required to be included in Phase I ESA at the time of application. Providing only evidence that these reports have been engaged and are underway would not be sufficient and would be considered an incomplete environmental report for the application.  </w:t>
            </w:r>
          </w:p>
          <w:p w14:paraId="532F364A" w14:textId="77777777" w:rsidR="00412798" w:rsidRPr="007424E0" w:rsidRDefault="00412798" w:rsidP="000F6D48">
            <w:pPr>
              <w:textAlignment w:val="baseline"/>
              <w:rPr>
                <w:rFonts w:ascii="Times New Roman" w:eastAsia="Times New Roman" w:hAnsi="Times New Roman" w:cs="Times New Roman"/>
                <w:sz w:val="20"/>
                <w:szCs w:val="20"/>
              </w:rPr>
            </w:pPr>
          </w:p>
          <w:p w14:paraId="554289E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333333"/>
                <w:sz w:val="20"/>
                <w:szCs w:val="20"/>
              </w:rPr>
              <w:t xml:space="preserve">For more information on “incomplete document” penalties, please review </w:t>
            </w:r>
            <w:r w:rsidRPr="007424E0">
              <w:rPr>
                <w:rFonts w:ascii="Times New Roman" w:eastAsia="Times New Roman" w:hAnsi="Times New Roman" w:cs="Times New Roman"/>
                <w:b/>
                <w:bCs/>
                <w:color w:val="333333"/>
                <w:sz w:val="20"/>
                <w:szCs w:val="20"/>
              </w:rPr>
              <w:t>(Scoring Criteria) Application Completeness</w:t>
            </w:r>
            <w:r w:rsidRPr="007424E0">
              <w:rPr>
                <w:rFonts w:ascii="Times New Roman" w:eastAsia="Times New Roman" w:hAnsi="Times New Roman" w:cs="Times New Roman"/>
                <w:color w:val="333333"/>
                <w:sz w:val="20"/>
                <w:szCs w:val="20"/>
              </w:rPr>
              <w:t>.  </w:t>
            </w:r>
          </w:p>
          <w:p w14:paraId="74B22927"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72E5DDD4"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7B61804F"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9/15/22</w:t>
            </w:r>
          </w:p>
        </w:tc>
        <w:tc>
          <w:tcPr>
            <w:tcW w:w="2663" w:type="dxa"/>
            <w:shd w:val="clear" w:color="auto" w:fill="auto"/>
            <w:tcMar>
              <w:top w:w="72" w:type="dxa"/>
              <w:left w:w="115" w:type="dxa"/>
              <w:bottom w:w="72" w:type="dxa"/>
              <w:right w:w="115" w:type="dxa"/>
            </w:tcMar>
            <w:vAlign w:val="center"/>
          </w:tcPr>
          <w:p w14:paraId="66844B10"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2.20</w:t>
            </w:r>
          </w:p>
          <w:p w14:paraId="7C408218"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w:t>
            </w:r>
          </w:p>
          <w:p w14:paraId="51CBD864"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Experience, Capacity, and Performance Requirements</w:t>
            </w:r>
          </w:p>
        </w:tc>
        <w:tc>
          <w:tcPr>
            <w:tcW w:w="9585" w:type="dxa"/>
            <w:shd w:val="clear" w:color="auto" w:fill="auto"/>
            <w:tcMar>
              <w:top w:w="72" w:type="dxa"/>
              <w:left w:w="115" w:type="dxa"/>
              <w:bottom w:w="72" w:type="dxa"/>
              <w:right w:w="115" w:type="dxa"/>
            </w:tcMar>
            <w:vAlign w:val="center"/>
          </w:tcPr>
          <w:p w14:paraId="14394FF8" w14:textId="77777777" w:rsidR="00412798" w:rsidRPr="007424E0" w:rsidRDefault="00412798" w:rsidP="000F6D48">
            <w:pPr>
              <w:textAlignment w:val="baseline"/>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color w:val="000000" w:themeColor="text1"/>
                <w:sz w:val="20"/>
                <w:szCs w:val="20"/>
              </w:rPr>
              <w:t>998963315_2 </w:t>
            </w:r>
          </w:p>
          <w:p w14:paraId="75BD963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Since there is no pre-application for the 4% credits, do we need a Qualified Determination from DCA? </w:t>
            </w:r>
          </w:p>
          <w:p w14:paraId="0537990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40F5DF6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themeColor="text1"/>
                <w:sz w:val="20"/>
                <w:szCs w:val="20"/>
              </w:rPr>
              <w:t>One of our projects received a Qualified Determination from DCA when submitting for 9% applications. For the 4% round, we are submitting a separate application for a different property. Both teams are the same except the borrower entity is a single purpose entity, therefore different for the projects.  </w:t>
            </w:r>
          </w:p>
          <w:p w14:paraId="33877D8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themeColor="text1"/>
                <w:sz w:val="20"/>
                <w:szCs w:val="20"/>
              </w:rPr>
              <w:t> </w:t>
            </w:r>
          </w:p>
          <w:p w14:paraId="6FE7967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We will be using the Qualified Determination from DCA for the first project. Are we approaching this correctly? </w:t>
            </w:r>
            <w:r w:rsidRPr="007424E0">
              <w:rPr>
                <w:rFonts w:ascii="Times New Roman" w:eastAsia="Times New Roman" w:hAnsi="Times New Roman" w:cs="Times New Roman"/>
                <w:color w:val="000000"/>
                <w:sz w:val="20"/>
                <w:szCs w:val="20"/>
              </w:rPr>
              <w:br/>
              <w:t> </w:t>
            </w:r>
          </w:p>
          <w:p w14:paraId="2283EE5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3A5BE99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Competitive Review Submission due October 14</w:t>
            </w:r>
            <w:r w:rsidRPr="007424E0">
              <w:rPr>
                <w:rFonts w:ascii="Times New Roman" w:eastAsia="Times New Roman" w:hAnsi="Times New Roman" w:cs="Times New Roman"/>
                <w:sz w:val="20"/>
                <w:szCs w:val="20"/>
                <w:vertAlign w:val="superscript"/>
              </w:rPr>
              <w:t>th</w:t>
            </w:r>
            <w:r w:rsidRPr="007424E0">
              <w:rPr>
                <w:rFonts w:ascii="Times New Roman" w:eastAsia="Times New Roman" w:hAnsi="Times New Roman" w:cs="Times New Roman"/>
                <w:sz w:val="20"/>
                <w:szCs w:val="20"/>
              </w:rPr>
              <w:t xml:space="preserve"> must include documentation to meet all requirements for </w:t>
            </w:r>
            <w:r w:rsidRPr="007424E0">
              <w:rPr>
                <w:rFonts w:ascii="Times New Roman" w:eastAsia="Times New Roman" w:hAnsi="Times New Roman" w:cs="Times New Roman"/>
                <w:b/>
                <w:bCs/>
                <w:sz w:val="20"/>
                <w:szCs w:val="20"/>
              </w:rPr>
              <w:t>(Threshold Criteria) Experience, Capacity, and Performance Requirements for General Partners and Developer Entities</w:t>
            </w:r>
            <w:r w:rsidRPr="007424E0">
              <w:rPr>
                <w:rFonts w:ascii="Times New Roman" w:eastAsia="Times New Roman" w:hAnsi="Times New Roman" w:cs="Times New Roman"/>
                <w:sz w:val="20"/>
                <w:szCs w:val="20"/>
              </w:rPr>
              <w:t>.</w:t>
            </w:r>
            <w:r w:rsidRPr="007424E0">
              <w:rPr>
                <w:rFonts w:ascii="Times New Roman" w:eastAsia="Times New Roman" w:hAnsi="Times New Roman" w:cs="Times New Roman"/>
                <w:b/>
                <w:bCs/>
                <w:sz w:val="20"/>
                <w:szCs w:val="20"/>
              </w:rPr>
              <w:t xml:space="preserve"> </w:t>
            </w:r>
            <w:r w:rsidRPr="007424E0">
              <w:rPr>
                <w:rFonts w:ascii="Times New Roman" w:eastAsia="Times New Roman" w:hAnsi="Times New Roman" w:cs="Times New Roman"/>
                <w:sz w:val="20"/>
                <w:szCs w:val="20"/>
              </w:rPr>
              <w:t>You do need a qualification determination from DCA for purposes of the 2022 4%/Bonds Competitive Round. Please review “Required Documents” in the Competitive Round Announcement (</w:t>
            </w:r>
            <w:hyperlink r:id="rId26" w:tgtFrame="_blank" w:history="1">
              <w:r w:rsidRPr="007424E0">
                <w:rPr>
                  <w:rFonts w:ascii="Times New Roman" w:eastAsia="Times New Roman" w:hAnsi="Times New Roman" w:cs="Times New Roman"/>
                  <w:color w:val="0563C1"/>
                  <w:sz w:val="20"/>
                  <w:szCs w:val="20"/>
                  <w:u w:val="single"/>
                </w:rPr>
                <w:t>click here</w:t>
              </w:r>
            </w:hyperlink>
            <w:r w:rsidRPr="007424E0">
              <w:rPr>
                <w:rFonts w:ascii="Times New Roman" w:eastAsia="Times New Roman" w:hAnsi="Times New Roman" w:cs="Times New Roman"/>
                <w:sz w:val="20"/>
                <w:szCs w:val="20"/>
              </w:rPr>
              <w:t>).   </w:t>
            </w:r>
          </w:p>
          <w:p w14:paraId="731DC34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57D8C70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For the second question: subsection </w:t>
            </w:r>
            <w:r w:rsidRPr="007424E0">
              <w:rPr>
                <w:rFonts w:ascii="Times New Roman" w:eastAsia="Times New Roman" w:hAnsi="Times New Roman" w:cs="Times New Roman"/>
                <w:b/>
                <w:bCs/>
                <w:sz w:val="20"/>
                <w:szCs w:val="20"/>
              </w:rPr>
              <w:t>B. Requirements for Capacity</w:t>
            </w:r>
            <w:r w:rsidRPr="007424E0">
              <w:rPr>
                <w:rFonts w:ascii="Times New Roman" w:eastAsia="Times New Roman" w:hAnsi="Times New Roman" w:cs="Times New Roman"/>
                <w:sz w:val="20"/>
                <w:szCs w:val="20"/>
              </w:rPr>
              <w:t xml:space="preserve"> is project specific. This section states that capacity is assessed by looking at the applicant’s track record regarding “similar developments considering size, complexity and scope.”  </w:t>
            </w:r>
          </w:p>
          <w:p w14:paraId="3257D10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DFAB49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Assuming that the size, complexity, or scope varies between the two developments (e.g., the unit count for the 4%/Bonds Round application will be larger than what was approved for the 9% application), then please re-submit all documentation, include the QD letter received from DCA for purposes of the 2022 9% Round, and for purposes of the 4%/Bonds Round DCA will conduct the subsection </w:t>
            </w:r>
            <w:r w:rsidRPr="007424E0">
              <w:rPr>
                <w:rFonts w:ascii="Times New Roman" w:eastAsia="Times New Roman" w:hAnsi="Times New Roman" w:cs="Times New Roman"/>
                <w:b/>
                <w:bCs/>
                <w:sz w:val="20"/>
                <w:szCs w:val="20"/>
              </w:rPr>
              <w:t xml:space="preserve">B. Requirements for Capacity </w:t>
            </w:r>
            <w:r w:rsidRPr="007424E0">
              <w:rPr>
                <w:rFonts w:ascii="Times New Roman" w:eastAsia="Times New Roman" w:hAnsi="Times New Roman" w:cs="Times New Roman"/>
                <w:sz w:val="20"/>
                <w:szCs w:val="20"/>
              </w:rPr>
              <w:t>review.  </w:t>
            </w:r>
          </w:p>
          <w:p w14:paraId="45EEBD6D" w14:textId="77777777" w:rsidR="00412798" w:rsidRPr="007424E0" w:rsidRDefault="00412798" w:rsidP="000F6D48">
            <w:pPr>
              <w:textAlignment w:val="baseline"/>
              <w:rPr>
                <w:rFonts w:ascii="Times New Roman" w:eastAsia="Times New Roman" w:hAnsi="Times New Roman" w:cs="Times New Roman"/>
                <w:sz w:val="20"/>
                <w:szCs w:val="20"/>
              </w:rPr>
            </w:pPr>
          </w:p>
        </w:tc>
      </w:tr>
      <w:tr w:rsidR="00412798" w:rsidRPr="007424E0" w14:paraId="4F279117"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777C090B"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9/15/22</w:t>
            </w:r>
          </w:p>
        </w:tc>
        <w:tc>
          <w:tcPr>
            <w:tcW w:w="2663" w:type="dxa"/>
            <w:shd w:val="clear" w:color="auto" w:fill="auto"/>
            <w:tcMar>
              <w:top w:w="72" w:type="dxa"/>
              <w:left w:w="115" w:type="dxa"/>
              <w:bottom w:w="72" w:type="dxa"/>
              <w:right w:w="115" w:type="dxa"/>
            </w:tcMar>
            <w:vAlign w:val="center"/>
          </w:tcPr>
          <w:p w14:paraId="6C73F516"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3.02</w:t>
            </w:r>
          </w:p>
          <w:p w14:paraId="378E4434"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Scoring Criteria;</w:t>
            </w:r>
          </w:p>
          <w:p w14:paraId="67DB586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Applicability of Scoring Criteria</w:t>
            </w:r>
          </w:p>
        </w:tc>
        <w:tc>
          <w:tcPr>
            <w:tcW w:w="9585" w:type="dxa"/>
            <w:shd w:val="clear" w:color="auto" w:fill="auto"/>
            <w:tcMar>
              <w:top w:w="72" w:type="dxa"/>
              <w:left w:w="115" w:type="dxa"/>
              <w:bottom w:w="72" w:type="dxa"/>
              <w:right w:w="115" w:type="dxa"/>
            </w:tcMar>
            <w:vAlign w:val="center"/>
          </w:tcPr>
          <w:p w14:paraId="64DC501F" w14:textId="77777777" w:rsidR="00412798" w:rsidRPr="007424E0" w:rsidRDefault="00412798" w:rsidP="000F6D48">
            <w:pPr>
              <w:contextualSpacing/>
              <w:rPr>
                <w:rFonts w:ascii="Times New Roman" w:eastAsia="Calibri" w:hAnsi="Times New Roman" w:cs="Times New Roman"/>
                <w:color w:val="000000" w:themeColor="text1"/>
                <w:sz w:val="20"/>
                <w:szCs w:val="20"/>
              </w:rPr>
            </w:pPr>
            <w:r w:rsidRPr="007424E0">
              <w:rPr>
                <w:rFonts w:ascii="Times New Roman" w:hAnsi="Times New Roman" w:cs="Times New Roman"/>
                <w:b/>
                <w:bCs/>
                <w:sz w:val="20"/>
                <w:szCs w:val="20"/>
              </w:rPr>
              <w:t xml:space="preserve">Question ID: </w:t>
            </w:r>
            <w:r w:rsidRPr="007424E0">
              <w:rPr>
                <w:rFonts w:ascii="Times New Roman" w:eastAsia="Calibri" w:hAnsi="Times New Roman" w:cs="Times New Roman"/>
                <w:color w:val="000000" w:themeColor="text1"/>
                <w:sz w:val="20"/>
                <w:szCs w:val="20"/>
              </w:rPr>
              <w:t>996606345_2</w:t>
            </w:r>
            <w:r w:rsidRPr="007424E0">
              <w:rPr>
                <w:rFonts w:ascii="Times New Roman" w:hAnsi="Times New Roman" w:cs="Times New Roman"/>
                <w:sz w:val="20"/>
                <w:szCs w:val="20"/>
              </w:rPr>
              <w:br/>
            </w:r>
            <w:r w:rsidRPr="007424E0">
              <w:rPr>
                <w:rFonts w:ascii="Times New Roman" w:eastAsia="Calibri" w:hAnsi="Times New Roman" w:cs="Times New Roman"/>
                <w:color w:val="000000" w:themeColor="text1"/>
                <w:sz w:val="20"/>
                <w:szCs w:val="20"/>
              </w:rPr>
              <w:t>There are differing point values between the 9% and 4% scoring categories but within each category there is no guidance on how those points are discounted from 9% to 4%, for example: the max score for community transportation for a 9% deal is 6 points however the max points for a 4% is only 4 and there is no guidance as to what is and is not applicable to account for the 2 point difference within the QAP. I have similar questions about: Desirable/Undesirables, Quality Education, Revitalization/Redevelopment Plans, Stable Communities, Community Designations, and Favorable Financing.</w:t>
            </w:r>
          </w:p>
          <w:p w14:paraId="72FA9F22" w14:textId="77777777" w:rsidR="00412798" w:rsidRPr="007424E0" w:rsidRDefault="00412798" w:rsidP="000F6D48">
            <w:pPr>
              <w:contextualSpacing/>
              <w:rPr>
                <w:rFonts w:ascii="Times New Roman" w:eastAsia="Times New Roman" w:hAnsi="Times New Roman" w:cs="Times New Roman"/>
                <w:color w:val="000000" w:themeColor="text1"/>
                <w:sz w:val="20"/>
                <w:szCs w:val="20"/>
              </w:rPr>
            </w:pPr>
          </w:p>
          <w:p w14:paraId="13B7CE72"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0D779EE5"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(Scoring Criteria) Applicability of Scoring Criteria</w:t>
            </w:r>
            <w:r w:rsidRPr="007424E0">
              <w:rPr>
                <w:rFonts w:ascii="Times New Roman" w:hAnsi="Times New Roman" w:cs="Times New Roman"/>
                <w:sz w:val="20"/>
                <w:szCs w:val="20"/>
              </w:rPr>
              <w:t xml:space="preserve"> states: This means that applicants can claim points in a section for any option that they qualify for, but the number of points that contribute to the application score for purposes of the 4%/Bonds Competitive Round will be limited by the maximum listed in the table. </w:t>
            </w:r>
          </w:p>
          <w:p w14:paraId="41176280" w14:textId="77777777" w:rsidR="00412798" w:rsidRPr="007424E0" w:rsidRDefault="00412798" w:rsidP="000F6D48">
            <w:pPr>
              <w:contextualSpacing/>
              <w:rPr>
                <w:rFonts w:ascii="Times New Roman" w:hAnsi="Times New Roman" w:cs="Times New Roman"/>
                <w:sz w:val="20"/>
                <w:szCs w:val="20"/>
              </w:rPr>
            </w:pPr>
          </w:p>
          <w:p w14:paraId="392AA1E4"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 xml:space="preserve">While there are point limitation differences between 9% and 4% applications for certain scoring sections, there is otherwise no difference in how a 9% application or a 4% application would be prepared for the same scoring section. </w:t>
            </w:r>
          </w:p>
          <w:p w14:paraId="3391760E" w14:textId="77777777" w:rsidR="00412798" w:rsidRPr="007424E0" w:rsidRDefault="00412798" w:rsidP="000F6D48">
            <w:pPr>
              <w:contextualSpacing/>
              <w:rPr>
                <w:rFonts w:ascii="Times New Roman" w:hAnsi="Times New Roman" w:cs="Times New Roman"/>
                <w:sz w:val="20"/>
                <w:szCs w:val="20"/>
              </w:rPr>
            </w:pPr>
          </w:p>
          <w:p w14:paraId="6E6AC2D6"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 xml:space="preserve">The below examples compare two hypothetical 4%/Bonds Round applications: </w:t>
            </w:r>
          </w:p>
          <w:p w14:paraId="10C17E16" w14:textId="77777777" w:rsidR="00412798" w:rsidRPr="007424E0" w:rsidRDefault="00412798" w:rsidP="000F6D48">
            <w:pPr>
              <w:contextualSpacing/>
              <w:rPr>
                <w:rFonts w:ascii="Times New Roman" w:hAnsi="Times New Roman" w:cs="Times New Roman"/>
                <w:sz w:val="20"/>
                <w:szCs w:val="20"/>
              </w:rPr>
            </w:pPr>
          </w:p>
          <w:p w14:paraId="6A0ECCA9" w14:textId="77777777" w:rsidR="00412798" w:rsidRPr="007424E0" w:rsidRDefault="00412798" w:rsidP="000F6D48">
            <w:pPr>
              <w:pStyle w:val="ListParagraph"/>
              <w:numPr>
                <w:ilvl w:val="0"/>
                <w:numId w:val="64"/>
              </w:numPr>
              <w:rPr>
                <w:rFonts w:ascii="Times New Roman" w:hAnsi="Times New Roman" w:cs="Times New Roman"/>
                <w:sz w:val="20"/>
                <w:szCs w:val="20"/>
              </w:rPr>
            </w:pPr>
            <w:r w:rsidRPr="007424E0">
              <w:rPr>
                <w:rFonts w:ascii="Times New Roman" w:hAnsi="Times New Roman" w:cs="Times New Roman"/>
                <w:sz w:val="20"/>
                <w:szCs w:val="20"/>
              </w:rPr>
              <w:t xml:space="preserve">The 4% maximum for </w:t>
            </w:r>
            <w:r w:rsidRPr="007424E0">
              <w:rPr>
                <w:rFonts w:ascii="Times New Roman" w:hAnsi="Times New Roman" w:cs="Times New Roman"/>
                <w:b/>
                <w:bCs/>
                <w:sz w:val="20"/>
                <w:szCs w:val="20"/>
              </w:rPr>
              <w:t>Community Transportation Options</w:t>
            </w:r>
            <w:r w:rsidRPr="007424E0">
              <w:rPr>
                <w:rFonts w:ascii="Times New Roman" w:hAnsi="Times New Roman" w:cs="Times New Roman"/>
                <w:sz w:val="20"/>
                <w:szCs w:val="20"/>
              </w:rPr>
              <w:t xml:space="preserve"> is 4 points. Suppose two applications claim points under subsection </w:t>
            </w:r>
            <w:r w:rsidRPr="007424E0">
              <w:rPr>
                <w:rFonts w:ascii="Times New Roman" w:hAnsi="Times New Roman" w:cs="Times New Roman"/>
                <w:b/>
                <w:bCs/>
                <w:sz w:val="20"/>
                <w:szCs w:val="20"/>
              </w:rPr>
              <w:t>A. Transit-Oriented Development</w:t>
            </w:r>
            <w:r w:rsidRPr="007424E0">
              <w:rPr>
                <w:rFonts w:ascii="Times New Roman" w:hAnsi="Times New Roman" w:cs="Times New Roman"/>
                <w:sz w:val="20"/>
                <w:szCs w:val="20"/>
              </w:rPr>
              <w:t xml:space="preserve">. One application is 0.25 miles from a transit hub and the other is 1 mile from a transit hub. Both will only receive 4 points. </w:t>
            </w:r>
            <w:r w:rsidRPr="007424E0">
              <w:rPr>
                <w:rFonts w:ascii="Times New Roman" w:hAnsi="Times New Roman" w:cs="Times New Roman"/>
                <w:sz w:val="20"/>
                <w:szCs w:val="20"/>
              </w:rPr>
              <w:br/>
            </w:r>
          </w:p>
          <w:p w14:paraId="54CE51D9" w14:textId="77777777" w:rsidR="00412798" w:rsidRPr="007424E0" w:rsidRDefault="00412798" w:rsidP="000F6D48">
            <w:pPr>
              <w:pStyle w:val="ListParagraph"/>
              <w:numPr>
                <w:ilvl w:val="0"/>
                <w:numId w:val="64"/>
              </w:numPr>
              <w:rPr>
                <w:rFonts w:ascii="Times New Roman" w:hAnsi="Times New Roman" w:cs="Times New Roman"/>
                <w:sz w:val="20"/>
                <w:szCs w:val="20"/>
              </w:rPr>
            </w:pPr>
            <w:r w:rsidRPr="007424E0">
              <w:rPr>
                <w:rFonts w:ascii="Times New Roman" w:hAnsi="Times New Roman" w:cs="Times New Roman"/>
                <w:sz w:val="20"/>
                <w:szCs w:val="20"/>
              </w:rPr>
              <w:t xml:space="preserve">The 4% maximum for </w:t>
            </w:r>
            <w:r w:rsidRPr="007424E0">
              <w:rPr>
                <w:rFonts w:ascii="Times New Roman" w:hAnsi="Times New Roman" w:cs="Times New Roman"/>
                <w:b/>
                <w:bCs/>
                <w:sz w:val="20"/>
                <w:szCs w:val="20"/>
              </w:rPr>
              <w:t>Desirable/Undesirable Activities</w:t>
            </w:r>
            <w:r w:rsidRPr="007424E0">
              <w:rPr>
                <w:rFonts w:ascii="Times New Roman" w:hAnsi="Times New Roman" w:cs="Times New Roman"/>
                <w:sz w:val="20"/>
                <w:szCs w:val="20"/>
              </w:rPr>
              <w:t xml:space="preserve"> is 12 points. Suppose one application claims 18 points under this section and another 12 points. Both will only receive 12 points. </w:t>
            </w:r>
            <w:r w:rsidRPr="007424E0">
              <w:rPr>
                <w:rFonts w:ascii="Times New Roman" w:hAnsi="Times New Roman" w:cs="Times New Roman"/>
                <w:sz w:val="20"/>
                <w:szCs w:val="20"/>
              </w:rPr>
              <w:br/>
            </w:r>
          </w:p>
          <w:p w14:paraId="0A26E59A" w14:textId="77777777" w:rsidR="00412798" w:rsidRPr="007424E0" w:rsidRDefault="00412798" w:rsidP="000F6D48">
            <w:pPr>
              <w:pStyle w:val="ListParagraph"/>
              <w:numPr>
                <w:ilvl w:val="0"/>
                <w:numId w:val="64"/>
              </w:numPr>
              <w:rPr>
                <w:rFonts w:ascii="Times New Roman" w:hAnsi="Times New Roman" w:cs="Times New Roman"/>
                <w:sz w:val="20"/>
                <w:szCs w:val="20"/>
              </w:rPr>
            </w:pPr>
            <w:r w:rsidRPr="007424E0">
              <w:rPr>
                <w:rFonts w:ascii="Times New Roman" w:hAnsi="Times New Roman" w:cs="Times New Roman"/>
                <w:sz w:val="20"/>
                <w:szCs w:val="20"/>
              </w:rPr>
              <w:t xml:space="preserve">The 4% maximum for </w:t>
            </w:r>
            <w:r w:rsidRPr="007424E0">
              <w:rPr>
                <w:rFonts w:ascii="Times New Roman" w:hAnsi="Times New Roman" w:cs="Times New Roman"/>
                <w:b/>
                <w:bCs/>
                <w:sz w:val="20"/>
                <w:szCs w:val="20"/>
              </w:rPr>
              <w:t>Quality Education Areas</w:t>
            </w:r>
            <w:r w:rsidRPr="007424E0">
              <w:rPr>
                <w:rFonts w:ascii="Times New Roman" w:hAnsi="Times New Roman" w:cs="Times New Roman"/>
                <w:sz w:val="20"/>
                <w:szCs w:val="20"/>
              </w:rPr>
              <w:t xml:space="preserve"> is 2 points. Suppose for two applications, both have qualifying schools serving all grades K-12. One application is family tenancy and the other HFOP tenancy. Both will only receive 2 points. </w:t>
            </w:r>
          </w:p>
          <w:p w14:paraId="1142EA6A"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538F7594"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BF5FC1E"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9/13/22</w:t>
            </w:r>
          </w:p>
        </w:tc>
        <w:tc>
          <w:tcPr>
            <w:tcW w:w="2663" w:type="dxa"/>
            <w:shd w:val="clear" w:color="auto" w:fill="auto"/>
            <w:tcMar>
              <w:top w:w="72" w:type="dxa"/>
              <w:left w:w="115" w:type="dxa"/>
              <w:bottom w:w="72" w:type="dxa"/>
              <w:right w:w="115" w:type="dxa"/>
            </w:tcMar>
            <w:vAlign w:val="center"/>
          </w:tcPr>
          <w:p w14:paraId="66D5DFCA"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2.02</w:t>
            </w:r>
          </w:p>
          <w:p w14:paraId="35F740D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Threshold Criteria; </w:t>
            </w:r>
          </w:p>
          <w:p w14:paraId="6980617B"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Project Feasibility, Viability Analysis &amp; Conformance with Plan</w:t>
            </w:r>
          </w:p>
        </w:tc>
        <w:tc>
          <w:tcPr>
            <w:tcW w:w="9585" w:type="dxa"/>
            <w:shd w:val="clear" w:color="auto" w:fill="auto"/>
            <w:tcMar>
              <w:top w:w="72" w:type="dxa"/>
              <w:left w:w="115" w:type="dxa"/>
              <w:bottom w:w="72" w:type="dxa"/>
              <w:right w:w="115" w:type="dxa"/>
            </w:tcMar>
            <w:vAlign w:val="center"/>
          </w:tcPr>
          <w:p w14:paraId="7D28ADE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b/>
                <w:bCs/>
                <w:sz w:val="20"/>
                <w:szCs w:val="20"/>
              </w:rPr>
              <w:t>Question ID:</w:t>
            </w:r>
            <w:r w:rsidRPr="007424E0">
              <w:rPr>
                <w:rFonts w:ascii="Times New Roman" w:hAnsi="Times New Roman" w:cs="Times New Roman"/>
                <w:sz w:val="20"/>
                <w:szCs w:val="20"/>
              </w:rPr>
              <w:t xml:space="preserve"> 966591811 </w:t>
            </w:r>
          </w:p>
          <w:p w14:paraId="1CA491A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color w:val="000000"/>
                <w:sz w:val="20"/>
                <w:szCs w:val="20"/>
              </w:rPr>
              <w:t>Pages 5-6 of the QAP's Threshold section state: </w:t>
            </w:r>
          </w:p>
          <w:p w14:paraId="7074443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color w:val="000000"/>
                <w:sz w:val="20"/>
                <w:szCs w:val="20"/>
              </w:rPr>
              <w:t> </w:t>
            </w:r>
          </w:p>
          <w:p w14:paraId="376A4461" w14:textId="77777777" w:rsidR="00412798" w:rsidRPr="007424E0" w:rsidRDefault="00412798" w:rsidP="000F6D48">
            <w:pPr>
              <w:rPr>
                <w:rFonts w:ascii="Times New Roman" w:hAnsi="Times New Roman" w:cs="Times New Roman"/>
                <w:b/>
                <w:bCs/>
                <w:sz w:val="20"/>
                <w:szCs w:val="20"/>
              </w:rPr>
            </w:pPr>
            <w:r w:rsidRPr="007424E0">
              <w:rPr>
                <w:rFonts w:ascii="Times New Roman" w:hAnsi="Times New Roman" w:cs="Times New Roman"/>
                <w:b/>
                <w:bCs/>
                <w:color w:val="000000"/>
                <w:sz w:val="20"/>
                <w:szCs w:val="20"/>
              </w:rPr>
              <w:t>8. Project Based Rental Assistance (PBRA)/Rental Assistance Demonstration Program (RAD):  </w:t>
            </w:r>
          </w:p>
          <w:p w14:paraId="02CE18E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i/>
                <w:iCs/>
                <w:color w:val="000000"/>
                <w:sz w:val="20"/>
                <w:szCs w:val="20"/>
              </w:rPr>
              <w:t>Projects with PBRA that have less than ten years remaining from Application Submission Date, must be underwritten within the maximum tax credit rents and/or HOME rents, as applicable. (All units with High HOME rents and PBRA must be underwritten at the maximum HOME rent).</w:t>
            </w:r>
            <w:r w:rsidRPr="007424E0">
              <w:rPr>
                <w:rFonts w:ascii="Times New Roman" w:hAnsi="Times New Roman" w:cs="Times New Roman"/>
                <w:color w:val="000000"/>
                <w:sz w:val="20"/>
                <w:szCs w:val="20"/>
              </w:rPr>
              <w:t> </w:t>
            </w:r>
          </w:p>
          <w:p w14:paraId="379D28D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color w:val="000000"/>
                <w:sz w:val="20"/>
                <w:szCs w:val="20"/>
              </w:rPr>
              <w:t> </w:t>
            </w:r>
          </w:p>
          <w:p w14:paraId="23345CF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color w:val="000000"/>
                <w:sz w:val="20"/>
                <w:szCs w:val="20"/>
              </w:rPr>
              <w:t>Looking at a 100% Section 8, acquisition/rehab property (4% w/TEBs), a common strategy is to go through a Chapter 15 (post-renovation) mark-up-to-market (MU2M) process through HUD, while applying for LIHTCs and securing the TEBs. The post-renovation MU2M results in higher rental subsidy from HUD, thus allowing more permanent debt, thus increasing the amount of rehab that can be carried out. The MU2M also results in a new 20-year HAP contract being placed on the property. From a LIHTC perspective, the units are still restricted at 60% AMI, or a lower percentage if chosen. </w:t>
            </w:r>
          </w:p>
          <w:p w14:paraId="2ADEEAD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color w:val="000000"/>
                <w:sz w:val="20"/>
                <w:szCs w:val="20"/>
              </w:rPr>
              <w:t> </w:t>
            </w:r>
          </w:p>
          <w:p w14:paraId="44E4DB2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color w:val="000000"/>
                <w:sz w:val="20"/>
                <w:szCs w:val="20"/>
              </w:rPr>
              <w:t xml:space="preserve">Given the QAP language, I am not clear if DCA would underwrite the projected MU2M rents for a property with less than 10-years remaining on the current HAP contract. Depending on market, being limited to maximum LIHTC </w:t>
            </w:r>
            <w:r w:rsidRPr="007424E0">
              <w:rPr>
                <w:rFonts w:ascii="Times New Roman" w:hAnsi="Times New Roman" w:cs="Times New Roman"/>
                <w:color w:val="000000"/>
                <w:sz w:val="20"/>
                <w:szCs w:val="20"/>
              </w:rPr>
              <w:lastRenderedPageBreak/>
              <w:t>rents could dramatically decrease the amount of rehab able to be performed. </w:t>
            </w:r>
            <w:r w:rsidRPr="007424E0">
              <w:rPr>
                <w:rFonts w:ascii="Times New Roman" w:hAnsi="Times New Roman" w:cs="Times New Roman"/>
                <w:color w:val="000000"/>
                <w:sz w:val="20"/>
                <w:szCs w:val="20"/>
              </w:rPr>
              <w:br/>
              <w:t> </w:t>
            </w:r>
          </w:p>
          <w:p w14:paraId="1AB944B6" w14:textId="77777777" w:rsidR="00412798" w:rsidRPr="007424E0" w:rsidRDefault="00412798" w:rsidP="000F6D48">
            <w:pPr>
              <w:rPr>
                <w:rFonts w:ascii="Times New Roman" w:hAnsi="Times New Roman" w:cs="Times New Roman"/>
                <w:b/>
                <w:bCs/>
                <w:sz w:val="20"/>
                <w:szCs w:val="20"/>
              </w:rPr>
            </w:pPr>
            <w:r w:rsidRPr="007424E0">
              <w:rPr>
                <w:rFonts w:ascii="Times New Roman" w:hAnsi="Times New Roman" w:cs="Times New Roman"/>
                <w:b/>
                <w:bCs/>
                <w:sz w:val="20"/>
                <w:szCs w:val="20"/>
              </w:rPr>
              <w:t>Answer:   </w:t>
            </w:r>
          </w:p>
          <w:p w14:paraId="508DBB2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At baseline, per </w:t>
            </w:r>
            <w:r w:rsidRPr="007424E0">
              <w:rPr>
                <w:rFonts w:ascii="Times New Roman" w:hAnsi="Times New Roman" w:cs="Times New Roman"/>
                <w:b/>
                <w:bCs/>
                <w:sz w:val="20"/>
                <w:szCs w:val="20"/>
              </w:rPr>
              <w:t>(Threshold Criteria) Project Feasibility</w:t>
            </w:r>
            <w:r w:rsidRPr="007424E0">
              <w:rPr>
                <w:rFonts w:ascii="Times New Roman" w:hAnsi="Times New Roman" w:cs="Times New Roman"/>
                <w:sz w:val="20"/>
                <w:szCs w:val="20"/>
              </w:rPr>
              <w:t xml:space="preserve">, subsection A.8, </w:t>
            </w:r>
            <w:r w:rsidRPr="007424E0">
              <w:rPr>
                <w:rFonts w:ascii="Times New Roman" w:hAnsi="Times New Roman" w:cs="Times New Roman"/>
                <w:i/>
                <w:iCs/>
                <w:sz w:val="20"/>
                <w:szCs w:val="20"/>
              </w:rPr>
              <w:t>“Projects with PBRA that have less than ten years remaining from Application Submission Date, must be underwritten within the maximum tax credit rents and/or HOME rents, as applicable.”</w:t>
            </w:r>
            <w:r w:rsidRPr="007424E0">
              <w:rPr>
                <w:rFonts w:ascii="Times New Roman" w:hAnsi="Times New Roman" w:cs="Times New Roman"/>
                <w:sz w:val="20"/>
                <w:szCs w:val="20"/>
              </w:rPr>
              <w:t>  </w:t>
            </w:r>
          </w:p>
          <w:p w14:paraId="6851BA7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w:t>
            </w:r>
          </w:p>
          <w:p w14:paraId="226BEF6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If selected under the Competitive Review process, DCA would be open to waiving this requirement given the applicant’s circumstances provided we receive a letter from HUD providing assurances of comparable stringency to the “Template HUD Letter for RAD / Section 18 Blends” (</w:t>
            </w:r>
            <w:hyperlink r:id="rId27" w:tgtFrame="_blank" w:history="1">
              <w:r w:rsidRPr="007424E0">
                <w:rPr>
                  <w:rStyle w:val="Hyperlink"/>
                  <w:rFonts w:ascii="Times New Roman" w:hAnsi="Times New Roman" w:cs="Times New Roman"/>
                  <w:sz w:val="20"/>
                  <w:szCs w:val="20"/>
                </w:rPr>
                <w:t>click here</w:t>
              </w:r>
            </w:hyperlink>
            <w:r w:rsidRPr="007424E0">
              <w:rPr>
                <w:rFonts w:ascii="Times New Roman" w:hAnsi="Times New Roman" w:cs="Times New Roman"/>
                <w:sz w:val="20"/>
                <w:szCs w:val="20"/>
              </w:rPr>
              <w:t>).  </w:t>
            </w:r>
          </w:p>
          <w:p w14:paraId="21CD1446" w14:textId="77777777" w:rsidR="00412798" w:rsidRPr="007424E0" w:rsidRDefault="00412798" w:rsidP="000F6D48">
            <w:pPr>
              <w:rPr>
                <w:rFonts w:ascii="Times New Roman" w:eastAsia="Times New Roman" w:hAnsi="Times New Roman" w:cs="Times New Roman"/>
                <w:b/>
                <w:bCs/>
                <w:sz w:val="20"/>
                <w:szCs w:val="20"/>
              </w:rPr>
            </w:pPr>
          </w:p>
        </w:tc>
      </w:tr>
      <w:tr w:rsidR="00412798" w:rsidRPr="007424E0" w14:paraId="6475A16B"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419E98CA"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9/13/22</w:t>
            </w:r>
          </w:p>
        </w:tc>
        <w:tc>
          <w:tcPr>
            <w:tcW w:w="2663" w:type="dxa"/>
            <w:shd w:val="clear" w:color="auto" w:fill="auto"/>
            <w:tcMar>
              <w:top w:w="72" w:type="dxa"/>
              <w:left w:w="115" w:type="dxa"/>
              <w:bottom w:w="72" w:type="dxa"/>
              <w:right w:w="115" w:type="dxa"/>
            </w:tcMar>
            <w:vAlign w:val="center"/>
          </w:tcPr>
          <w:p w14:paraId="7C58580B"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2.02</w:t>
            </w:r>
          </w:p>
          <w:p w14:paraId="643695F4"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 Criteria;</w:t>
            </w:r>
          </w:p>
          <w:p w14:paraId="1D23AA81"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Project Feasibility, Viability Analysis &amp; Conformance with Plan</w:t>
            </w:r>
          </w:p>
        </w:tc>
        <w:tc>
          <w:tcPr>
            <w:tcW w:w="9585" w:type="dxa"/>
            <w:shd w:val="clear" w:color="auto" w:fill="auto"/>
            <w:tcMar>
              <w:top w:w="72" w:type="dxa"/>
              <w:left w:w="115" w:type="dxa"/>
              <w:bottom w:w="72" w:type="dxa"/>
              <w:right w:w="115" w:type="dxa"/>
            </w:tcMar>
            <w:vAlign w:val="center"/>
          </w:tcPr>
          <w:p w14:paraId="7C50C9D0"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1001139876_2</w:t>
            </w:r>
            <w:r w:rsidRPr="007424E0">
              <w:rPr>
                <w:rFonts w:ascii="Times New Roman" w:eastAsia="Times New Roman" w:hAnsi="Times New Roman" w:cs="Times New Roman"/>
                <w:b/>
                <w:bCs/>
                <w:sz w:val="20"/>
                <w:szCs w:val="20"/>
              </w:rPr>
              <w:t> </w:t>
            </w:r>
          </w:p>
          <w:p w14:paraId="425B1E2F"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DCA received the following two related questions: </w:t>
            </w:r>
          </w:p>
          <w:p w14:paraId="3CA1C106"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476D5C1" w14:textId="77777777" w:rsidR="00412798" w:rsidRPr="007424E0" w:rsidRDefault="00412798" w:rsidP="000F6D48">
            <w:pPr>
              <w:numPr>
                <w:ilvl w:val="0"/>
                <w:numId w:val="62"/>
              </w:num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In the 9/7 Q&amp;A </w:t>
            </w:r>
            <w:r w:rsidRPr="007424E0">
              <w:rPr>
                <w:rFonts w:ascii="Times New Roman" w:eastAsia="Times New Roman" w:hAnsi="Times New Roman" w:cs="Times New Roman"/>
                <w:b/>
                <w:bCs/>
                <w:sz w:val="20"/>
                <w:szCs w:val="20"/>
              </w:rPr>
              <w:t>Question ID: 995414261</w:t>
            </w:r>
            <w:r w:rsidRPr="007424E0">
              <w:rPr>
                <w:rFonts w:ascii="Times New Roman" w:eastAsia="Times New Roman" w:hAnsi="Times New Roman" w:cs="Times New Roman"/>
                <w:sz w:val="20"/>
                <w:szCs w:val="20"/>
              </w:rPr>
              <w:t xml:space="preserve">, DCA states </w:t>
            </w:r>
            <w:r w:rsidRPr="007424E0">
              <w:rPr>
                <w:rFonts w:ascii="Times New Roman" w:eastAsia="Times New Roman" w:hAnsi="Times New Roman" w:cs="Times New Roman"/>
                <w:i/>
                <w:iCs/>
                <w:sz w:val="20"/>
                <w:szCs w:val="20"/>
              </w:rPr>
              <w:t>"Applicants still must complete the underwriting model in the Excel Core Application, and for that purpose applicants should use the most accurate and up-to-date information available to them."</w:t>
            </w:r>
            <w:r w:rsidRPr="007424E0">
              <w:rPr>
                <w:rFonts w:ascii="Times New Roman" w:eastAsia="Times New Roman" w:hAnsi="Times New Roman" w:cs="Times New Roman"/>
                <w:sz w:val="20"/>
                <w:szCs w:val="20"/>
              </w:rPr>
              <w:t xml:space="preserve"> However, the QAP states, "</w:t>
            </w:r>
            <w:r w:rsidRPr="007424E0">
              <w:rPr>
                <w:rFonts w:ascii="Times New Roman" w:eastAsia="Times New Roman" w:hAnsi="Times New Roman" w:cs="Times New Roman"/>
                <w:i/>
                <w:iCs/>
                <w:sz w:val="20"/>
                <w:szCs w:val="20"/>
              </w:rPr>
              <w:t>Rents in effect as of January 1, 2022, must be used.”</w:t>
            </w:r>
            <w:r w:rsidRPr="007424E0">
              <w:rPr>
                <w:rFonts w:ascii="Times New Roman" w:eastAsia="Times New Roman" w:hAnsi="Times New Roman" w:cs="Times New Roman"/>
                <w:sz w:val="20"/>
                <w:szCs w:val="20"/>
              </w:rPr>
              <w:t xml:space="preserve"> Can DCA clarify for the 4% bond round if applicants should use 2021 data which would meet the QAP Guidelines or 2022 data which would meet DCA's Q&amp;A response? </w:t>
            </w:r>
            <w:r w:rsidRPr="007424E0">
              <w:rPr>
                <w:rFonts w:ascii="Times New Roman" w:eastAsia="Times New Roman" w:hAnsi="Times New Roman" w:cs="Times New Roman"/>
                <w:sz w:val="20"/>
                <w:szCs w:val="20"/>
              </w:rPr>
              <w:br/>
              <w:t> </w:t>
            </w:r>
          </w:p>
          <w:p w14:paraId="7DF30708" w14:textId="77777777" w:rsidR="00412798" w:rsidRPr="007424E0" w:rsidRDefault="00412798" w:rsidP="000F6D48">
            <w:pPr>
              <w:numPr>
                <w:ilvl w:val="0"/>
                <w:numId w:val="63"/>
              </w:numPr>
              <w:rPr>
                <w:rFonts w:ascii="Times New Roman" w:eastAsia="Times New Roman" w:hAnsi="Times New Roman" w:cs="Times New Roman"/>
                <w:b/>
                <w:bCs/>
                <w:sz w:val="20"/>
                <w:szCs w:val="20"/>
              </w:rPr>
            </w:pPr>
            <w:r w:rsidRPr="007424E0">
              <w:rPr>
                <w:rFonts w:ascii="Times New Roman" w:eastAsia="Times New Roman" w:hAnsi="Times New Roman" w:cs="Times New Roman"/>
                <w:sz w:val="20"/>
                <w:szCs w:val="20"/>
              </w:rPr>
              <w:t>Can the 2022 income limits be used? The way the QAP is written, it refers to using the 2021 limits as those were in effect on 1/1/22.</w:t>
            </w:r>
            <w:r w:rsidRPr="007424E0">
              <w:rPr>
                <w:rFonts w:ascii="Times New Roman" w:eastAsia="Times New Roman" w:hAnsi="Times New Roman" w:cs="Times New Roman"/>
                <w:b/>
                <w:bCs/>
                <w:sz w:val="20"/>
                <w:szCs w:val="20"/>
              </w:rPr>
              <w:t> </w:t>
            </w:r>
            <w:r w:rsidRPr="007424E0">
              <w:rPr>
                <w:rFonts w:ascii="Times New Roman" w:eastAsia="Times New Roman" w:hAnsi="Times New Roman" w:cs="Times New Roman"/>
                <w:b/>
                <w:bCs/>
                <w:sz w:val="20"/>
                <w:szCs w:val="20"/>
              </w:rPr>
              <w:br/>
              <w:t> </w:t>
            </w:r>
          </w:p>
          <w:p w14:paraId="6F61A767"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Answer:  </w:t>
            </w:r>
          </w:p>
          <w:p w14:paraId="10601108"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policy </w:t>
            </w:r>
            <w:r w:rsidRPr="007424E0">
              <w:rPr>
                <w:rFonts w:ascii="Times New Roman" w:eastAsia="Times New Roman" w:hAnsi="Times New Roman" w:cs="Times New Roman"/>
                <w:i/>
                <w:iCs/>
                <w:sz w:val="20"/>
                <w:szCs w:val="20"/>
              </w:rPr>
              <w:t>“Rents in effect as of January 1, 2022”</w:t>
            </w:r>
            <w:r w:rsidRPr="007424E0">
              <w:rPr>
                <w:rFonts w:ascii="Times New Roman" w:eastAsia="Times New Roman" w:hAnsi="Times New Roman" w:cs="Times New Roman"/>
                <w:sz w:val="20"/>
                <w:szCs w:val="20"/>
              </w:rPr>
              <w:t xml:space="preserve"> does not apply to the 2022 4%/Bonds Competitive Round. The above-referenced provision exists to ensure a level of consistency when </w:t>
            </w:r>
            <w:r w:rsidRPr="007424E0">
              <w:rPr>
                <w:rFonts w:ascii="Times New Roman" w:eastAsia="Times New Roman" w:hAnsi="Times New Roman" w:cs="Times New Roman"/>
                <w:b/>
                <w:bCs/>
                <w:sz w:val="20"/>
                <w:szCs w:val="20"/>
              </w:rPr>
              <w:t>(Threshold Criteria) Project Feasibility</w:t>
            </w:r>
            <w:r w:rsidRPr="007424E0">
              <w:rPr>
                <w:rFonts w:ascii="Times New Roman" w:eastAsia="Times New Roman" w:hAnsi="Times New Roman" w:cs="Times New Roman"/>
                <w:sz w:val="20"/>
                <w:szCs w:val="20"/>
              </w:rPr>
              <w:t xml:space="preserve"> is evaluated during the competitive review process, which is the case for the 9% Competitive Round. Per </w:t>
            </w:r>
            <w:r w:rsidRPr="007424E0">
              <w:rPr>
                <w:rFonts w:ascii="Times New Roman" w:eastAsia="Times New Roman" w:hAnsi="Times New Roman" w:cs="Times New Roman"/>
                <w:b/>
                <w:bCs/>
                <w:sz w:val="20"/>
                <w:szCs w:val="20"/>
              </w:rPr>
              <w:t>(Threshold Criteria) Applicability of Threshold Criteria</w:t>
            </w:r>
            <w:r w:rsidRPr="007424E0">
              <w:rPr>
                <w:rFonts w:ascii="Times New Roman" w:eastAsia="Times New Roman" w:hAnsi="Times New Roman" w:cs="Times New Roman"/>
                <w:sz w:val="20"/>
                <w:szCs w:val="20"/>
              </w:rPr>
              <w:t>, the competitive review process for the 4% round does not involve a strict Project Feasibility review.  </w:t>
            </w:r>
          </w:p>
          <w:p w14:paraId="507A2810"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95FC494"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Please use the best and most up-to-date information available to you when completing the underwriting model in the Excel Core Application. Please review </w:t>
            </w:r>
            <w:r w:rsidRPr="007424E0">
              <w:rPr>
                <w:rFonts w:ascii="Times New Roman" w:eastAsia="Times New Roman" w:hAnsi="Times New Roman" w:cs="Times New Roman"/>
                <w:b/>
                <w:bCs/>
                <w:sz w:val="20"/>
                <w:szCs w:val="20"/>
              </w:rPr>
              <w:t>Question ID: 999018344</w:t>
            </w:r>
            <w:r w:rsidRPr="007424E0">
              <w:rPr>
                <w:rFonts w:ascii="Times New Roman" w:eastAsia="Times New Roman" w:hAnsi="Times New Roman" w:cs="Times New Roman"/>
                <w:sz w:val="20"/>
                <w:szCs w:val="20"/>
              </w:rPr>
              <w:t xml:space="preserve"> for more detail regarding the role of the underwriting model in the 2022 4%/Bonds competitive review process.   </w:t>
            </w:r>
          </w:p>
          <w:p w14:paraId="6A0548A4"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7C0A48D" w14:textId="77777777" w:rsidR="00412798" w:rsidRPr="007424E0" w:rsidRDefault="00412798" w:rsidP="000F6D48">
            <w:pPr>
              <w:rPr>
                <w:rFonts w:ascii="Times New Roman" w:eastAsia="Times New Roman" w:hAnsi="Times New Roman" w:cs="Times New Roman"/>
                <w:b/>
                <w:bCs/>
                <w:sz w:val="20"/>
                <w:szCs w:val="20"/>
              </w:rPr>
            </w:pPr>
          </w:p>
        </w:tc>
      </w:tr>
      <w:tr w:rsidR="00412798" w:rsidRPr="007424E0" w14:paraId="0D4B56E8"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0FBE6ACE"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9/13/22</w:t>
            </w:r>
          </w:p>
        </w:tc>
        <w:tc>
          <w:tcPr>
            <w:tcW w:w="2663" w:type="dxa"/>
            <w:shd w:val="clear" w:color="auto" w:fill="auto"/>
            <w:tcMar>
              <w:top w:w="72" w:type="dxa"/>
              <w:left w:w="115" w:type="dxa"/>
              <w:bottom w:w="72" w:type="dxa"/>
              <w:right w:w="115" w:type="dxa"/>
            </w:tcMar>
            <w:vAlign w:val="center"/>
          </w:tcPr>
          <w:p w14:paraId="171407A7"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2.25</w:t>
            </w:r>
          </w:p>
          <w:p w14:paraId="76764896"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 Criteria;</w:t>
            </w:r>
          </w:p>
          <w:p w14:paraId="32CBA82A"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Occupied Developments</w:t>
            </w:r>
          </w:p>
        </w:tc>
        <w:tc>
          <w:tcPr>
            <w:tcW w:w="9585" w:type="dxa"/>
            <w:shd w:val="clear" w:color="auto" w:fill="auto"/>
            <w:tcMar>
              <w:top w:w="72" w:type="dxa"/>
              <w:left w:w="115" w:type="dxa"/>
              <w:bottom w:w="72" w:type="dxa"/>
              <w:right w:w="115" w:type="dxa"/>
            </w:tcMar>
            <w:vAlign w:val="center"/>
          </w:tcPr>
          <w:p w14:paraId="49FF2EE5"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Question ID:</w:t>
            </w:r>
            <w:r w:rsidRPr="007424E0">
              <w:rPr>
                <w:rFonts w:ascii="Times New Roman" w:eastAsia="Times New Roman" w:hAnsi="Times New Roman" w:cs="Times New Roman"/>
                <w:sz w:val="20"/>
                <w:szCs w:val="20"/>
              </w:rPr>
              <w:t xml:space="preserve"> 1001263496</w:t>
            </w:r>
            <w:r w:rsidRPr="007424E0">
              <w:rPr>
                <w:rFonts w:ascii="Times New Roman" w:eastAsia="Times New Roman" w:hAnsi="Times New Roman" w:cs="Times New Roman"/>
                <w:b/>
                <w:bCs/>
                <w:sz w:val="20"/>
                <w:szCs w:val="20"/>
              </w:rPr>
              <w:t> </w:t>
            </w:r>
          </w:p>
          <w:p w14:paraId="5DB6E6A6"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While looking over the Relocation Workbook, the HH Date and Rent Rolls section has a drop down with type of form used. The options are TIC, HUD 50059, and the DCA HH Data Form. Does this mean we have the option to use any of the 3 forms to verify household data? </w:t>
            </w:r>
            <w:r w:rsidRPr="007424E0">
              <w:rPr>
                <w:rFonts w:ascii="Times New Roman" w:eastAsia="Times New Roman" w:hAnsi="Times New Roman" w:cs="Times New Roman"/>
                <w:sz w:val="20"/>
                <w:szCs w:val="20"/>
              </w:rPr>
              <w:br/>
              <w:t> </w:t>
            </w:r>
          </w:p>
          <w:p w14:paraId="4CBB57E1"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Answer:  </w:t>
            </w:r>
          </w:p>
          <w:p w14:paraId="4A2729F4"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Yes.  You can use the Tenant Income Certification (TIC), HUD 50058/50059, or the DCA Household Data Form to verify household information in your submitted relocation information. </w:t>
            </w:r>
          </w:p>
          <w:p w14:paraId="5B815FF6" w14:textId="77777777" w:rsidR="00412798" w:rsidRPr="007424E0" w:rsidRDefault="00412798" w:rsidP="000F6D48">
            <w:pPr>
              <w:rPr>
                <w:rFonts w:ascii="Times New Roman" w:eastAsia="Times New Roman" w:hAnsi="Times New Roman" w:cs="Times New Roman"/>
                <w:b/>
                <w:bCs/>
                <w:sz w:val="20"/>
                <w:szCs w:val="20"/>
              </w:rPr>
            </w:pPr>
          </w:p>
        </w:tc>
      </w:tr>
      <w:tr w:rsidR="00412798" w:rsidRPr="007424E0" w14:paraId="078773A4"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1E51C365"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9/13/22</w:t>
            </w:r>
          </w:p>
        </w:tc>
        <w:tc>
          <w:tcPr>
            <w:tcW w:w="2663" w:type="dxa"/>
            <w:shd w:val="clear" w:color="auto" w:fill="auto"/>
            <w:tcMar>
              <w:top w:w="72" w:type="dxa"/>
              <w:left w:w="115" w:type="dxa"/>
              <w:bottom w:w="72" w:type="dxa"/>
              <w:right w:w="115" w:type="dxa"/>
            </w:tcMar>
            <w:vAlign w:val="center"/>
          </w:tcPr>
          <w:p w14:paraId="41C1CD9C"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3.16</w:t>
            </w:r>
          </w:p>
          <w:p w14:paraId="42F9C44C"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Scoring Criteria;</w:t>
            </w:r>
          </w:p>
          <w:p w14:paraId="02EC5D4C"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Internet Access</w:t>
            </w:r>
          </w:p>
        </w:tc>
        <w:tc>
          <w:tcPr>
            <w:tcW w:w="9585" w:type="dxa"/>
            <w:shd w:val="clear" w:color="auto" w:fill="auto"/>
            <w:tcMar>
              <w:top w:w="72" w:type="dxa"/>
              <w:left w:w="115" w:type="dxa"/>
              <w:bottom w:w="72" w:type="dxa"/>
              <w:right w:w="115" w:type="dxa"/>
            </w:tcMar>
            <w:vAlign w:val="center"/>
          </w:tcPr>
          <w:p w14:paraId="40C3DD3D"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w:t>
            </w:r>
            <w:r w:rsidRPr="007424E0">
              <w:rPr>
                <w:rFonts w:ascii="Times New Roman" w:eastAsia="Times New Roman" w:hAnsi="Times New Roman" w:cs="Times New Roman"/>
                <w:sz w:val="20"/>
                <w:szCs w:val="20"/>
              </w:rPr>
              <w:t>Q22_0427_02 </w:t>
            </w:r>
          </w:p>
          <w:p w14:paraId="350B4295"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 noticed in the QAP that for Rehabs it is allowing 2 points for internet access.  If we are not in the Atlanta Metro can we not qualify for those points?  Otherwise all Atlanta Metro rehab deals will have a 2 point advantage over everything else just for being in one of those 4 counties, which doesn't seem correct.   </w:t>
            </w:r>
          </w:p>
          <w:p w14:paraId="0C061B4F"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 </w:t>
            </w:r>
          </w:p>
          <w:p w14:paraId="61525C9F"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Answer:  </w:t>
            </w:r>
          </w:p>
          <w:p w14:paraId="2FB81F12"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sentence, “This section only applies to proposed developments in the Atlanta Metro Pool” in </w:t>
            </w:r>
            <w:r w:rsidRPr="007424E0">
              <w:rPr>
                <w:rFonts w:ascii="Times New Roman" w:eastAsia="Times New Roman" w:hAnsi="Times New Roman" w:cs="Times New Roman"/>
                <w:b/>
                <w:bCs/>
                <w:sz w:val="20"/>
                <w:szCs w:val="20"/>
              </w:rPr>
              <w:t>(Scoring Criteria) Internet Access</w:t>
            </w:r>
            <w:r w:rsidRPr="007424E0">
              <w:rPr>
                <w:rFonts w:ascii="Times New Roman" w:eastAsia="Times New Roman" w:hAnsi="Times New Roman" w:cs="Times New Roman"/>
                <w:sz w:val="20"/>
                <w:szCs w:val="20"/>
              </w:rPr>
              <w:t xml:space="preserve"> only applies to the 9% New Supply competition, for which geographic pools result in separate sub-competitions.  </w:t>
            </w:r>
          </w:p>
          <w:p w14:paraId="458CD12D"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46418AC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Per </w:t>
            </w:r>
            <w:r w:rsidRPr="007424E0">
              <w:rPr>
                <w:rFonts w:ascii="Times New Roman" w:eastAsia="Times New Roman" w:hAnsi="Times New Roman" w:cs="Times New Roman"/>
                <w:b/>
                <w:bCs/>
                <w:sz w:val="20"/>
                <w:szCs w:val="20"/>
              </w:rPr>
              <w:t>(Scoring Criteria) Applicability of Scoring Criteria,</w:t>
            </w:r>
            <w:r w:rsidRPr="007424E0">
              <w:rPr>
                <w:rFonts w:ascii="Times New Roman" w:eastAsia="Times New Roman" w:hAnsi="Times New Roman" w:cs="Times New Roman"/>
                <w:sz w:val="20"/>
                <w:szCs w:val="20"/>
              </w:rPr>
              <w:t xml:space="preserve"> scoring criteria is “specific to” the various sub-competitions (e.g., 9% New Supply vs 4% New Supply). This section does not permit that applicability of a Scoring section could be restricted to one application but open to another within the same competition.  </w:t>
            </w:r>
          </w:p>
          <w:p w14:paraId="5B76EA69"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C0B955C"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As the above-referenced limitation only applies to the 9% New Supply competition, for purposes of the 4%/Bonds Round, all applications are eligible to claim points under Internet Access, regardless of construction type or location.  </w:t>
            </w:r>
          </w:p>
          <w:p w14:paraId="636DD4BE" w14:textId="77777777" w:rsidR="00412798" w:rsidRPr="007424E0" w:rsidRDefault="00412798" w:rsidP="000F6D48">
            <w:pPr>
              <w:rPr>
                <w:rFonts w:ascii="Times New Roman" w:eastAsia="Times New Roman" w:hAnsi="Times New Roman" w:cs="Times New Roman"/>
                <w:b/>
                <w:bCs/>
                <w:sz w:val="20"/>
                <w:szCs w:val="20"/>
              </w:rPr>
            </w:pPr>
          </w:p>
        </w:tc>
      </w:tr>
      <w:tr w:rsidR="00412798" w:rsidRPr="007424E0" w14:paraId="19059277"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726BFC4B"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9/13/22</w:t>
            </w:r>
          </w:p>
        </w:tc>
        <w:tc>
          <w:tcPr>
            <w:tcW w:w="2663" w:type="dxa"/>
            <w:shd w:val="clear" w:color="auto" w:fill="auto"/>
            <w:tcMar>
              <w:top w:w="72" w:type="dxa"/>
              <w:left w:w="115" w:type="dxa"/>
              <w:bottom w:w="72" w:type="dxa"/>
              <w:right w:w="115" w:type="dxa"/>
            </w:tcMar>
            <w:vAlign w:val="center"/>
          </w:tcPr>
          <w:p w14:paraId="33BABF6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6.00</w:t>
            </w:r>
          </w:p>
          <w:p w14:paraId="1E4DE3D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4%/Bonds Round Application Requirements and Procedures  </w:t>
            </w:r>
          </w:p>
          <w:p w14:paraId="2D2B11B1" w14:textId="77777777" w:rsidR="00412798" w:rsidRPr="007424E0" w:rsidRDefault="00412798" w:rsidP="000F6D48">
            <w:pPr>
              <w:rPr>
                <w:rFonts w:ascii="Times New Roman" w:hAnsi="Times New Roman" w:cs="Times New Roman"/>
                <w:sz w:val="20"/>
                <w:szCs w:val="20"/>
              </w:rPr>
            </w:pPr>
          </w:p>
        </w:tc>
        <w:tc>
          <w:tcPr>
            <w:tcW w:w="9585" w:type="dxa"/>
            <w:shd w:val="clear" w:color="auto" w:fill="auto"/>
            <w:tcMar>
              <w:top w:w="72" w:type="dxa"/>
              <w:left w:w="115" w:type="dxa"/>
              <w:bottom w:w="72" w:type="dxa"/>
              <w:right w:w="115" w:type="dxa"/>
            </w:tcMar>
            <w:vAlign w:val="center"/>
          </w:tcPr>
          <w:p w14:paraId="6852719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 xml:space="preserve">Question ID: </w:t>
            </w:r>
            <w:r w:rsidRPr="007424E0">
              <w:rPr>
                <w:rStyle w:val="normaltextrun"/>
                <w:color w:val="000000"/>
                <w:sz w:val="20"/>
                <w:szCs w:val="20"/>
              </w:rPr>
              <w:t>1001000976</w:t>
            </w:r>
            <w:r w:rsidRPr="007424E0">
              <w:rPr>
                <w:rStyle w:val="eop"/>
                <w:color w:val="000000"/>
                <w:sz w:val="20"/>
                <w:szCs w:val="20"/>
              </w:rPr>
              <w:t> </w:t>
            </w:r>
          </w:p>
          <w:p w14:paraId="3DDB9F5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t>For the DCA 2022- 4% Competitive Round, will applications not selected have to reapply in the next round? If so, is there a round expected to open in 2023 and if so, when?</w:t>
            </w:r>
            <w:r w:rsidRPr="007424E0">
              <w:rPr>
                <w:rStyle w:val="eop"/>
                <w:color w:val="000000"/>
                <w:sz w:val="20"/>
                <w:szCs w:val="20"/>
              </w:rPr>
              <w:t> </w:t>
            </w:r>
          </w:p>
          <w:p w14:paraId="2D7CBA6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color w:val="000000"/>
                <w:sz w:val="20"/>
                <w:szCs w:val="20"/>
              </w:rPr>
              <w:t> </w:t>
            </w:r>
          </w:p>
          <w:p w14:paraId="2506D2B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11CD6D4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advancedproofingissue"/>
                <w:rFonts w:eastAsiaTheme="majorEastAsia"/>
                <w:sz w:val="20"/>
                <w:szCs w:val="20"/>
              </w:rPr>
              <w:t>At this time</w:t>
            </w:r>
            <w:r w:rsidRPr="007424E0">
              <w:rPr>
                <w:rStyle w:val="normaltextrun"/>
                <w:sz w:val="20"/>
                <w:szCs w:val="20"/>
              </w:rPr>
              <w:t xml:space="preserve">, DCA does expect to have a 2023 4%/Bonds Competitive Round. DCA is not able to provide a more specific timeframe expectation </w:t>
            </w:r>
            <w:r w:rsidRPr="007424E0">
              <w:rPr>
                <w:rStyle w:val="advancedproofingissue"/>
                <w:rFonts w:eastAsiaTheme="majorEastAsia"/>
                <w:sz w:val="20"/>
                <w:szCs w:val="20"/>
              </w:rPr>
              <w:t>at this time</w:t>
            </w:r>
            <w:r w:rsidRPr="007424E0">
              <w:rPr>
                <w:rStyle w:val="normaltextrun"/>
                <w:sz w:val="20"/>
                <w:szCs w:val="20"/>
              </w:rPr>
              <w:t>. </w:t>
            </w:r>
            <w:r w:rsidRPr="007424E0">
              <w:rPr>
                <w:rStyle w:val="eop"/>
                <w:sz w:val="20"/>
                <w:szCs w:val="20"/>
              </w:rPr>
              <w:t> </w:t>
            </w:r>
          </w:p>
          <w:p w14:paraId="10E6E1C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46FD7E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lastRenderedPageBreak/>
              <w:t>Applicants not selected under the 2022 4%/Bonds Competitive Round would need to re-apply next year. </w:t>
            </w:r>
            <w:r w:rsidRPr="007424E0">
              <w:rPr>
                <w:rStyle w:val="eop"/>
                <w:sz w:val="20"/>
                <w:szCs w:val="20"/>
              </w:rPr>
              <w:t> </w:t>
            </w:r>
          </w:p>
          <w:p w14:paraId="51BB49A8" w14:textId="77777777" w:rsidR="00412798" w:rsidRPr="007424E0" w:rsidRDefault="00412798" w:rsidP="000F6D48">
            <w:pPr>
              <w:rPr>
                <w:rFonts w:ascii="Times New Roman" w:eastAsia="Times New Roman" w:hAnsi="Times New Roman" w:cs="Times New Roman"/>
                <w:b/>
                <w:bCs/>
                <w:sz w:val="20"/>
                <w:szCs w:val="20"/>
              </w:rPr>
            </w:pPr>
          </w:p>
        </w:tc>
      </w:tr>
      <w:tr w:rsidR="00412798" w:rsidRPr="007424E0" w14:paraId="35239B80"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05D0B04F"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9/13/22</w:t>
            </w:r>
          </w:p>
        </w:tc>
        <w:tc>
          <w:tcPr>
            <w:tcW w:w="2663" w:type="dxa"/>
            <w:shd w:val="clear" w:color="auto" w:fill="auto"/>
            <w:tcMar>
              <w:top w:w="72" w:type="dxa"/>
              <w:left w:w="115" w:type="dxa"/>
              <w:bottom w:w="72" w:type="dxa"/>
              <w:right w:w="115" w:type="dxa"/>
            </w:tcMar>
            <w:vAlign w:val="center"/>
          </w:tcPr>
          <w:p w14:paraId="3208685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6.00</w:t>
            </w:r>
          </w:p>
          <w:p w14:paraId="0797C0C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4%/Bonds Round Application Requirements and Procedures  </w:t>
            </w:r>
          </w:p>
          <w:p w14:paraId="63CC413A" w14:textId="77777777" w:rsidR="00412798" w:rsidRPr="007424E0" w:rsidRDefault="00412798" w:rsidP="000F6D48">
            <w:pPr>
              <w:rPr>
                <w:rFonts w:ascii="Times New Roman" w:eastAsia="Times New Roman" w:hAnsi="Times New Roman" w:cs="Times New Roman"/>
                <w:sz w:val="20"/>
                <w:szCs w:val="20"/>
              </w:rPr>
            </w:pPr>
          </w:p>
        </w:tc>
        <w:tc>
          <w:tcPr>
            <w:tcW w:w="9585" w:type="dxa"/>
            <w:shd w:val="clear" w:color="auto" w:fill="auto"/>
            <w:tcMar>
              <w:top w:w="72" w:type="dxa"/>
              <w:left w:w="115" w:type="dxa"/>
              <w:bottom w:w="72" w:type="dxa"/>
              <w:right w:w="115" w:type="dxa"/>
            </w:tcMar>
            <w:vAlign w:val="center"/>
          </w:tcPr>
          <w:p w14:paraId="2DEF3639"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 ID:</w:t>
            </w:r>
            <w:r w:rsidRPr="007424E0">
              <w:rPr>
                <w:rFonts w:ascii="Times New Roman" w:eastAsia="Times New Roman" w:hAnsi="Times New Roman" w:cs="Times New Roman"/>
                <w:sz w:val="20"/>
                <w:szCs w:val="20"/>
              </w:rPr>
              <w:t xml:space="preserve"> 996606345 </w:t>
            </w:r>
          </w:p>
          <w:p w14:paraId="4CFFEE9D"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Will DCA have HOME Funds, NHTF, CDBG, or any other "soft" money available for projects in this round? </w:t>
            </w:r>
          </w:p>
          <w:p w14:paraId="1171E8EF"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 </w:t>
            </w:r>
          </w:p>
          <w:p w14:paraId="5A01E1E1"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Answer:  </w:t>
            </w:r>
          </w:p>
          <w:p w14:paraId="15435267"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DCA will not have any “soft funding” available for the 2022 4%/Bonds Competitive Round.  </w:t>
            </w:r>
          </w:p>
          <w:p w14:paraId="52BCEED7" w14:textId="77777777" w:rsidR="00412798" w:rsidRPr="007424E0" w:rsidRDefault="00412798" w:rsidP="000F6D48">
            <w:pPr>
              <w:pStyle w:val="paragraph"/>
              <w:spacing w:before="0" w:beforeAutospacing="0" w:after="0" w:afterAutospacing="0"/>
              <w:textAlignment w:val="baseline"/>
              <w:rPr>
                <w:b/>
                <w:bCs/>
                <w:sz w:val="20"/>
                <w:szCs w:val="20"/>
              </w:rPr>
            </w:pPr>
          </w:p>
        </w:tc>
      </w:tr>
      <w:tr w:rsidR="00412798" w:rsidRPr="007424E0" w14:paraId="772CDDEB"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2115ED5"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9/13/22</w:t>
            </w:r>
          </w:p>
        </w:tc>
        <w:tc>
          <w:tcPr>
            <w:tcW w:w="2663" w:type="dxa"/>
            <w:shd w:val="clear" w:color="auto" w:fill="auto"/>
            <w:tcMar>
              <w:top w:w="72" w:type="dxa"/>
              <w:left w:w="115" w:type="dxa"/>
              <w:bottom w:w="72" w:type="dxa"/>
              <w:right w:w="115" w:type="dxa"/>
            </w:tcMar>
            <w:vAlign w:val="center"/>
          </w:tcPr>
          <w:p w14:paraId="5F6FE958"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6.00</w:t>
            </w:r>
          </w:p>
          <w:p w14:paraId="6357B83F"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4%/Bonds Round Application Requirements and Procedures</w:t>
            </w:r>
          </w:p>
        </w:tc>
        <w:tc>
          <w:tcPr>
            <w:tcW w:w="9585" w:type="dxa"/>
            <w:shd w:val="clear" w:color="auto" w:fill="auto"/>
            <w:tcMar>
              <w:top w:w="72" w:type="dxa"/>
              <w:left w:w="115" w:type="dxa"/>
              <w:bottom w:w="72" w:type="dxa"/>
              <w:right w:w="115" w:type="dxa"/>
            </w:tcMar>
            <w:vAlign w:val="center"/>
          </w:tcPr>
          <w:p w14:paraId="37443C94"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998191155 </w:t>
            </w:r>
            <w:r w:rsidRPr="007424E0">
              <w:rPr>
                <w:rFonts w:ascii="Times New Roman" w:eastAsia="Times New Roman" w:hAnsi="Times New Roman" w:cs="Times New Roman"/>
                <w:sz w:val="20"/>
                <w:szCs w:val="20"/>
              </w:rPr>
              <w:br/>
              <w:t xml:space="preserve">Do we receive a pre-app number via </w:t>
            </w:r>
            <w:proofErr w:type="spellStart"/>
            <w:r w:rsidRPr="007424E0">
              <w:rPr>
                <w:rFonts w:ascii="Times New Roman" w:eastAsia="Times New Roman" w:hAnsi="Times New Roman" w:cs="Times New Roman"/>
                <w:sz w:val="20"/>
                <w:szCs w:val="20"/>
              </w:rPr>
              <w:t>Emphasys</w:t>
            </w:r>
            <w:proofErr w:type="spellEnd"/>
            <w:r w:rsidRPr="007424E0">
              <w:rPr>
                <w:rFonts w:ascii="Times New Roman" w:eastAsia="Times New Roman" w:hAnsi="Times New Roman" w:cs="Times New Roman"/>
                <w:sz w:val="20"/>
                <w:szCs w:val="20"/>
              </w:rPr>
              <w:t xml:space="preserve"> before submitting materials for Competitive Review? "Pre-Application Submission" is listed after "Competitive Review Submission" in the Application Submission Timeline provided in the Competitive Round Announcement, so I'm confused what the process is. </w:t>
            </w:r>
          </w:p>
          <w:p w14:paraId="4FD4BEA0"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 </w:t>
            </w:r>
          </w:p>
          <w:p w14:paraId="2FA1D731" w14:textId="77777777" w:rsidR="00412798" w:rsidRPr="007424E0" w:rsidRDefault="00412798" w:rsidP="000F6D48">
            <w:pPr>
              <w:rPr>
                <w:rFonts w:ascii="Times New Roman" w:eastAsia="Times New Roman" w:hAnsi="Times New Roman" w:cs="Times New Roman"/>
                <w:b/>
                <w:bCs/>
                <w:sz w:val="20"/>
                <w:szCs w:val="20"/>
              </w:rPr>
            </w:pPr>
            <w:r w:rsidRPr="007424E0">
              <w:rPr>
                <w:rFonts w:ascii="Times New Roman" w:eastAsia="Times New Roman" w:hAnsi="Times New Roman" w:cs="Times New Roman"/>
                <w:b/>
                <w:bCs/>
                <w:sz w:val="20"/>
                <w:szCs w:val="20"/>
              </w:rPr>
              <w:t>Answer:  </w:t>
            </w:r>
          </w:p>
          <w:p w14:paraId="6EC94F2F"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Applicants will not receive a Pre-Application number as part of their Competitive Review Submission. Each application DCA receives will be assigned a unique ID. The Competitive Review Submission will have a unique ID, and applications selected under the Competitive Review Process will receive a unique Pre-Application ID and a unique Full Application ID.  </w:t>
            </w:r>
          </w:p>
          <w:p w14:paraId="3BEFBCDA" w14:textId="77777777" w:rsidR="00412798" w:rsidRPr="007424E0" w:rsidRDefault="00412798" w:rsidP="000F6D48">
            <w:pPr>
              <w:rPr>
                <w:rFonts w:ascii="Times New Roman" w:eastAsia="Times New Roman" w:hAnsi="Times New Roman" w:cs="Times New Roman"/>
                <w:b/>
                <w:bCs/>
                <w:sz w:val="20"/>
                <w:szCs w:val="20"/>
              </w:rPr>
            </w:pPr>
          </w:p>
        </w:tc>
      </w:tr>
      <w:tr w:rsidR="00412798" w:rsidRPr="007424E0" w14:paraId="48727EA7"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0F4A81B3"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9/7/22</w:t>
            </w:r>
          </w:p>
        </w:tc>
        <w:tc>
          <w:tcPr>
            <w:tcW w:w="2663" w:type="dxa"/>
            <w:shd w:val="clear" w:color="auto" w:fill="auto"/>
            <w:tcMar>
              <w:top w:w="72" w:type="dxa"/>
              <w:left w:w="115" w:type="dxa"/>
              <w:bottom w:w="72" w:type="dxa"/>
              <w:right w:w="115" w:type="dxa"/>
            </w:tcMar>
            <w:vAlign w:val="center"/>
          </w:tcPr>
          <w:p w14:paraId="385E7749"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2.02</w:t>
            </w:r>
          </w:p>
          <w:p w14:paraId="1B12FB65"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Threshold Criteria; </w:t>
            </w:r>
          </w:p>
          <w:p w14:paraId="42431D4B"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Project Feasibility, Viability Analysis &amp; Conformance with Plan</w:t>
            </w:r>
          </w:p>
        </w:tc>
        <w:tc>
          <w:tcPr>
            <w:tcW w:w="9585" w:type="dxa"/>
            <w:shd w:val="clear" w:color="auto" w:fill="auto"/>
            <w:tcMar>
              <w:top w:w="72" w:type="dxa"/>
              <w:left w:w="115" w:type="dxa"/>
              <w:bottom w:w="72" w:type="dxa"/>
              <w:right w:w="115" w:type="dxa"/>
            </w:tcMar>
            <w:vAlign w:val="center"/>
          </w:tcPr>
          <w:p w14:paraId="23C7AAA7"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 xml:space="preserve">995414261 </w:t>
            </w:r>
            <w:r w:rsidRPr="007424E0">
              <w:rPr>
                <w:rFonts w:ascii="Times New Roman" w:hAnsi="Times New Roman" w:cs="Times New Roman"/>
                <w:sz w:val="20"/>
                <w:szCs w:val="20"/>
              </w:rPr>
              <w:br/>
            </w:r>
          </w:p>
          <w:p w14:paraId="3DEA8B6E"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Rent 4% Competitive Round: Under the </w:t>
            </w:r>
            <w:r w:rsidRPr="007424E0">
              <w:rPr>
                <w:rFonts w:ascii="Times New Roman" w:eastAsia="Times New Roman" w:hAnsi="Times New Roman" w:cs="Times New Roman"/>
                <w:b/>
                <w:bCs/>
                <w:color w:val="000000" w:themeColor="text1"/>
                <w:sz w:val="20"/>
                <w:szCs w:val="20"/>
              </w:rPr>
              <w:t xml:space="preserve">QAP Threshold Section II Project Feasibility, Viability Analysis &amp; Conformance with Plan, subsection 6. Rent </w:t>
            </w:r>
            <w:r w:rsidRPr="007424E0">
              <w:rPr>
                <w:rFonts w:ascii="Times New Roman" w:eastAsia="Times New Roman" w:hAnsi="Times New Roman" w:cs="Times New Roman"/>
                <w:color w:val="000000" w:themeColor="text1"/>
                <w:sz w:val="20"/>
                <w:szCs w:val="20"/>
              </w:rPr>
              <w:t>- The rents used must be put into place as of January 1, 2022. Our building is a 202 PRAC. We are going through the process of a RAD for PRAC conversion which would increase our rents, but this increase is not in effect yet. Can we use the rent we will receive as a result of the RAD for PRAC conversion that is determined by HUD?</w:t>
            </w:r>
          </w:p>
          <w:p w14:paraId="69F3CEBB" w14:textId="77777777" w:rsidR="00412798" w:rsidRPr="007424E0" w:rsidRDefault="00412798" w:rsidP="000F6D48">
            <w:pPr>
              <w:spacing w:after="160" w:line="259" w:lineRule="auto"/>
              <w:contextualSpacing/>
              <w:rPr>
                <w:rFonts w:ascii="Times New Roman" w:eastAsia="Times New Roman" w:hAnsi="Times New Roman" w:cs="Times New Roman"/>
                <w:color w:val="000000" w:themeColor="text1"/>
                <w:sz w:val="20"/>
                <w:szCs w:val="20"/>
              </w:rPr>
            </w:pPr>
          </w:p>
          <w:p w14:paraId="494EB89F" w14:textId="77777777" w:rsidR="00412798" w:rsidRPr="007424E0" w:rsidRDefault="00412798" w:rsidP="000F6D48">
            <w:pPr>
              <w:rPr>
                <w:rFonts w:ascii="Times New Roman" w:eastAsia="Times New Roman" w:hAnsi="Times New Roman" w:cs="Times New Roman"/>
                <w:b/>
                <w:bCs/>
                <w:color w:val="4472C4" w:themeColor="accent1"/>
                <w:sz w:val="20"/>
                <w:szCs w:val="20"/>
              </w:rPr>
            </w:pPr>
            <w:r w:rsidRPr="007424E0">
              <w:rPr>
                <w:rFonts w:ascii="Times New Roman" w:eastAsia="Times New Roman" w:hAnsi="Times New Roman" w:cs="Times New Roman"/>
                <w:b/>
                <w:bCs/>
                <w:sz w:val="20"/>
                <w:szCs w:val="20"/>
              </w:rPr>
              <w:t xml:space="preserve">Answer: </w:t>
            </w:r>
          </w:p>
          <w:p w14:paraId="6C0D79AF"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The policy in question is the following: </w:t>
            </w:r>
          </w:p>
          <w:p w14:paraId="5C022B2E" w14:textId="77777777" w:rsidR="00412798" w:rsidRPr="007424E0" w:rsidRDefault="00412798" w:rsidP="000F6D48">
            <w:pPr>
              <w:spacing w:after="160" w:line="259" w:lineRule="auto"/>
              <w:ind w:left="720"/>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color w:val="000000" w:themeColor="text1"/>
                <w:sz w:val="20"/>
                <w:szCs w:val="20"/>
              </w:rPr>
              <w:lastRenderedPageBreak/>
              <w:t>(Threshold Criteria) Project Feasibility</w:t>
            </w:r>
            <w:r w:rsidRPr="007424E0">
              <w:rPr>
                <w:rFonts w:ascii="Times New Roman" w:eastAsia="Times New Roman" w:hAnsi="Times New Roman" w:cs="Times New Roman"/>
                <w:color w:val="000000" w:themeColor="text1"/>
                <w:sz w:val="20"/>
                <w:szCs w:val="20"/>
              </w:rPr>
              <w:t>,</w:t>
            </w:r>
            <w:r w:rsidRPr="007424E0">
              <w:rPr>
                <w:rFonts w:ascii="Times New Roman" w:eastAsia="Times New Roman" w:hAnsi="Times New Roman" w:cs="Times New Roman"/>
                <w:b/>
                <w:bCs/>
                <w:color w:val="000000" w:themeColor="text1"/>
                <w:sz w:val="20"/>
                <w:szCs w:val="20"/>
              </w:rPr>
              <w:t xml:space="preserve"> </w:t>
            </w:r>
            <w:r w:rsidRPr="007424E0">
              <w:rPr>
                <w:rFonts w:ascii="Times New Roman" w:eastAsia="Times New Roman" w:hAnsi="Times New Roman" w:cs="Times New Roman"/>
                <w:color w:val="000000" w:themeColor="text1"/>
                <w:sz w:val="20"/>
                <w:szCs w:val="20"/>
              </w:rPr>
              <w:t xml:space="preserve">subsection </w:t>
            </w:r>
            <w:r w:rsidRPr="007424E0">
              <w:rPr>
                <w:rFonts w:ascii="Times New Roman" w:eastAsia="Times New Roman" w:hAnsi="Times New Roman" w:cs="Times New Roman"/>
                <w:b/>
                <w:bCs/>
                <w:color w:val="000000" w:themeColor="text1"/>
                <w:sz w:val="20"/>
                <w:szCs w:val="20"/>
              </w:rPr>
              <w:t>6. Rents</w:t>
            </w:r>
            <w:r w:rsidRPr="007424E0">
              <w:rPr>
                <w:rFonts w:ascii="Times New Roman" w:eastAsia="Times New Roman" w:hAnsi="Times New Roman" w:cs="Times New Roman"/>
                <w:color w:val="000000" w:themeColor="text1"/>
                <w:sz w:val="20"/>
                <w:szCs w:val="20"/>
              </w:rPr>
              <w:t>: “Rents in effect as of January 1, 2022, must be used.”</w:t>
            </w:r>
          </w:p>
          <w:p w14:paraId="5A3F603F"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First, please note that per </w:t>
            </w:r>
            <w:r w:rsidRPr="007424E0">
              <w:rPr>
                <w:rFonts w:ascii="Times New Roman" w:eastAsia="Times New Roman" w:hAnsi="Times New Roman" w:cs="Times New Roman"/>
                <w:b/>
                <w:bCs/>
                <w:color w:val="000000" w:themeColor="text1"/>
                <w:sz w:val="20"/>
                <w:szCs w:val="20"/>
              </w:rPr>
              <w:t>(Threshold Criteria) Applicability of Threshold Criteria</w:t>
            </w:r>
            <w:r w:rsidRPr="007424E0">
              <w:rPr>
                <w:rFonts w:ascii="Times New Roman" w:eastAsia="Times New Roman" w:hAnsi="Times New Roman" w:cs="Times New Roman"/>
                <w:color w:val="000000" w:themeColor="text1"/>
                <w:sz w:val="20"/>
                <w:szCs w:val="20"/>
              </w:rPr>
              <w:t xml:space="preserve">, the section </w:t>
            </w:r>
            <w:r w:rsidRPr="007424E0">
              <w:rPr>
                <w:rFonts w:ascii="Times New Roman" w:eastAsia="Times New Roman" w:hAnsi="Times New Roman" w:cs="Times New Roman"/>
                <w:b/>
                <w:bCs/>
                <w:color w:val="000000" w:themeColor="text1"/>
                <w:sz w:val="20"/>
                <w:szCs w:val="20"/>
              </w:rPr>
              <w:t>Project Feasibility</w:t>
            </w:r>
            <w:r w:rsidRPr="007424E0">
              <w:rPr>
                <w:rFonts w:ascii="Times New Roman" w:eastAsia="Times New Roman" w:hAnsi="Times New Roman" w:cs="Times New Roman"/>
                <w:color w:val="000000" w:themeColor="text1"/>
                <w:sz w:val="20"/>
                <w:szCs w:val="20"/>
              </w:rPr>
              <w:t xml:space="preserve"> is not a requirement for purposes of 4% Competitive Review. Applicants still must complete the underwriting model in the Excel Core Application, and for that purpose applicants should use the most accurate and up-to-date information available to them. </w:t>
            </w:r>
          </w:p>
          <w:p w14:paraId="4C5C373D"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Second, please note that the QAP policy in question is referring to rental income for programs with a rent limit (e.g., the 60% AMI Housing Credit rent limit). The “in effect as of January” requirement does not apply to rental income based on PBRA. Please see </w:t>
            </w:r>
            <w:r w:rsidRPr="007424E0">
              <w:rPr>
                <w:rFonts w:ascii="Times New Roman" w:eastAsia="Times New Roman" w:hAnsi="Times New Roman" w:cs="Times New Roman"/>
                <w:b/>
                <w:bCs/>
                <w:color w:val="000000" w:themeColor="text1"/>
                <w:sz w:val="20"/>
                <w:szCs w:val="20"/>
              </w:rPr>
              <w:t>(Threshold Criteria) Project Feasibility</w:t>
            </w:r>
            <w:r w:rsidRPr="007424E0">
              <w:rPr>
                <w:rFonts w:ascii="Times New Roman" w:eastAsia="Times New Roman" w:hAnsi="Times New Roman" w:cs="Times New Roman"/>
                <w:color w:val="000000" w:themeColor="text1"/>
                <w:sz w:val="20"/>
                <w:szCs w:val="20"/>
              </w:rPr>
              <w:t xml:space="preserve">, subsection </w:t>
            </w:r>
            <w:r w:rsidRPr="007424E0">
              <w:rPr>
                <w:rFonts w:ascii="Times New Roman" w:eastAsia="Times New Roman" w:hAnsi="Times New Roman" w:cs="Times New Roman"/>
                <w:b/>
                <w:bCs/>
                <w:color w:val="000000" w:themeColor="text1"/>
                <w:sz w:val="20"/>
                <w:szCs w:val="20"/>
              </w:rPr>
              <w:t xml:space="preserve">8. Project Based Rental Assistance (PBRA)/Rental Assistance Demonstration Program (RAD) </w:t>
            </w:r>
            <w:r w:rsidRPr="007424E0">
              <w:rPr>
                <w:rFonts w:ascii="Times New Roman" w:eastAsia="Times New Roman" w:hAnsi="Times New Roman" w:cs="Times New Roman"/>
                <w:color w:val="000000" w:themeColor="text1"/>
                <w:sz w:val="20"/>
                <w:szCs w:val="20"/>
              </w:rPr>
              <w:t>for more information.</w:t>
            </w:r>
          </w:p>
          <w:p w14:paraId="08BFFDA6" w14:textId="77777777" w:rsidR="00412798" w:rsidRPr="007424E0" w:rsidRDefault="00412798" w:rsidP="000F6D48">
            <w:pPr>
              <w:spacing w:line="259" w:lineRule="auto"/>
              <w:rPr>
                <w:rStyle w:val="IntenseReference"/>
                <w:rFonts w:ascii="Times New Roman" w:eastAsia="Times New Roman" w:hAnsi="Times New Roman" w:cs="Times New Roman"/>
                <w:sz w:val="20"/>
                <w:szCs w:val="20"/>
              </w:rPr>
            </w:pPr>
          </w:p>
        </w:tc>
      </w:tr>
      <w:tr w:rsidR="00412798" w:rsidRPr="007424E0" w14:paraId="780C5C26"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6B71B318"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9/7/22</w:t>
            </w:r>
          </w:p>
        </w:tc>
        <w:tc>
          <w:tcPr>
            <w:tcW w:w="2663" w:type="dxa"/>
            <w:shd w:val="clear" w:color="auto" w:fill="auto"/>
            <w:tcMar>
              <w:top w:w="72" w:type="dxa"/>
              <w:left w:w="115" w:type="dxa"/>
              <w:bottom w:w="72" w:type="dxa"/>
              <w:right w:w="115" w:type="dxa"/>
            </w:tcMar>
            <w:vAlign w:val="center"/>
          </w:tcPr>
          <w:p w14:paraId="03F0852D"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2.07</w:t>
            </w:r>
          </w:p>
          <w:p w14:paraId="3D31C0BA"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Threshold Criteria;</w:t>
            </w:r>
          </w:p>
          <w:p w14:paraId="38BB6DF2"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Environmental Requirements</w:t>
            </w:r>
          </w:p>
        </w:tc>
        <w:tc>
          <w:tcPr>
            <w:tcW w:w="9585" w:type="dxa"/>
            <w:shd w:val="clear" w:color="auto" w:fill="auto"/>
            <w:tcMar>
              <w:top w:w="72" w:type="dxa"/>
              <w:left w:w="115" w:type="dxa"/>
              <w:bottom w:w="72" w:type="dxa"/>
              <w:right w:w="115" w:type="dxa"/>
            </w:tcMar>
            <w:vAlign w:val="center"/>
          </w:tcPr>
          <w:p w14:paraId="0975B69B"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995019203</w:t>
            </w:r>
          </w:p>
          <w:p w14:paraId="03EB1C0C"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Environmental: HUD/HOME Questionnaires:</w:t>
            </w:r>
          </w:p>
          <w:p w14:paraId="6D9FB3A0"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The HUD/HOME Questionnaire (</w:t>
            </w:r>
            <w:hyperlink r:id="rId28" w:history="1">
              <w:r w:rsidRPr="007424E0">
                <w:rPr>
                  <w:rStyle w:val="Hyperlink"/>
                  <w:rFonts w:ascii="Times New Roman" w:eastAsia="Times New Roman" w:hAnsi="Times New Roman" w:cs="Times New Roman"/>
                  <w:sz w:val="20"/>
                  <w:szCs w:val="20"/>
                </w:rPr>
                <w:t>click here</w:t>
              </w:r>
            </w:hyperlink>
            <w:r w:rsidRPr="007424E0">
              <w:rPr>
                <w:rFonts w:ascii="Times New Roman" w:eastAsia="Times New Roman" w:hAnsi="Times New Roman" w:cs="Times New Roman"/>
                <w:color w:val="000000" w:themeColor="text1"/>
                <w:sz w:val="20"/>
                <w:szCs w:val="20"/>
              </w:rPr>
              <w:t>) states that this form should be completed for applications seeking HOME/HUD (Federal) funding. Can DCA confirm if HUD/HOME Questionnaire are required for projects involving any of the following? If you would, please respond to this question as it relates to each individual subsidy/source.</w:t>
            </w:r>
          </w:p>
          <w:p w14:paraId="22BAF4F7"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PBV (HCV)</w:t>
            </w:r>
          </w:p>
          <w:p w14:paraId="79547AAC"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TPV (Tenant Protection Vouchers)</w:t>
            </w:r>
          </w:p>
          <w:p w14:paraId="38F31B9C"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RAD (PBV or PBRA)</w:t>
            </w:r>
          </w:p>
          <w:p w14:paraId="617704B7"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ACC</w:t>
            </w:r>
          </w:p>
          <w:p w14:paraId="2DFCC08A"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PHA funds (either Capital Funds or recycled/repurposed developer fees)</w:t>
            </w:r>
          </w:p>
          <w:p w14:paraId="547342BA" w14:textId="77777777" w:rsidR="00412798" w:rsidRPr="007424E0" w:rsidRDefault="00412798" w:rsidP="000F6D48">
            <w:pPr>
              <w:rPr>
                <w:rFonts w:ascii="Times New Roman" w:eastAsia="Times New Roman" w:hAnsi="Times New Roman" w:cs="Times New Roman"/>
                <w:b/>
                <w:bCs/>
                <w:sz w:val="20"/>
                <w:szCs w:val="20"/>
              </w:rPr>
            </w:pPr>
          </w:p>
          <w:p w14:paraId="64D3B62E" w14:textId="77777777" w:rsidR="00412798" w:rsidRPr="007424E0" w:rsidRDefault="00412798" w:rsidP="000F6D48">
            <w:pPr>
              <w:rPr>
                <w:rFonts w:ascii="Times New Roman" w:eastAsia="Times New Roman" w:hAnsi="Times New Roman" w:cs="Times New Roman"/>
                <w:b/>
                <w:bCs/>
                <w:color w:val="000000" w:themeColor="text1"/>
                <w:sz w:val="20"/>
                <w:szCs w:val="20"/>
              </w:rPr>
            </w:pPr>
            <w:r w:rsidRPr="007424E0">
              <w:rPr>
                <w:rFonts w:ascii="Times New Roman" w:eastAsia="Times New Roman" w:hAnsi="Times New Roman" w:cs="Times New Roman"/>
                <w:b/>
                <w:bCs/>
                <w:sz w:val="20"/>
                <w:szCs w:val="20"/>
              </w:rPr>
              <w:t xml:space="preserve">Answer: </w:t>
            </w:r>
          </w:p>
          <w:p w14:paraId="2900F008"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The HUD/HOME Questionnaire need not be included with the tax credit application for purposes of any of the above-listed resources. The Questionnaire is required for purposes of assessing eligibility for those resources, and </w:t>
            </w:r>
            <w:r w:rsidRPr="007424E0">
              <w:rPr>
                <w:rFonts w:ascii="Times New Roman" w:eastAsia="Times New Roman" w:hAnsi="Times New Roman" w:cs="Times New Roman"/>
                <w:color w:val="000000" w:themeColor="text1"/>
                <w:sz w:val="20"/>
                <w:szCs w:val="20"/>
              </w:rPr>
              <w:lastRenderedPageBreak/>
              <w:t>the Housing Credit administering team within DCA (the Housing Finance and Development Division) does not administer any of the above-listed resources.</w:t>
            </w:r>
          </w:p>
          <w:p w14:paraId="24053D46" w14:textId="77777777" w:rsidR="00412798" w:rsidRPr="007424E0" w:rsidRDefault="00412798" w:rsidP="000F6D48">
            <w:pPr>
              <w:spacing w:line="259" w:lineRule="auto"/>
              <w:rPr>
                <w:rStyle w:val="IntenseReference"/>
                <w:rFonts w:ascii="Times New Roman" w:eastAsia="Times New Roman" w:hAnsi="Times New Roman" w:cs="Times New Roman"/>
                <w:sz w:val="20"/>
                <w:szCs w:val="20"/>
              </w:rPr>
            </w:pPr>
          </w:p>
        </w:tc>
      </w:tr>
      <w:tr w:rsidR="00412798" w:rsidRPr="007424E0" w14:paraId="2C508DC5"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0D382714"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9/7/22</w:t>
            </w:r>
          </w:p>
        </w:tc>
        <w:tc>
          <w:tcPr>
            <w:tcW w:w="2663" w:type="dxa"/>
            <w:shd w:val="clear" w:color="auto" w:fill="auto"/>
            <w:tcMar>
              <w:top w:w="72" w:type="dxa"/>
              <w:left w:w="115" w:type="dxa"/>
              <w:bottom w:w="72" w:type="dxa"/>
              <w:right w:w="115" w:type="dxa"/>
            </w:tcMar>
            <w:vAlign w:val="center"/>
          </w:tcPr>
          <w:p w14:paraId="3E3FD4C0"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2.10</w:t>
            </w:r>
          </w:p>
          <w:p w14:paraId="31D1A337"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Threshold Criteria; </w:t>
            </w:r>
          </w:p>
          <w:p w14:paraId="526F4A2C"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Site Zoning</w:t>
            </w:r>
          </w:p>
        </w:tc>
        <w:tc>
          <w:tcPr>
            <w:tcW w:w="9585" w:type="dxa"/>
            <w:shd w:val="clear" w:color="auto" w:fill="auto"/>
            <w:tcMar>
              <w:top w:w="72" w:type="dxa"/>
              <w:left w:w="115" w:type="dxa"/>
              <w:bottom w:w="72" w:type="dxa"/>
              <w:right w:w="115" w:type="dxa"/>
            </w:tcMar>
            <w:vAlign w:val="center"/>
          </w:tcPr>
          <w:p w14:paraId="127D67FB"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998174910</w:t>
            </w:r>
            <w:r w:rsidRPr="007424E0">
              <w:rPr>
                <w:rFonts w:ascii="Times New Roman" w:hAnsi="Times New Roman" w:cs="Times New Roman"/>
                <w:sz w:val="20"/>
                <w:szCs w:val="20"/>
              </w:rPr>
              <w:br/>
            </w:r>
            <w:r w:rsidRPr="007424E0">
              <w:rPr>
                <w:rFonts w:ascii="Times New Roman" w:eastAsia="Times New Roman" w:hAnsi="Times New Roman" w:cs="Times New Roman"/>
                <w:color w:val="000000" w:themeColor="text1"/>
                <w:sz w:val="20"/>
                <w:szCs w:val="20"/>
              </w:rPr>
              <w:t xml:space="preserve">Can you guide me as it relates to zoning? For example, I have a potential site that has a special zoning* that allows for multifamily land use. Is this acceptable to DCA for purposes of tax-exempt bonds? </w:t>
            </w:r>
          </w:p>
          <w:p w14:paraId="700AD488" w14:textId="77777777" w:rsidR="00412798" w:rsidRPr="007424E0" w:rsidRDefault="00412798" w:rsidP="000F6D48">
            <w:pPr>
              <w:rPr>
                <w:rFonts w:ascii="Times New Roman" w:eastAsia="Times New Roman" w:hAnsi="Times New Roman" w:cs="Times New Roman"/>
                <w:color w:val="000000" w:themeColor="text1"/>
                <w:sz w:val="20"/>
                <w:szCs w:val="20"/>
              </w:rPr>
            </w:pPr>
          </w:p>
          <w:p w14:paraId="6A886921"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i/>
                <w:iCs/>
                <w:color w:val="000000" w:themeColor="text1"/>
                <w:sz w:val="20"/>
                <w:szCs w:val="20"/>
              </w:rPr>
              <w:t>* (specific zoning designation included in original question, but DCA staff removed from question for publication purposes)</w:t>
            </w:r>
          </w:p>
          <w:p w14:paraId="0E35FD6B"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p>
          <w:p w14:paraId="4847B0F6" w14:textId="77777777" w:rsidR="00412798" w:rsidRPr="007424E0" w:rsidRDefault="00412798" w:rsidP="000F6D48">
            <w:pPr>
              <w:rPr>
                <w:rFonts w:ascii="Times New Roman" w:eastAsia="Times New Roman" w:hAnsi="Times New Roman" w:cs="Times New Roman"/>
                <w:b/>
                <w:bCs/>
                <w:color w:val="000000" w:themeColor="text1"/>
                <w:sz w:val="20"/>
                <w:szCs w:val="20"/>
              </w:rPr>
            </w:pPr>
            <w:r w:rsidRPr="007424E0">
              <w:rPr>
                <w:rFonts w:ascii="Times New Roman" w:eastAsia="Times New Roman" w:hAnsi="Times New Roman" w:cs="Times New Roman"/>
                <w:b/>
                <w:bCs/>
                <w:sz w:val="20"/>
                <w:szCs w:val="20"/>
              </w:rPr>
              <w:t xml:space="preserve">Answer: </w:t>
            </w:r>
          </w:p>
          <w:p w14:paraId="015CA4F6"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DCA does not pre-approve whether specific circumstances meet requirements under Threshold Criteria or Scoring Criteria through Q&amp;A. If a particular QAP policy is unclear, please re-submit the question highlighting which QAP policy needs to be clarified for you to understand whether your zoning designation will qualify.</w:t>
            </w:r>
          </w:p>
          <w:p w14:paraId="5A3131CE" w14:textId="77777777" w:rsidR="00412798" w:rsidRPr="007424E0" w:rsidRDefault="00412798" w:rsidP="000F6D48">
            <w:pPr>
              <w:spacing w:line="259" w:lineRule="auto"/>
              <w:rPr>
                <w:rStyle w:val="IntenseReference"/>
                <w:rFonts w:ascii="Times New Roman" w:eastAsia="Times New Roman" w:hAnsi="Times New Roman" w:cs="Times New Roman"/>
                <w:sz w:val="20"/>
                <w:szCs w:val="20"/>
              </w:rPr>
            </w:pPr>
          </w:p>
        </w:tc>
      </w:tr>
      <w:tr w:rsidR="00412798" w:rsidRPr="007424E0" w14:paraId="563FCC6E"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295B8D05"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9/7/22</w:t>
            </w:r>
          </w:p>
        </w:tc>
        <w:tc>
          <w:tcPr>
            <w:tcW w:w="2663" w:type="dxa"/>
            <w:shd w:val="clear" w:color="auto" w:fill="auto"/>
            <w:tcMar>
              <w:top w:w="72" w:type="dxa"/>
              <w:left w:w="115" w:type="dxa"/>
              <w:bottom w:w="72" w:type="dxa"/>
              <w:right w:w="115" w:type="dxa"/>
            </w:tcMar>
            <w:vAlign w:val="center"/>
          </w:tcPr>
          <w:p w14:paraId="383DB31D"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3.05</w:t>
            </w:r>
          </w:p>
          <w:p w14:paraId="320D1F27"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Scoring Criteria; Desirable/Undesirable Activities</w:t>
            </w:r>
          </w:p>
        </w:tc>
        <w:tc>
          <w:tcPr>
            <w:tcW w:w="9585" w:type="dxa"/>
            <w:shd w:val="clear" w:color="auto" w:fill="auto"/>
            <w:tcMar>
              <w:top w:w="72" w:type="dxa"/>
              <w:left w:w="115" w:type="dxa"/>
              <w:bottom w:w="72" w:type="dxa"/>
              <w:right w:w="115" w:type="dxa"/>
            </w:tcMar>
            <w:vAlign w:val="center"/>
          </w:tcPr>
          <w:p w14:paraId="3C70D6D0"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993260153</w:t>
            </w:r>
          </w:p>
          <w:p w14:paraId="4FEDB384"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This question pertains to the Scoring Criteria for Desirables/Undesirables.  Can I use the same Fire and Rescue station for both (p) Community Assets Fire Station and (f) Medical Care Provider?  This station has Fire /Rescue Service and EMS.</w:t>
            </w:r>
          </w:p>
          <w:p w14:paraId="6D0CB381" w14:textId="77777777" w:rsidR="00412798" w:rsidRPr="007424E0" w:rsidRDefault="00412798" w:rsidP="000F6D48">
            <w:pPr>
              <w:rPr>
                <w:rFonts w:ascii="Times New Roman" w:eastAsia="Times New Roman" w:hAnsi="Times New Roman" w:cs="Times New Roman"/>
                <w:b/>
                <w:bCs/>
                <w:color w:val="4472C4" w:themeColor="accent1"/>
                <w:sz w:val="20"/>
                <w:szCs w:val="20"/>
              </w:rPr>
            </w:pPr>
            <w:r w:rsidRPr="007424E0">
              <w:rPr>
                <w:rFonts w:ascii="Times New Roman" w:eastAsia="Times New Roman" w:hAnsi="Times New Roman" w:cs="Times New Roman"/>
                <w:b/>
                <w:bCs/>
                <w:sz w:val="20"/>
                <w:szCs w:val="20"/>
              </w:rPr>
              <w:t xml:space="preserve">Answer: </w:t>
            </w:r>
          </w:p>
          <w:p w14:paraId="1B4F52ED"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No, the QAP states: </w:t>
            </w:r>
            <w:r w:rsidRPr="007424E0">
              <w:rPr>
                <w:rFonts w:ascii="Times New Roman" w:eastAsia="Times New Roman" w:hAnsi="Times New Roman" w:cs="Times New Roman"/>
                <w:i/>
                <w:iCs/>
                <w:color w:val="000000" w:themeColor="text1"/>
                <w:sz w:val="20"/>
                <w:szCs w:val="20"/>
              </w:rPr>
              <w:t>“Each building/entity/location will be assigned to only one (1) desirable category, with the exception of an amenity under (a), (c) or (l) below, which may be assigned to up to two (2) desirable categories.”</w:t>
            </w:r>
          </w:p>
          <w:p w14:paraId="4D2D19B3"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Please see Q&amp;A </w:t>
            </w:r>
            <w:r w:rsidRPr="007424E0">
              <w:rPr>
                <w:rFonts w:ascii="Times New Roman" w:eastAsia="Times New Roman" w:hAnsi="Times New Roman" w:cs="Times New Roman"/>
                <w:b/>
                <w:bCs/>
                <w:color w:val="000000" w:themeColor="text1"/>
                <w:sz w:val="20"/>
                <w:szCs w:val="20"/>
              </w:rPr>
              <w:t>Q22_0503_01b</w:t>
            </w:r>
            <w:r w:rsidRPr="007424E0">
              <w:rPr>
                <w:rFonts w:ascii="Times New Roman" w:eastAsia="Times New Roman" w:hAnsi="Times New Roman" w:cs="Times New Roman"/>
                <w:color w:val="000000" w:themeColor="text1"/>
                <w:sz w:val="20"/>
                <w:szCs w:val="20"/>
              </w:rPr>
              <w:t xml:space="preserve"> for guidance on entities qualifying under the Medical Care Provider desirable category.</w:t>
            </w:r>
          </w:p>
        </w:tc>
      </w:tr>
      <w:tr w:rsidR="00412798" w:rsidRPr="007424E0" w14:paraId="26E78EC2"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68928115"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9/7/22</w:t>
            </w:r>
          </w:p>
        </w:tc>
        <w:tc>
          <w:tcPr>
            <w:tcW w:w="2663" w:type="dxa"/>
            <w:shd w:val="clear" w:color="auto" w:fill="auto"/>
            <w:tcMar>
              <w:top w:w="72" w:type="dxa"/>
              <w:left w:w="115" w:type="dxa"/>
              <w:bottom w:w="72" w:type="dxa"/>
              <w:right w:w="115" w:type="dxa"/>
            </w:tcMar>
            <w:vAlign w:val="center"/>
          </w:tcPr>
          <w:p w14:paraId="576EFCC3"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3.05</w:t>
            </w:r>
          </w:p>
          <w:p w14:paraId="57E3A186"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Scoring Criteria; Desirable/Undesirable Activities</w:t>
            </w:r>
          </w:p>
        </w:tc>
        <w:tc>
          <w:tcPr>
            <w:tcW w:w="9585" w:type="dxa"/>
            <w:shd w:val="clear" w:color="auto" w:fill="auto"/>
            <w:tcMar>
              <w:top w:w="72" w:type="dxa"/>
              <w:left w:w="115" w:type="dxa"/>
              <w:bottom w:w="72" w:type="dxa"/>
              <w:right w:w="115" w:type="dxa"/>
            </w:tcMar>
            <w:vAlign w:val="center"/>
          </w:tcPr>
          <w:p w14:paraId="52B885F8"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sz w:val="20"/>
                <w:szCs w:val="20"/>
              </w:rPr>
              <w:t xml:space="preserve">Question ID: </w:t>
            </w:r>
            <w:r w:rsidRPr="007424E0">
              <w:rPr>
                <w:rFonts w:ascii="Times New Roman" w:eastAsia="Times New Roman" w:hAnsi="Times New Roman" w:cs="Times New Roman"/>
                <w:sz w:val="20"/>
                <w:szCs w:val="20"/>
              </w:rPr>
              <w:t>993260153_2</w:t>
            </w:r>
          </w:p>
          <w:p w14:paraId="0BF85157"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Would a UPS Customer Center qualify for the scoring category of Community Assets – Post office? UPS Customer Service centers offer similar services as the U.S. Postal Service offices.</w:t>
            </w:r>
          </w:p>
          <w:p w14:paraId="50552CB4" w14:textId="77777777" w:rsidR="00412798" w:rsidRPr="007424E0" w:rsidRDefault="00412798" w:rsidP="000F6D48">
            <w:pPr>
              <w:rPr>
                <w:rFonts w:ascii="Times New Roman" w:eastAsia="Times New Roman" w:hAnsi="Times New Roman" w:cs="Times New Roman"/>
                <w:color w:val="000000" w:themeColor="text1"/>
                <w:sz w:val="20"/>
                <w:szCs w:val="20"/>
              </w:rPr>
            </w:pPr>
          </w:p>
          <w:p w14:paraId="6EA0D4C6" w14:textId="77777777" w:rsidR="00412798" w:rsidRPr="007424E0" w:rsidRDefault="00412798" w:rsidP="000F6D48">
            <w:pPr>
              <w:rPr>
                <w:rFonts w:ascii="Times New Roman" w:eastAsia="Times New Roman" w:hAnsi="Times New Roman" w:cs="Times New Roman"/>
                <w:b/>
                <w:bCs/>
                <w:color w:val="000000" w:themeColor="text1"/>
                <w:sz w:val="20"/>
                <w:szCs w:val="20"/>
              </w:rPr>
            </w:pPr>
            <w:r w:rsidRPr="007424E0">
              <w:rPr>
                <w:rFonts w:ascii="Times New Roman" w:eastAsia="Times New Roman" w:hAnsi="Times New Roman" w:cs="Times New Roman"/>
                <w:b/>
                <w:bCs/>
                <w:sz w:val="20"/>
                <w:szCs w:val="20"/>
              </w:rPr>
              <w:lastRenderedPageBreak/>
              <w:t>Answer:</w:t>
            </w:r>
          </w:p>
          <w:p w14:paraId="2B0F9289"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DCA provided the following guidance for a similar question regarding the 2021 QAP (see 2021 Q&amp;A </w:t>
            </w:r>
            <w:r w:rsidRPr="007424E0">
              <w:rPr>
                <w:rFonts w:ascii="Times New Roman" w:eastAsia="Times New Roman" w:hAnsi="Times New Roman" w:cs="Times New Roman"/>
                <w:b/>
                <w:bCs/>
                <w:color w:val="000000" w:themeColor="text1"/>
                <w:sz w:val="20"/>
                <w:szCs w:val="20"/>
              </w:rPr>
              <w:t>Q0204_01</w:t>
            </w:r>
            <w:r w:rsidRPr="007424E0">
              <w:rPr>
                <w:rFonts w:ascii="Times New Roman" w:eastAsia="Times New Roman" w:hAnsi="Times New Roman" w:cs="Times New Roman"/>
                <w:color w:val="000000" w:themeColor="text1"/>
                <w:sz w:val="20"/>
                <w:szCs w:val="20"/>
              </w:rPr>
              <w:t>). This guidance still holds for purposes of the 2022 QAP:</w:t>
            </w:r>
          </w:p>
          <w:p w14:paraId="0F756D1C" w14:textId="77777777" w:rsidR="00412798" w:rsidRPr="007424E0" w:rsidRDefault="00412798" w:rsidP="000F6D48">
            <w:pPr>
              <w:spacing w:after="160" w:line="257" w:lineRule="auto"/>
              <w:ind w:left="720"/>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“The 2021 QAP list of Desirable Activities specifies post office. Post offices are branches of a public agency that administers mail. UPS and FedEx are not considered post offices.”</w:t>
            </w:r>
          </w:p>
        </w:tc>
      </w:tr>
      <w:tr w:rsidR="00412798" w:rsidRPr="007424E0" w14:paraId="6E2D057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1C5C7C2D"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9/7/22</w:t>
            </w:r>
          </w:p>
        </w:tc>
        <w:tc>
          <w:tcPr>
            <w:tcW w:w="2663" w:type="dxa"/>
            <w:shd w:val="clear" w:color="auto" w:fill="auto"/>
            <w:tcMar>
              <w:top w:w="72" w:type="dxa"/>
              <w:left w:w="115" w:type="dxa"/>
              <w:bottom w:w="72" w:type="dxa"/>
              <w:right w:w="115" w:type="dxa"/>
            </w:tcMar>
            <w:vAlign w:val="center"/>
          </w:tcPr>
          <w:p w14:paraId="231479B4"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3.17</w:t>
            </w:r>
          </w:p>
          <w:p w14:paraId="638DC06F"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Scoring Criteria; </w:t>
            </w:r>
          </w:p>
          <w:p w14:paraId="501C5E8E"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6B644D91"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color w:val="000000" w:themeColor="text1"/>
                <w:sz w:val="20"/>
                <w:szCs w:val="20"/>
              </w:rPr>
              <w:t xml:space="preserve">Question ID: </w:t>
            </w:r>
            <w:r w:rsidRPr="007424E0">
              <w:rPr>
                <w:rFonts w:ascii="Times New Roman" w:eastAsia="Times New Roman" w:hAnsi="Times New Roman" w:cs="Times New Roman"/>
                <w:color w:val="000000" w:themeColor="text1"/>
                <w:sz w:val="20"/>
                <w:szCs w:val="20"/>
              </w:rPr>
              <w:t>996163925</w:t>
            </w:r>
            <w:r w:rsidRPr="007424E0">
              <w:rPr>
                <w:rFonts w:ascii="Times New Roman" w:eastAsia="Times New Roman" w:hAnsi="Times New Roman" w:cs="Times New Roman"/>
                <w:color w:val="000000" w:themeColor="text1"/>
                <w:sz w:val="20"/>
                <w:szCs w:val="20"/>
              </w:rPr>
              <w:br/>
              <w:t>To claim points in the Minority and Women Owned Business Engagement section, the Qualified Business must be certified under one of the programs approved and posted to the DCA website. Where can I find the list of the DCA approved programs; I have not been able to locate this list on DCA's website?</w:t>
            </w:r>
          </w:p>
          <w:p w14:paraId="0200A7AB"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color w:val="000000" w:themeColor="text1"/>
                <w:sz w:val="20"/>
                <w:szCs w:val="20"/>
              </w:rPr>
              <w:t>Answer</w:t>
            </w:r>
            <w:r w:rsidRPr="007424E0">
              <w:rPr>
                <w:rFonts w:ascii="Times New Roman" w:eastAsia="Times New Roman" w:hAnsi="Times New Roman" w:cs="Times New Roman"/>
                <w:color w:val="000000" w:themeColor="text1"/>
                <w:sz w:val="20"/>
                <w:szCs w:val="20"/>
              </w:rPr>
              <w:t xml:space="preserve">: </w:t>
            </w:r>
            <w:r w:rsidRPr="007424E0">
              <w:rPr>
                <w:rFonts w:ascii="Times New Roman" w:eastAsia="Times New Roman" w:hAnsi="Times New Roman" w:cs="Times New Roman"/>
                <w:color w:val="000000" w:themeColor="text1"/>
                <w:sz w:val="20"/>
                <w:szCs w:val="20"/>
              </w:rPr>
              <w:br/>
              <w:t>For more information on the DCA Minority- and Women-Owned Business Engagement Policy, including a list of qualifying certification programs, please click on “</w:t>
            </w:r>
            <w:r w:rsidRPr="007424E0">
              <w:rPr>
                <w:rFonts w:ascii="Times New Roman" w:eastAsia="Times New Roman" w:hAnsi="Times New Roman" w:cs="Times New Roman"/>
                <w:i/>
                <w:iCs/>
                <w:color w:val="000000" w:themeColor="text1"/>
                <w:sz w:val="20"/>
                <w:szCs w:val="20"/>
              </w:rPr>
              <w:t>DCA Minority- and Women-Owned Business Engagement Policy”</w:t>
            </w:r>
            <w:r w:rsidRPr="007424E0">
              <w:rPr>
                <w:rFonts w:ascii="Times New Roman" w:eastAsia="Times New Roman" w:hAnsi="Times New Roman" w:cs="Times New Roman"/>
                <w:color w:val="000000" w:themeColor="text1"/>
                <w:sz w:val="20"/>
                <w:szCs w:val="20"/>
              </w:rPr>
              <w:t xml:space="preserve"> posted on the “</w:t>
            </w:r>
            <w:hyperlink r:id="rId29" w:history="1">
              <w:r w:rsidRPr="007424E0">
                <w:rPr>
                  <w:rStyle w:val="Hyperlink"/>
                  <w:rFonts w:ascii="Times New Roman" w:eastAsia="Times New Roman" w:hAnsi="Times New Roman" w:cs="Times New Roman"/>
                  <w:sz w:val="20"/>
                  <w:szCs w:val="20"/>
                </w:rPr>
                <w:t>2022 QAP – Scoring Documents and Data Overview</w:t>
              </w:r>
            </w:hyperlink>
            <w:r w:rsidRPr="007424E0">
              <w:rPr>
                <w:rFonts w:ascii="Times New Roman" w:eastAsia="Times New Roman" w:hAnsi="Times New Roman" w:cs="Times New Roman"/>
                <w:color w:val="000000" w:themeColor="text1"/>
                <w:sz w:val="20"/>
                <w:szCs w:val="20"/>
              </w:rPr>
              <w:t>” webpage.</w:t>
            </w:r>
          </w:p>
        </w:tc>
      </w:tr>
      <w:tr w:rsidR="00412798" w:rsidRPr="007424E0" w14:paraId="05B9659D"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5038795C"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t>9/7/22</w:t>
            </w:r>
          </w:p>
        </w:tc>
        <w:tc>
          <w:tcPr>
            <w:tcW w:w="2663" w:type="dxa"/>
            <w:shd w:val="clear" w:color="auto" w:fill="auto"/>
            <w:tcMar>
              <w:top w:w="72" w:type="dxa"/>
              <w:left w:w="115" w:type="dxa"/>
              <w:bottom w:w="72" w:type="dxa"/>
              <w:right w:w="115" w:type="dxa"/>
            </w:tcMar>
            <w:vAlign w:val="center"/>
          </w:tcPr>
          <w:p w14:paraId="21948D06"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6.00</w:t>
            </w:r>
          </w:p>
          <w:p w14:paraId="5AF2E769"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4%/Bonds Round Application Requirements and Procedures</w:t>
            </w:r>
          </w:p>
          <w:p w14:paraId="33A484E2" w14:textId="77777777" w:rsidR="00412798" w:rsidRPr="007424E0" w:rsidRDefault="00412798" w:rsidP="000F6D48">
            <w:pPr>
              <w:spacing w:line="259" w:lineRule="auto"/>
              <w:rPr>
                <w:rFonts w:ascii="Times New Roman" w:eastAsia="Times New Roman" w:hAnsi="Times New Roman" w:cs="Times New Roman"/>
                <w:sz w:val="20"/>
                <w:szCs w:val="20"/>
              </w:rPr>
            </w:pPr>
          </w:p>
        </w:tc>
        <w:tc>
          <w:tcPr>
            <w:tcW w:w="9585" w:type="dxa"/>
            <w:shd w:val="clear" w:color="auto" w:fill="auto"/>
            <w:tcMar>
              <w:top w:w="72" w:type="dxa"/>
              <w:left w:w="115" w:type="dxa"/>
              <w:bottom w:w="72" w:type="dxa"/>
              <w:right w:w="115" w:type="dxa"/>
            </w:tcMar>
            <w:vAlign w:val="center"/>
          </w:tcPr>
          <w:p w14:paraId="498A8E7E"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sz w:val="20"/>
                <w:szCs w:val="20"/>
              </w:rPr>
              <w:t>Question ID:</w:t>
            </w:r>
            <w:r w:rsidRPr="007424E0">
              <w:rPr>
                <w:rFonts w:ascii="Times New Roman" w:eastAsia="Times New Roman" w:hAnsi="Times New Roman" w:cs="Times New Roman"/>
                <w:sz w:val="20"/>
                <w:szCs w:val="20"/>
              </w:rPr>
              <w:t xml:space="preserve"> 993170019 </w:t>
            </w:r>
            <w:r w:rsidRPr="007424E0">
              <w:rPr>
                <w:rFonts w:ascii="Times New Roman" w:hAnsi="Times New Roman" w:cs="Times New Roman"/>
                <w:sz w:val="20"/>
                <w:szCs w:val="20"/>
              </w:rPr>
              <w:br/>
            </w:r>
            <w:r w:rsidRPr="007424E0">
              <w:rPr>
                <w:rFonts w:ascii="Times New Roman" w:eastAsia="Times New Roman" w:hAnsi="Times New Roman" w:cs="Times New Roman"/>
                <w:sz w:val="20"/>
                <w:szCs w:val="20"/>
              </w:rPr>
              <w:t xml:space="preserve">DCA received several questions related to clarifying Competitive Review Submission requirements, paired with their answers below. </w:t>
            </w:r>
          </w:p>
          <w:p w14:paraId="6389610C"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p>
          <w:p w14:paraId="285CEB11" w14:textId="77777777" w:rsidR="00412798" w:rsidRPr="007424E0" w:rsidRDefault="00412798" w:rsidP="000F6D48">
            <w:pPr>
              <w:rPr>
                <w:rFonts w:ascii="Times New Roman" w:eastAsia="Times New Roman" w:hAnsi="Times New Roman" w:cs="Times New Roman"/>
                <w:b/>
                <w:bCs/>
                <w:color w:val="4472C4" w:themeColor="accent1"/>
                <w:sz w:val="20"/>
                <w:szCs w:val="20"/>
              </w:rPr>
            </w:pPr>
            <w:r w:rsidRPr="007424E0">
              <w:rPr>
                <w:rFonts w:ascii="Times New Roman" w:eastAsia="Times New Roman" w:hAnsi="Times New Roman" w:cs="Times New Roman"/>
                <w:b/>
                <w:bCs/>
                <w:sz w:val="20"/>
                <w:szCs w:val="20"/>
              </w:rPr>
              <w:t xml:space="preserve">Answer: </w:t>
            </w:r>
          </w:p>
          <w:p w14:paraId="0FB2BFA0" w14:textId="77777777" w:rsidR="00412798" w:rsidRPr="007424E0" w:rsidRDefault="00412798" w:rsidP="000F6D48">
            <w:pPr>
              <w:pStyle w:val="ListParagraph"/>
              <w:numPr>
                <w:ilvl w:val="0"/>
                <w:numId w:val="58"/>
              </w:numPr>
              <w:spacing w:after="160" w:line="259" w:lineRule="auto"/>
              <w:rPr>
                <w:rFonts w:ascii="Times New Roman" w:eastAsia="Times New Roman" w:hAnsi="Times New Roman" w:cs="Times New Roman"/>
                <w:i/>
                <w:iCs/>
                <w:color w:val="4472C4" w:themeColor="accent1"/>
                <w:sz w:val="20"/>
                <w:szCs w:val="20"/>
              </w:rPr>
            </w:pPr>
            <w:r w:rsidRPr="007424E0">
              <w:rPr>
                <w:rFonts w:ascii="Times New Roman" w:eastAsia="Times New Roman" w:hAnsi="Times New Roman" w:cs="Times New Roman"/>
                <w:i/>
                <w:iCs/>
                <w:color w:val="4472C4" w:themeColor="accent1"/>
                <w:sz w:val="20"/>
                <w:szCs w:val="20"/>
              </w:rPr>
              <w:t>Has an updated checklist been distributed for the 2022 4% application?</w:t>
            </w:r>
          </w:p>
          <w:p w14:paraId="576E056F" w14:textId="77777777" w:rsidR="00412798" w:rsidRPr="007424E0" w:rsidRDefault="00412798" w:rsidP="000F6D48">
            <w:pPr>
              <w:pStyle w:val="ListParagraph"/>
              <w:numPr>
                <w:ilvl w:val="1"/>
                <w:numId w:val="58"/>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DCA will not be publishing a checklist for purposes of the 2022 4%/Bonds Round. For purposes of meeting QAP requirements, applicants should be reviewing the relevant QAP sections, especially the “Minimum Documentation” lists. </w:t>
            </w:r>
          </w:p>
          <w:p w14:paraId="32D368E3" w14:textId="77777777" w:rsidR="00412798" w:rsidRPr="007424E0" w:rsidRDefault="00412798" w:rsidP="000F6D48">
            <w:pPr>
              <w:pStyle w:val="ListParagraph"/>
              <w:numPr>
                <w:ilvl w:val="1"/>
                <w:numId w:val="58"/>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If necessary, any other supplementary documents related to the 4%/Bonds Competitive Round will be requested directly in </w:t>
            </w:r>
            <w:proofErr w:type="spellStart"/>
            <w:r w:rsidRPr="007424E0">
              <w:rPr>
                <w:rFonts w:ascii="Times New Roman" w:eastAsia="Times New Roman" w:hAnsi="Times New Roman" w:cs="Times New Roman"/>
                <w:color w:val="000000" w:themeColor="text1"/>
                <w:sz w:val="20"/>
                <w:szCs w:val="20"/>
              </w:rPr>
              <w:t>Emphasys</w:t>
            </w:r>
            <w:proofErr w:type="spellEnd"/>
            <w:r w:rsidRPr="007424E0">
              <w:rPr>
                <w:rFonts w:ascii="Times New Roman" w:eastAsia="Times New Roman" w:hAnsi="Times New Roman" w:cs="Times New Roman"/>
                <w:color w:val="000000" w:themeColor="text1"/>
                <w:sz w:val="20"/>
                <w:szCs w:val="20"/>
              </w:rPr>
              <w:t xml:space="preserve">. </w:t>
            </w:r>
            <w:r w:rsidRPr="007424E0">
              <w:rPr>
                <w:rFonts w:ascii="Times New Roman" w:hAnsi="Times New Roman" w:cs="Times New Roman"/>
                <w:sz w:val="20"/>
                <w:szCs w:val="20"/>
              </w:rPr>
              <w:br/>
            </w:r>
          </w:p>
          <w:p w14:paraId="736BA614" w14:textId="77777777" w:rsidR="00412798" w:rsidRPr="007424E0" w:rsidRDefault="00412798" w:rsidP="000F6D48">
            <w:pPr>
              <w:pStyle w:val="ListParagraph"/>
              <w:numPr>
                <w:ilvl w:val="0"/>
                <w:numId w:val="58"/>
              </w:numPr>
              <w:spacing w:after="160" w:line="259" w:lineRule="auto"/>
              <w:rPr>
                <w:rFonts w:ascii="Times New Roman" w:eastAsia="Times New Roman" w:hAnsi="Times New Roman" w:cs="Times New Roman"/>
                <w:i/>
                <w:iCs/>
                <w:color w:val="4472C4" w:themeColor="accent1"/>
                <w:sz w:val="20"/>
                <w:szCs w:val="20"/>
              </w:rPr>
            </w:pPr>
            <w:r w:rsidRPr="007424E0">
              <w:rPr>
                <w:rFonts w:ascii="Times New Roman" w:eastAsia="Times New Roman" w:hAnsi="Times New Roman" w:cs="Times New Roman"/>
                <w:i/>
                <w:iCs/>
                <w:color w:val="4472C4" w:themeColor="accent1"/>
                <w:sz w:val="20"/>
                <w:szCs w:val="20"/>
              </w:rPr>
              <w:t>Can DCA clarify what is required for the Competitive Review Submission? It appears to me that the submission requirements for the Competitive Review Submission are the same as a full application.</w:t>
            </w:r>
          </w:p>
          <w:p w14:paraId="03CF3066" w14:textId="77777777" w:rsidR="00412798" w:rsidRPr="007424E0" w:rsidRDefault="00412798" w:rsidP="000F6D48">
            <w:pPr>
              <w:pStyle w:val="ListParagraph"/>
              <w:numPr>
                <w:ilvl w:val="1"/>
                <w:numId w:val="58"/>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A Competitive Review Submission and a Full Application are not the same. A Competitive Review Submission meets all requirements for applicable Scoring Criteria, but only a select number of Threshold Criteria must be met. If selected under the Competitive Review process, at a </w:t>
            </w:r>
            <w:r w:rsidRPr="007424E0">
              <w:rPr>
                <w:rFonts w:ascii="Times New Roman" w:eastAsia="Times New Roman" w:hAnsi="Times New Roman" w:cs="Times New Roman"/>
                <w:color w:val="000000" w:themeColor="text1"/>
                <w:sz w:val="20"/>
                <w:szCs w:val="20"/>
              </w:rPr>
              <w:lastRenderedPageBreak/>
              <w:t xml:space="preserve">later date the applicant submits a Full Application that meets all Threshold Criteria (see </w:t>
            </w:r>
            <w:r w:rsidRPr="007424E0">
              <w:rPr>
                <w:rFonts w:ascii="Times New Roman" w:eastAsia="Times New Roman" w:hAnsi="Times New Roman" w:cs="Times New Roman"/>
                <w:b/>
                <w:bCs/>
                <w:color w:val="000000" w:themeColor="text1"/>
                <w:sz w:val="20"/>
                <w:szCs w:val="20"/>
              </w:rPr>
              <w:t xml:space="preserve">QID 1001945883_2 </w:t>
            </w:r>
            <w:r w:rsidRPr="007424E0">
              <w:rPr>
                <w:rFonts w:ascii="Times New Roman" w:eastAsia="Times New Roman" w:hAnsi="Times New Roman" w:cs="Times New Roman"/>
                <w:color w:val="000000" w:themeColor="text1"/>
                <w:sz w:val="20"/>
                <w:szCs w:val="20"/>
              </w:rPr>
              <w:t xml:space="preserve">for a timeline discussion). </w:t>
            </w:r>
          </w:p>
          <w:p w14:paraId="3E807885" w14:textId="77777777" w:rsidR="00412798" w:rsidRPr="007424E0" w:rsidRDefault="00412798" w:rsidP="000F6D48">
            <w:pPr>
              <w:pStyle w:val="ListParagraph"/>
              <w:numPr>
                <w:ilvl w:val="1"/>
                <w:numId w:val="58"/>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The requirements for what must be included in the Competitive Review Submission are posted in the </w:t>
            </w:r>
            <w:r w:rsidRPr="007424E0">
              <w:rPr>
                <w:rFonts w:ascii="Times New Roman" w:eastAsia="Times New Roman" w:hAnsi="Times New Roman" w:cs="Times New Roman"/>
                <w:b/>
                <w:bCs/>
                <w:color w:val="000000" w:themeColor="text1"/>
                <w:sz w:val="20"/>
                <w:szCs w:val="20"/>
              </w:rPr>
              <w:t>Competitive Round Announcement</w:t>
            </w:r>
            <w:r w:rsidRPr="007424E0">
              <w:rPr>
                <w:rFonts w:ascii="Times New Roman" w:eastAsia="Times New Roman" w:hAnsi="Times New Roman" w:cs="Times New Roman"/>
                <w:color w:val="000000" w:themeColor="text1"/>
                <w:sz w:val="20"/>
                <w:szCs w:val="20"/>
              </w:rPr>
              <w:t xml:space="preserve"> under “Competitive Review Submission Requirements” (</w:t>
            </w:r>
            <w:hyperlink r:id="rId30" w:history="1">
              <w:r w:rsidRPr="007424E0">
                <w:rPr>
                  <w:rStyle w:val="Hyperlink"/>
                  <w:rFonts w:ascii="Times New Roman" w:eastAsia="Times New Roman" w:hAnsi="Times New Roman" w:cs="Times New Roman"/>
                  <w:sz w:val="20"/>
                  <w:szCs w:val="20"/>
                </w:rPr>
                <w:t>click here</w:t>
              </w:r>
            </w:hyperlink>
            <w:r w:rsidRPr="007424E0">
              <w:rPr>
                <w:rFonts w:ascii="Times New Roman" w:eastAsia="Times New Roman" w:hAnsi="Times New Roman" w:cs="Times New Roman"/>
                <w:color w:val="000000" w:themeColor="text1"/>
                <w:sz w:val="20"/>
                <w:szCs w:val="20"/>
              </w:rPr>
              <w:t>).</w:t>
            </w:r>
          </w:p>
          <w:p w14:paraId="619C5A62" w14:textId="77777777" w:rsidR="00412798" w:rsidRPr="007424E0" w:rsidRDefault="00412798" w:rsidP="000F6D48">
            <w:pPr>
              <w:pStyle w:val="ListParagraph"/>
              <w:numPr>
                <w:ilvl w:val="1"/>
                <w:numId w:val="58"/>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Applicants seeking greater clarity on the Competitive Review Submission requirements should submit a follow-up Q&amp;A indicating which listed requirements are unclear. </w:t>
            </w:r>
            <w:r w:rsidRPr="007424E0">
              <w:rPr>
                <w:rFonts w:ascii="Times New Roman" w:hAnsi="Times New Roman" w:cs="Times New Roman"/>
                <w:sz w:val="20"/>
                <w:szCs w:val="20"/>
              </w:rPr>
              <w:br/>
            </w:r>
          </w:p>
          <w:p w14:paraId="46445A29" w14:textId="77777777" w:rsidR="00412798" w:rsidRPr="007424E0" w:rsidRDefault="00412798" w:rsidP="000F6D48">
            <w:pPr>
              <w:pStyle w:val="ListParagraph"/>
              <w:numPr>
                <w:ilvl w:val="0"/>
                <w:numId w:val="58"/>
              </w:numPr>
              <w:spacing w:after="160" w:line="259" w:lineRule="auto"/>
              <w:rPr>
                <w:rFonts w:ascii="Times New Roman" w:eastAsia="Times New Roman" w:hAnsi="Times New Roman" w:cs="Times New Roman"/>
                <w:i/>
                <w:iCs/>
                <w:color w:val="4472C4" w:themeColor="accent1"/>
                <w:sz w:val="20"/>
                <w:szCs w:val="20"/>
              </w:rPr>
            </w:pPr>
            <w:r w:rsidRPr="007424E0">
              <w:rPr>
                <w:rFonts w:ascii="Times New Roman" w:eastAsia="Times New Roman" w:hAnsi="Times New Roman" w:cs="Times New Roman"/>
                <w:i/>
                <w:iCs/>
                <w:color w:val="4472C4" w:themeColor="accent1"/>
                <w:sz w:val="20"/>
                <w:szCs w:val="20"/>
              </w:rPr>
              <w:t xml:space="preserve">Has the window passed to submit a Competitive Review Submission including Scoring items and select Threshold items?  </w:t>
            </w:r>
          </w:p>
          <w:p w14:paraId="4743BAB3" w14:textId="77777777" w:rsidR="00412798" w:rsidRPr="007424E0" w:rsidRDefault="00412798" w:rsidP="000F6D48">
            <w:pPr>
              <w:pStyle w:val="ListParagraph"/>
              <w:numPr>
                <w:ilvl w:val="1"/>
                <w:numId w:val="58"/>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The </w:t>
            </w:r>
            <w:r w:rsidRPr="007424E0">
              <w:rPr>
                <w:rFonts w:ascii="Times New Roman" w:eastAsia="Times New Roman" w:hAnsi="Times New Roman" w:cs="Times New Roman"/>
                <w:b/>
                <w:bCs/>
                <w:color w:val="000000" w:themeColor="text1"/>
                <w:sz w:val="20"/>
                <w:szCs w:val="20"/>
              </w:rPr>
              <w:t>Competitive Round Announcement</w:t>
            </w:r>
            <w:r w:rsidRPr="007424E0">
              <w:rPr>
                <w:rFonts w:ascii="Times New Roman" w:eastAsia="Times New Roman" w:hAnsi="Times New Roman" w:cs="Times New Roman"/>
                <w:color w:val="000000" w:themeColor="text1"/>
                <w:sz w:val="20"/>
                <w:szCs w:val="20"/>
              </w:rPr>
              <w:t xml:space="preserve"> also states, under “Application Submission Timeline,” that the Competitive Review Submission deadline is Friday, October 14, 2022. </w:t>
            </w:r>
            <w:r w:rsidRPr="007424E0">
              <w:rPr>
                <w:rFonts w:ascii="Times New Roman" w:hAnsi="Times New Roman" w:cs="Times New Roman"/>
                <w:sz w:val="20"/>
                <w:szCs w:val="20"/>
              </w:rPr>
              <w:br/>
            </w:r>
          </w:p>
          <w:p w14:paraId="0C5E3CC6" w14:textId="77777777" w:rsidR="00412798" w:rsidRPr="007424E0" w:rsidRDefault="00412798" w:rsidP="000F6D48">
            <w:pPr>
              <w:pStyle w:val="ListParagraph"/>
              <w:numPr>
                <w:ilvl w:val="0"/>
                <w:numId w:val="58"/>
              </w:numPr>
              <w:spacing w:after="160" w:line="259" w:lineRule="auto"/>
              <w:rPr>
                <w:rFonts w:ascii="Times New Roman" w:eastAsia="Times New Roman" w:hAnsi="Times New Roman" w:cs="Times New Roman"/>
                <w:i/>
                <w:iCs/>
                <w:color w:val="4472C4" w:themeColor="accent1"/>
                <w:sz w:val="20"/>
                <w:szCs w:val="20"/>
              </w:rPr>
            </w:pPr>
            <w:r w:rsidRPr="007424E0">
              <w:rPr>
                <w:rFonts w:ascii="Times New Roman" w:eastAsia="Times New Roman" w:hAnsi="Times New Roman" w:cs="Times New Roman"/>
                <w:i/>
                <w:iCs/>
                <w:color w:val="4472C4" w:themeColor="accent1"/>
                <w:sz w:val="20"/>
                <w:szCs w:val="20"/>
              </w:rPr>
              <w:t xml:space="preserve">Below is a list of the documents we plan to submit to meet all applicable Threshold Criteria. Can you please confirm that these are the correct ones? </w:t>
            </w:r>
          </w:p>
          <w:p w14:paraId="164E1FF2" w14:textId="77777777" w:rsidR="00412798" w:rsidRPr="007424E0" w:rsidRDefault="00412798" w:rsidP="000F6D48">
            <w:pPr>
              <w:pStyle w:val="ListParagraph"/>
              <w:numPr>
                <w:ilvl w:val="1"/>
                <w:numId w:val="58"/>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Absent seeing the full context of the development, DCA is not able to confirm through Q&amp;A whether a proposed set of documents will be sufficient to pass a particular Threshold section. Applicants are responsible for reviewing the QAP sections themselves to understand what documentation will be required to pass a Threshold section. </w:t>
            </w:r>
          </w:p>
          <w:p w14:paraId="4E2C3A3D" w14:textId="77777777" w:rsidR="00412798" w:rsidRPr="007424E0" w:rsidRDefault="00412798" w:rsidP="000F6D48">
            <w:pPr>
              <w:pStyle w:val="ListParagraph"/>
              <w:numPr>
                <w:ilvl w:val="1"/>
                <w:numId w:val="58"/>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If a specific QAP policy is ambiguous, or if given the development’s circumstances it is not clear how a particular QAP policy should apply, then please submit a new question highlighting the ambiguity.  </w:t>
            </w:r>
          </w:p>
          <w:p w14:paraId="11C32043" w14:textId="77777777" w:rsidR="00412798" w:rsidRPr="007424E0" w:rsidRDefault="00412798" w:rsidP="000F6D48">
            <w:pPr>
              <w:rPr>
                <w:rFonts w:ascii="Times New Roman" w:eastAsia="Times New Roman" w:hAnsi="Times New Roman" w:cs="Times New Roman"/>
                <w:b/>
                <w:bCs/>
                <w:sz w:val="20"/>
                <w:szCs w:val="20"/>
              </w:rPr>
            </w:pPr>
          </w:p>
        </w:tc>
      </w:tr>
      <w:tr w:rsidR="00412798" w:rsidRPr="007424E0" w14:paraId="05B00502"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347BDF26" w14:textId="77777777" w:rsidR="00412798" w:rsidRPr="007424E0" w:rsidRDefault="00412798" w:rsidP="000F6D48">
            <w:pPr>
              <w:rPr>
                <w:rFonts w:ascii="Times New Roman" w:eastAsia="Times New Roman" w:hAnsi="Times New Roman" w:cs="Times New Roman"/>
                <w:noProof/>
                <w:sz w:val="20"/>
                <w:szCs w:val="20"/>
              </w:rPr>
            </w:pPr>
            <w:r w:rsidRPr="007424E0">
              <w:rPr>
                <w:rFonts w:ascii="Times New Roman" w:eastAsia="Times New Roman" w:hAnsi="Times New Roman" w:cs="Times New Roman"/>
                <w:noProof/>
                <w:sz w:val="20"/>
                <w:szCs w:val="20"/>
              </w:rPr>
              <w:lastRenderedPageBreak/>
              <w:t>9/7/22</w:t>
            </w:r>
          </w:p>
        </w:tc>
        <w:tc>
          <w:tcPr>
            <w:tcW w:w="2663" w:type="dxa"/>
            <w:shd w:val="clear" w:color="auto" w:fill="auto"/>
            <w:tcMar>
              <w:top w:w="72" w:type="dxa"/>
              <w:left w:w="115" w:type="dxa"/>
              <w:bottom w:w="72" w:type="dxa"/>
              <w:right w:w="115" w:type="dxa"/>
            </w:tcMar>
            <w:vAlign w:val="center"/>
          </w:tcPr>
          <w:p w14:paraId="0F2C879B"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6.00</w:t>
            </w:r>
          </w:p>
          <w:p w14:paraId="3A5AEDC5" w14:textId="77777777" w:rsidR="00412798" w:rsidRPr="007424E0" w:rsidRDefault="00412798" w:rsidP="000F6D48">
            <w:pPr>
              <w:spacing w:line="259" w:lineRule="auto"/>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4%/Bonds Round Application Requirements and Procedures</w:t>
            </w:r>
          </w:p>
        </w:tc>
        <w:tc>
          <w:tcPr>
            <w:tcW w:w="9585" w:type="dxa"/>
            <w:shd w:val="clear" w:color="auto" w:fill="auto"/>
            <w:tcMar>
              <w:top w:w="72" w:type="dxa"/>
              <w:left w:w="115" w:type="dxa"/>
              <w:bottom w:w="72" w:type="dxa"/>
              <w:right w:w="115" w:type="dxa"/>
            </w:tcMar>
            <w:vAlign w:val="center"/>
          </w:tcPr>
          <w:p w14:paraId="4D607BB4"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sz w:val="20"/>
                <w:szCs w:val="20"/>
              </w:rPr>
              <w:t>Question ID:</w:t>
            </w:r>
            <w:r w:rsidRPr="007424E0">
              <w:rPr>
                <w:rFonts w:ascii="Times New Roman" w:eastAsia="Times New Roman" w:hAnsi="Times New Roman" w:cs="Times New Roman"/>
                <w:sz w:val="20"/>
                <w:szCs w:val="20"/>
              </w:rPr>
              <w:t xml:space="preserve"> 1001945883_2</w:t>
            </w:r>
            <w:r w:rsidRPr="007424E0">
              <w:rPr>
                <w:rFonts w:ascii="Times New Roman" w:hAnsi="Times New Roman" w:cs="Times New Roman"/>
                <w:sz w:val="20"/>
                <w:szCs w:val="20"/>
              </w:rPr>
              <w:br/>
            </w:r>
            <w:r w:rsidRPr="007424E0">
              <w:rPr>
                <w:rFonts w:ascii="Times New Roman" w:eastAsia="Times New Roman" w:hAnsi="Times New Roman" w:cs="Times New Roman"/>
                <w:color w:val="000000" w:themeColor="text1"/>
                <w:sz w:val="20"/>
                <w:szCs w:val="20"/>
              </w:rPr>
              <w:t xml:space="preserve">Below are a series of questions related to </w:t>
            </w:r>
            <w:r w:rsidRPr="007424E0">
              <w:rPr>
                <w:rFonts w:ascii="Times New Roman" w:eastAsia="Times New Roman" w:hAnsi="Times New Roman" w:cs="Times New Roman"/>
                <w:b/>
                <w:bCs/>
                <w:color w:val="000000" w:themeColor="text1"/>
                <w:sz w:val="20"/>
                <w:szCs w:val="20"/>
              </w:rPr>
              <w:t>(Core Plan) 4% Federal Credit – Bond Financed Projects</w:t>
            </w:r>
            <w:r w:rsidRPr="007424E0">
              <w:rPr>
                <w:rFonts w:ascii="Times New Roman" w:eastAsia="Times New Roman" w:hAnsi="Times New Roman" w:cs="Times New Roman"/>
                <w:color w:val="000000" w:themeColor="text1"/>
                <w:sz w:val="20"/>
                <w:szCs w:val="20"/>
              </w:rPr>
              <w:t xml:space="preserve">, subsection </w:t>
            </w:r>
            <w:r w:rsidRPr="007424E0">
              <w:rPr>
                <w:rFonts w:ascii="Times New Roman" w:eastAsia="Times New Roman" w:hAnsi="Times New Roman" w:cs="Times New Roman"/>
                <w:b/>
                <w:bCs/>
                <w:color w:val="000000" w:themeColor="text1"/>
                <w:sz w:val="20"/>
                <w:szCs w:val="20"/>
              </w:rPr>
              <w:t>A. 4% Credit Review Process</w:t>
            </w:r>
            <w:r w:rsidRPr="007424E0">
              <w:rPr>
                <w:rFonts w:ascii="Times New Roman" w:eastAsia="Times New Roman" w:hAnsi="Times New Roman" w:cs="Times New Roman"/>
                <w:color w:val="000000" w:themeColor="text1"/>
                <w:sz w:val="20"/>
                <w:szCs w:val="20"/>
              </w:rPr>
              <w:t xml:space="preserve">. </w:t>
            </w:r>
          </w:p>
          <w:p w14:paraId="097679C4"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p>
          <w:p w14:paraId="212A11B9" w14:textId="77777777" w:rsidR="00412798" w:rsidRPr="007424E0" w:rsidRDefault="00412798" w:rsidP="000F6D48">
            <w:pPr>
              <w:rPr>
                <w:rFonts w:ascii="Times New Roman" w:eastAsia="Times New Roman" w:hAnsi="Times New Roman" w:cs="Times New Roman"/>
                <w:b/>
                <w:bCs/>
                <w:color w:val="4472C4" w:themeColor="accent1"/>
                <w:sz w:val="20"/>
                <w:szCs w:val="20"/>
              </w:rPr>
            </w:pPr>
            <w:r w:rsidRPr="007424E0">
              <w:rPr>
                <w:rFonts w:ascii="Times New Roman" w:eastAsia="Times New Roman" w:hAnsi="Times New Roman" w:cs="Times New Roman"/>
                <w:b/>
                <w:bCs/>
                <w:sz w:val="20"/>
                <w:szCs w:val="20"/>
              </w:rPr>
              <w:t xml:space="preserve">Answer: </w:t>
            </w:r>
          </w:p>
          <w:p w14:paraId="65F69E8D" w14:textId="77777777" w:rsidR="00412798" w:rsidRPr="007424E0" w:rsidRDefault="00412798" w:rsidP="000F6D48">
            <w:pPr>
              <w:spacing w:after="160" w:line="259" w:lineRule="auto"/>
              <w:rPr>
                <w:rFonts w:ascii="Times New Roman" w:eastAsia="Times New Roman" w:hAnsi="Times New Roman" w:cs="Times New Roman"/>
                <w:color w:val="4472C4" w:themeColor="accent1"/>
                <w:sz w:val="20"/>
                <w:szCs w:val="20"/>
              </w:rPr>
            </w:pPr>
            <w:r w:rsidRPr="007424E0">
              <w:rPr>
                <w:rFonts w:ascii="Times New Roman" w:eastAsia="Times New Roman" w:hAnsi="Times New Roman" w:cs="Times New Roman"/>
                <w:b/>
                <w:bCs/>
                <w:color w:val="000000" w:themeColor="text1"/>
                <w:sz w:val="20"/>
                <w:szCs w:val="20"/>
              </w:rPr>
              <w:t>Question 1:</w:t>
            </w:r>
            <w:r w:rsidRPr="007424E0">
              <w:rPr>
                <w:rFonts w:ascii="Times New Roman" w:eastAsia="Times New Roman" w:hAnsi="Times New Roman" w:cs="Times New Roman"/>
                <w:color w:val="000000" w:themeColor="text1"/>
                <w:sz w:val="20"/>
                <w:szCs w:val="20"/>
              </w:rPr>
              <w:t xml:space="preserve"> </w:t>
            </w:r>
            <w:r w:rsidRPr="007424E0">
              <w:rPr>
                <w:rFonts w:ascii="Times New Roman" w:eastAsia="Times New Roman" w:hAnsi="Times New Roman" w:cs="Times New Roman"/>
                <w:color w:val="4472C4" w:themeColor="accent1"/>
                <w:sz w:val="20"/>
                <w:szCs w:val="20"/>
              </w:rPr>
              <w:t>This section states “</w:t>
            </w:r>
            <w:r w:rsidRPr="007424E0">
              <w:rPr>
                <w:rFonts w:ascii="Times New Roman" w:eastAsia="Times New Roman" w:hAnsi="Times New Roman" w:cs="Times New Roman"/>
                <w:i/>
                <w:iCs/>
                <w:color w:val="4472C4" w:themeColor="accent1"/>
                <w:sz w:val="20"/>
                <w:szCs w:val="20"/>
              </w:rPr>
              <w:t>Applications selected under the competitive process will receive DCA consent to submit a full Pre-Application within 40 days.</w:t>
            </w:r>
            <w:r w:rsidRPr="007424E0">
              <w:rPr>
                <w:rFonts w:ascii="Times New Roman" w:eastAsia="Times New Roman" w:hAnsi="Times New Roman" w:cs="Times New Roman"/>
                <w:color w:val="4472C4" w:themeColor="accent1"/>
                <w:sz w:val="20"/>
                <w:szCs w:val="20"/>
              </w:rPr>
              <w:t xml:space="preserve">” Is this 40 days from October 14th deadline that we will receive </w:t>
            </w:r>
            <w:r w:rsidRPr="007424E0">
              <w:rPr>
                <w:rFonts w:ascii="Times New Roman" w:eastAsia="Times New Roman" w:hAnsi="Times New Roman" w:cs="Times New Roman"/>
                <w:color w:val="4472C4" w:themeColor="accent1"/>
                <w:sz w:val="20"/>
                <w:szCs w:val="20"/>
              </w:rPr>
              <w:lastRenderedPageBreak/>
              <w:t>consent to submit a full pre-application? So by November 23rd we will know if we are allowed to submit a full pre-application?</w:t>
            </w:r>
          </w:p>
          <w:p w14:paraId="412D77D7" w14:textId="77777777" w:rsidR="00412798" w:rsidRPr="007424E0" w:rsidRDefault="00412798" w:rsidP="000F6D48">
            <w:pPr>
              <w:pStyle w:val="ListParagraph"/>
              <w:numPr>
                <w:ilvl w:val="0"/>
                <w:numId w:val="61"/>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The above interpretation is not correct. When DCA has completed staff reviews of Competitive Review Submissions, DCA will issue consent to submit a Pre-Application to high-scoring applications. Upon receiving this consent notice, the 40-day clock starts. </w:t>
            </w:r>
          </w:p>
          <w:p w14:paraId="085B4D2C" w14:textId="77777777" w:rsidR="00412798" w:rsidRPr="007424E0" w:rsidRDefault="00412798" w:rsidP="000F6D48">
            <w:pPr>
              <w:pStyle w:val="ListParagraph"/>
              <w:numPr>
                <w:ilvl w:val="0"/>
                <w:numId w:val="61"/>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For example, if on January 1 you are notified to proceed with submitting a Pre-Application within 40 days, you must submit your Pre-Application by February 10</w:t>
            </w:r>
            <w:r w:rsidRPr="007424E0">
              <w:rPr>
                <w:rFonts w:ascii="Times New Roman" w:eastAsia="Times New Roman" w:hAnsi="Times New Roman" w:cs="Times New Roman"/>
                <w:color w:val="000000" w:themeColor="text1"/>
                <w:sz w:val="20"/>
                <w:szCs w:val="20"/>
                <w:vertAlign w:val="superscript"/>
              </w:rPr>
              <w:t>th</w:t>
            </w:r>
            <w:r w:rsidRPr="007424E0">
              <w:rPr>
                <w:rFonts w:ascii="Times New Roman" w:eastAsia="Times New Roman" w:hAnsi="Times New Roman" w:cs="Times New Roman"/>
                <w:color w:val="000000" w:themeColor="text1"/>
                <w:sz w:val="20"/>
                <w:szCs w:val="20"/>
              </w:rPr>
              <w:t xml:space="preserve">. </w:t>
            </w:r>
          </w:p>
          <w:p w14:paraId="31AC5133" w14:textId="77777777" w:rsidR="00412798" w:rsidRPr="007424E0" w:rsidRDefault="00412798" w:rsidP="000F6D48">
            <w:pPr>
              <w:pStyle w:val="ListParagraph"/>
              <w:numPr>
                <w:ilvl w:val="1"/>
                <w:numId w:val="61"/>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The above dates are for illustrative purposes only. DCA cannot speak to how long the Competitive Review process will take, and so we cannot provide any guidance on what these exact dates may be.</w:t>
            </w:r>
          </w:p>
          <w:p w14:paraId="3AB3DE8E" w14:textId="77777777" w:rsidR="00412798" w:rsidRPr="007424E0" w:rsidRDefault="00412798" w:rsidP="000F6D48">
            <w:pPr>
              <w:spacing w:after="160" w:line="259" w:lineRule="auto"/>
              <w:rPr>
                <w:rFonts w:ascii="Times New Roman" w:eastAsia="Times New Roman" w:hAnsi="Times New Roman" w:cs="Times New Roman"/>
                <w:color w:val="4472C4" w:themeColor="accent1"/>
                <w:sz w:val="20"/>
                <w:szCs w:val="20"/>
              </w:rPr>
            </w:pPr>
            <w:r w:rsidRPr="007424E0">
              <w:rPr>
                <w:rFonts w:ascii="Times New Roman" w:eastAsia="Times New Roman" w:hAnsi="Times New Roman" w:cs="Times New Roman"/>
                <w:b/>
                <w:bCs/>
                <w:color w:val="000000" w:themeColor="text1"/>
                <w:sz w:val="20"/>
                <w:szCs w:val="20"/>
              </w:rPr>
              <w:t xml:space="preserve">Question 2: </w:t>
            </w:r>
            <w:r w:rsidRPr="007424E0">
              <w:rPr>
                <w:rFonts w:ascii="Times New Roman" w:eastAsia="Times New Roman" w:hAnsi="Times New Roman" w:cs="Times New Roman"/>
                <w:color w:val="4472C4" w:themeColor="accent1"/>
                <w:sz w:val="20"/>
                <w:szCs w:val="20"/>
              </w:rPr>
              <w:t xml:space="preserve">How soon after the developer submits the pre-application will DCA provide the "Pre-Application Clearance Letter"? </w:t>
            </w:r>
          </w:p>
          <w:p w14:paraId="216DBCF0" w14:textId="77777777" w:rsidR="00412798" w:rsidRPr="007424E0" w:rsidRDefault="00412798" w:rsidP="000F6D48">
            <w:pPr>
              <w:pStyle w:val="ListParagraph"/>
              <w:numPr>
                <w:ilvl w:val="0"/>
                <w:numId w:val="61"/>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How long it takes DCA staff to review a Pre-Application depends on how many items listed under </w:t>
            </w:r>
            <w:r w:rsidRPr="007424E0">
              <w:rPr>
                <w:rFonts w:ascii="Times New Roman" w:eastAsia="Times New Roman" w:hAnsi="Times New Roman" w:cs="Times New Roman"/>
                <w:b/>
                <w:bCs/>
                <w:color w:val="000000" w:themeColor="text1"/>
                <w:sz w:val="20"/>
                <w:szCs w:val="20"/>
              </w:rPr>
              <w:t>(Core Plan) Submission Requirements and Award Limitations</w:t>
            </w:r>
            <w:r w:rsidRPr="007424E0">
              <w:rPr>
                <w:rFonts w:ascii="Times New Roman" w:eastAsia="Times New Roman" w:hAnsi="Times New Roman" w:cs="Times New Roman"/>
                <w:color w:val="000000" w:themeColor="text1"/>
                <w:sz w:val="20"/>
                <w:szCs w:val="20"/>
              </w:rPr>
              <w:t xml:space="preserve">, subsection </w:t>
            </w:r>
            <w:r w:rsidRPr="007424E0">
              <w:rPr>
                <w:rFonts w:ascii="Times New Roman" w:eastAsia="Times New Roman" w:hAnsi="Times New Roman" w:cs="Times New Roman"/>
                <w:b/>
                <w:bCs/>
                <w:color w:val="000000" w:themeColor="text1"/>
                <w:sz w:val="20"/>
                <w:szCs w:val="20"/>
              </w:rPr>
              <w:t>A. Pre-Determinations and Waivers</w:t>
            </w:r>
            <w:r w:rsidRPr="007424E0">
              <w:rPr>
                <w:rFonts w:ascii="Times New Roman" w:eastAsia="Times New Roman" w:hAnsi="Times New Roman" w:cs="Times New Roman"/>
                <w:color w:val="000000" w:themeColor="text1"/>
                <w:sz w:val="20"/>
                <w:szCs w:val="20"/>
              </w:rPr>
              <w:t xml:space="preserve"> apply to the development. A New Supply application with no waivers will be reviewed more quickly than a Preservation development with 20+ architectural waivers. </w:t>
            </w:r>
          </w:p>
          <w:p w14:paraId="09F60461" w14:textId="77777777" w:rsidR="00412798" w:rsidRPr="007424E0" w:rsidRDefault="00412798" w:rsidP="000F6D48">
            <w:pPr>
              <w:pStyle w:val="ListParagraph"/>
              <w:numPr>
                <w:ilvl w:val="0"/>
                <w:numId w:val="61"/>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Further, DCA does not know to what extent 2023 9% Competitive Round seasonal processes will overlap with post-award 2022 4%/Bonds Competitive Round processes. This may delay a Pre-Application Clearance Letter. </w:t>
            </w:r>
          </w:p>
          <w:p w14:paraId="3E12B1C3" w14:textId="77777777" w:rsidR="00412798" w:rsidRPr="007424E0" w:rsidRDefault="00412798" w:rsidP="000F6D48">
            <w:pPr>
              <w:spacing w:after="160" w:line="259" w:lineRule="auto"/>
              <w:rPr>
                <w:rFonts w:ascii="Times New Roman" w:eastAsia="Times New Roman" w:hAnsi="Times New Roman" w:cs="Times New Roman"/>
                <w:color w:val="4472C4" w:themeColor="accent1"/>
                <w:sz w:val="20"/>
                <w:szCs w:val="20"/>
              </w:rPr>
            </w:pPr>
            <w:r w:rsidRPr="007424E0">
              <w:rPr>
                <w:rFonts w:ascii="Times New Roman" w:eastAsia="Times New Roman" w:hAnsi="Times New Roman" w:cs="Times New Roman"/>
                <w:b/>
                <w:bCs/>
                <w:color w:val="000000" w:themeColor="text1"/>
                <w:sz w:val="20"/>
                <w:szCs w:val="20"/>
              </w:rPr>
              <w:t>Question 3:</w:t>
            </w:r>
            <w:r w:rsidRPr="007424E0">
              <w:rPr>
                <w:rFonts w:ascii="Times New Roman" w:eastAsia="Times New Roman" w:hAnsi="Times New Roman" w:cs="Times New Roman"/>
                <w:color w:val="000000" w:themeColor="text1"/>
                <w:sz w:val="20"/>
                <w:szCs w:val="20"/>
              </w:rPr>
              <w:t xml:space="preserve"> </w:t>
            </w:r>
            <w:r w:rsidRPr="007424E0">
              <w:rPr>
                <w:rFonts w:ascii="Times New Roman" w:eastAsia="Times New Roman" w:hAnsi="Times New Roman" w:cs="Times New Roman"/>
                <w:color w:val="4472C4" w:themeColor="accent1"/>
                <w:sz w:val="20"/>
                <w:szCs w:val="20"/>
              </w:rPr>
              <w:t>How soon after the developer receives the "Pre-Application Clearance Letter" will DCA issue the consent to apply for LODs with a Full Application Submission?</w:t>
            </w:r>
          </w:p>
          <w:p w14:paraId="6E3A6C57" w14:textId="77777777" w:rsidR="00412798" w:rsidRPr="007424E0" w:rsidRDefault="00412798" w:rsidP="000F6D48">
            <w:pPr>
              <w:pStyle w:val="ListParagraph"/>
              <w:numPr>
                <w:ilvl w:val="0"/>
                <w:numId w:val="60"/>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The Pre-Application Clearance Letter is just Pre-Application approval. Per the “Application Submission Timeline” detailed in the </w:t>
            </w:r>
            <w:r w:rsidRPr="007424E0">
              <w:rPr>
                <w:rFonts w:ascii="Times New Roman" w:eastAsia="Times New Roman" w:hAnsi="Times New Roman" w:cs="Times New Roman"/>
                <w:b/>
                <w:bCs/>
                <w:color w:val="000000" w:themeColor="text1"/>
                <w:sz w:val="20"/>
                <w:szCs w:val="20"/>
              </w:rPr>
              <w:t>4%/Bonds Competitive Round Announcement</w:t>
            </w:r>
            <w:r w:rsidRPr="007424E0">
              <w:rPr>
                <w:rFonts w:ascii="Times New Roman" w:eastAsia="Times New Roman" w:hAnsi="Times New Roman" w:cs="Times New Roman"/>
                <w:color w:val="000000" w:themeColor="text1"/>
                <w:sz w:val="20"/>
                <w:szCs w:val="20"/>
              </w:rPr>
              <w:t xml:space="preserve"> (</w:t>
            </w:r>
            <w:hyperlink r:id="rId31" w:history="1">
              <w:r w:rsidRPr="007424E0">
                <w:rPr>
                  <w:rStyle w:val="Hyperlink"/>
                  <w:rFonts w:ascii="Times New Roman" w:eastAsia="Times New Roman" w:hAnsi="Times New Roman" w:cs="Times New Roman"/>
                  <w:sz w:val="20"/>
                  <w:szCs w:val="20"/>
                </w:rPr>
                <w:t>click here</w:t>
              </w:r>
            </w:hyperlink>
            <w:r w:rsidRPr="007424E0">
              <w:rPr>
                <w:rFonts w:ascii="Times New Roman" w:eastAsia="Times New Roman" w:hAnsi="Times New Roman" w:cs="Times New Roman"/>
                <w:color w:val="000000" w:themeColor="text1"/>
                <w:sz w:val="20"/>
                <w:szCs w:val="20"/>
              </w:rPr>
              <w:t xml:space="preserve">), immediately upon receiving Pre-Application approval, the applicant will have 60 days to submit a Full Application. </w:t>
            </w:r>
          </w:p>
          <w:p w14:paraId="525B3207" w14:textId="77777777" w:rsidR="00412798" w:rsidRPr="007424E0" w:rsidRDefault="00412798" w:rsidP="000F6D48">
            <w:pPr>
              <w:spacing w:after="160" w:line="259" w:lineRule="auto"/>
              <w:rPr>
                <w:rFonts w:ascii="Times New Roman" w:eastAsia="Times New Roman" w:hAnsi="Times New Roman" w:cs="Times New Roman"/>
                <w:color w:val="4472C4" w:themeColor="accent1"/>
                <w:sz w:val="20"/>
                <w:szCs w:val="20"/>
              </w:rPr>
            </w:pPr>
            <w:r w:rsidRPr="007424E0">
              <w:rPr>
                <w:rFonts w:ascii="Times New Roman" w:eastAsia="Times New Roman" w:hAnsi="Times New Roman" w:cs="Times New Roman"/>
                <w:b/>
                <w:bCs/>
                <w:color w:val="000000" w:themeColor="text1"/>
                <w:sz w:val="20"/>
                <w:szCs w:val="20"/>
              </w:rPr>
              <w:t>Question 4:</w:t>
            </w:r>
            <w:r w:rsidRPr="007424E0">
              <w:rPr>
                <w:rFonts w:ascii="Times New Roman" w:eastAsia="Times New Roman" w:hAnsi="Times New Roman" w:cs="Times New Roman"/>
                <w:color w:val="000000" w:themeColor="text1"/>
                <w:sz w:val="20"/>
                <w:szCs w:val="20"/>
              </w:rPr>
              <w:t xml:space="preserve"> </w:t>
            </w:r>
            <w:r w:rsidRPr="007424E0">
              <w:rPr>
                <w:rFonts w:ascii="Times New Roman" w:eastAsia="Times New Roman" w:hAnsi="Times New Roman" w:cs="Times New Roman"/>
                <w:i/>
                <w:iCs/>
                <w:color w:val="4472C4" w:themeColor="accent1"/>
                <w:sz w:val="20"/>
                <w:szCs w:val="20"/>
              </w:rPr>
              <w:t>What is the expected timeline for DCA to review the Full Application submission and issue a LOD?</w:t>
            </w:r>
          </w:p>
          <w:p w14:paraId="0F9B0A17" w14:textId="77777777" w:rsidR="00412798" w:rsidRPr="007424E0" w:rsidRDefault="00412798" w:rsidP="000F6D48">
            <w:pPr>
              <w:pStyle w:val="ListParagraph"/>
              <w:numPr>
                <w:ilvl w:val="0"/>
                <w:numId w:val="59"/>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The answer is similar to question 2 above. This depends on the complexity of the Full Application and the extent to which 4%/Bonds Round reviews overlap with other seasonal processes, including but not limited to the 9% Competitive Round.</w:t>
            </w:r>
          </w:p>
          <w:p w14:paraId="49DEDC23" w14:textId="77777777" w:rsidR="00412798" w:rsidRPr="007424E0" w:rsidRDefault="00412798" w:rsidP="000F6D48">
            <w:pPr>
              <w:spacing w:line="259" w:lineRule="auto"/>
              <w:rPr>
                <w:rStyle w:val="IntenseReference"/>
                <w:rFonts w:ascii="Times New Roman" w:eastAsia="Times New Roman" w:hAnsi="Times New Roman" w:cs="Times New Roman"/>
                <w:sz w:val="20"/>
                <w:szCs w:val="20"/>
              </w:rPr>
            </w:pPr>
          </w:p>
        </w:tc>
      </w:tr>
      <w:tr w:rsidR="00412798" w:rsidRPr="007424E0" w14:paraId="3799B92A" w14:textId="77777777" w:rsidTr="64301FE8">
        <w:trPr>
          <w:trHeight w:val="908"/>
          <w:jc w:val="center"/>
        </w:trPr>
        <w:tc>
          <w:tcPr>
            <w:tcW w:w="1697" w:type="dxa"/>
            <w:shd w:val="clear" w:color="auto" w:fill="auto"/>
            <w:tcMar>
              <w:top w:w="72" w:type="dxa"/>
              <w:left w:w="115" w:type="dxa"/>
              <w:bottom w:w="72" w:type="dxa"/>
              <w:right w:w="115" w:type="dxa"/>
            </w:tcMar>
            <w:vAlign w:val="center"/>
          </w:tcPr>
          <w:p w14:paraId="4CBCCC7B"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8/5/22</w:t>
            </w:r>
          </w:p>
        </w:tc>
        <w:tc>
          <w:tcPr>
            <w:tcW w:w="2663" w:type="dxa"/>
            <w:shd w:val="clear" w:color="auto" w:fill="auto"/>
            <w:tcMar>
              <w:top w:w="72" w:type="dxa"/>
              <w:left w:w="115" w:type="dxa"/>
              <w:bottom w:w="72" w:type="dxa"/>
              <w:right w:w="115" w:type="dxa"/>
            </w:tcMar>
            <w:vAlign w:val="center"/>
          </w:tcPr>
          <w:p w14:paraId="01FD71B7" w14:textId="77777777" w:rsidR="00412798" w:rsidRPr="007424E0" w:rsidRDefault="00412798" w:rsidP="000F6D48">
            <w:pPr>
              <w:spacing w:line="259" w:lineRule="auto"/>
              <w:rPr>
                <w:rFonts w:ascii="Times New Roman" w:hAnsi="Times New Roman" w:cs="Times New Roman"/>
                <w:sz w:val="20"/>
                <w:szCs w:val="20"/>
              </w:rPr>
            </w:pPr>
            <w:r w:rsidRPr="007424E0">
              <w:rPr>
                <w:rFonts w:ascii="Times New Roman" w:hAnsi="Times New Roman" w:cs="Times New Roman"/>
                <w:sz w:val="20"/>
                <w:szCs w:val="20"/>
              </w:rPr>
              <w:t>2.15</w:t>
            </w:r>
          </w:p>
          <w:p w14:paraId="73002396" w14:textId="77777777" w:rsidR="00412798" w:rsidRPr="007424E0" w:rsidRDefault="00412798" w:rsidP="000F6D48">
            <w:pPr>
              <w:spacing w:line="259" w:lineRule="auto"/>
              <w:rPr>
                <w:rFonts w:ascii="Times New Roman" w:hAnsi="Times New Roman" w:cs="Times New Roman"/>
                <w:sz w:val="20"/>
                <w:szCs w:val="20"/>
              </w:rPr>
            </w:pPr>
            <w:r w:rsidRPr="007424E0">
              <w:rPr>
                <w:rFonts w:ascii="Times New Roman" w:hAnsi="Times New Roman" w:cs="Times New Roman"/>
                <w:sz w:val="20"/>
                <w:szCs w:val="20"/>
              </w:rPr>
              <w:t xml:space="preserve">Threshold Criteria; </w:t>
            </w:r>
          </w:p>
          <w:p w14:paraId="676234D7" w14:textId="77777777" w:rsidR="00412798" w:rsidRPr="007424E0" w:rsidRDefault="00412798" w:rsidP="000F6D48">
            <w:pPr>
              <w:spacing w:line="259" w:lineRule="auto"/>
              <w:rPr>
                <w:rFonts w:ascii="Times New Roman" w:hAnsi="Times New Roman" w:cs="Times New Roman"/>
                <w:sz w:val="20"/>
                <w:szCs w:val="20"/>
              </w:rPr>
            </w:pPr>
            <w:r w:rsidRPr="007424E0">
              <w:rPr>
                <w:rFonts w:ascii="Times New Roman" w:hAnsi="Times New Roman" w:cs="Times New Roman"/>
                <w:sz w:val="20"/>
                <w:szCs w:val="20"/>
              </w:rPr>
              <w:t>Rehabilitation Standards</w:t>
            </w:r>
          </w:p>
        </w:tc>
        <w:tc>
          <w:tcPr>
            <w:tcW w:w="9585" w:type="dxa"/>
            <w:shd w:val="clear" w:color="auto" w:fill="auto"/>
            <w:tcMar>
              <w:top w:w="72" w:type="dxa"/>
              <w:left w:w="115" w:type="dxa"/>
              <w:bottom w:w="72" w:type="dxa"/>
              <w:right w:w="115" w:type="dxa"/>
            </w:tcMar>
            <w:vAlign w:val="center"/>
          </w:tcPr>
          <w:p w14:paraId="3D921CE8"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b/>
                <w:bCs/>
                <w:sz w:val="20"/>
                <w:szCs w:val="20"/>
              </w:rPr>
              <w:t>Question ID:</w:t>
            </w:r>
            <w:r w:rsidRPr="007424E0">
              <w:rPr>
                <w:rFonts w:ascii="Times New Roman" w:eastAsia="Times New Roman" w:hAnsi="Times New Roman" w:cs="Times New Roman"/>
                <w:sz w:val="20"/>
                <w:szCs w:val="20"/>
              </w:rPr>
              <w:t xml:space="preserve"> 0725_HFDR-1</w:t>
            </w:r>
            <w:r w:rsidRPr="007424E0">
              <w:rPr>
                <w:rFonts w:ascii="Times New Roman" w:hAnsi="Times New Roman" w:cs="Times New Roman"/>
                <w:sz w:val="20"/>
                <w:szCs w:val="20"/>
              </w:rPr>
              <w:br/>
              <w:t>I have questions regarding the QAP standards for a rehabilitation.</w:t>
            </w:r>
          </w:p>
          <w:p w14:paraId="296BD357" w14:textId="77777777" w:rsidR="00412798" w:rsidRPr="007424E0" w:rsidRDefault="00412798" w:rsidP="000F6D48">
            <w:pPr>
              <w:pStyle w:val="ListParagraph"/>
              <w:numPr>
                <w:ilvl w:val="0"/>
                <w:numId w:val="56"/>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Do rehab projects applying for a 4% tax credit need to have a minimum of $25,000/interior unit in hard costs? </w:t>
            </w:r>
          </w:p>
          <w:p w14:paraId="28976907" w14:textId="77777777" w:rsidR="00412798" w:rsidRPr="007424E0" w:rsidRDefault="00412798" w:rsidP="000F6D48">
            <w:pPr>
              <w:pStyle w:val="ListParagraph"/>
              <w:numPr>
                <w:ilvl w:val="0"/>
                <w:numId w:val="56"/>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Assuming that it is required for 4% deals, I have two follow-up questions:</w:t>
            </w:r>
          </w:p>
          <w:p w14:paraId="53A502C4" w14:textId="77777777" w:rsidR="00412798" w:rsidRPr="007424E0" w:rsidRDefault="00412798" w:rsidP="000F6D48">
            <w:pPr>
              <w:pStyle w:val="ListParagraph"/>
              <w:numPr>
                <w:ilvl w:val="1"/>
                <w:numId w:val="56"/>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Is contingency included in this? </w:t>
            </w:r>
          </w:p>
          <w:p w14:paraId="7C67EF24" w14:textId="77777777" w:rsidR="00412798" w:rsidRPr="007424E0" w:rsidRDefault="00412798" w:rsidP="000F6D48">
            <w:pPr>
              <w:pStyle w:val="ListParagraph"/>
              <w:numPr>
                <w:ilvl w:val="1"/>
                <w:numId w:val="56"/>
              </w:num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Does this apply for a Section 8 deal. That is, are any waivers possible?</w:t>
            </w:r>
          </w:p>
          <w:p w14:paraId="3A4E4565" w14:textId="77777777" w:rsidR="00412798" w:rsidRPr="007424E0" w:rsidRDefault="00412798" w:rsidP="000F6D48">
            <w:pPr>
              <w:spacing w:after="160" w:line="259" w:lineRule="auto"/>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I am referring to the following requirement in the </w:t>
            </w:r>
            <w:r w:rsidRPr="007424E0">
              <w:rPr>
                <w:rFonts w:ascii="Times New Roman" w:eastAsia="Times New Roman" w:hAnsi="Times New Roman" w:cs="Times New Roman"/>
                <w:b/>
                <w:bCs/>
                <w:color w:val="000000" w:themeColor="text1"/>
                <w:sz w:val="20"/>
                <w:szCs w:val="20"/>
              </w:rPr>
              <w:t>Rehabilitation Guide</w:t>
            </w:r>
            <w:r w:rsidRPr="007424E0">
              <w:rPr>
                <w:rFonts w:ascii="Times New Roman" w:eastAsia="Times New Roman" w:hAnsi="Times New Roman" w:cs="Times New Roman"/>
                <w:color w:val="000000" w:themeColor="text1"/>
                <w:sz w:val="20"/>
                <w:szCs w:val="20"/>
              </w:rPr>
              <w:t xml:space="preserve"> of the </w:t>
            </w:r>
            <w:r w:rsidRPr="007424E0">
              <w:rPr>
                <w:rFonts w:ascii="Times New Roman" w:eastAsia="Times New Roman" w:hAnsi="Times New Roman" w:cs="Times New Roman"/>
                <w:b/>
                <w:bCs/>
                <w:color w:val="000000" w:themeColor="text1"/>
                <w:sz w:val="20"/>
                <w:szCs w:val="20"/>
              </w:rPr>
              <w:t>2022 Architectural Manual</w:t>
            </w:r>
            <w:r w:rsidRPr="007424E0">
              <w:rPr>
                <w:rFonts w:ascii="Times New Roman" w:eastAsia="Times New Roman" w:hAnsi="Times New Roman" w:cs="Times New Roman"/>
                <w:color w:val="000000" w:themeColor="text1"/>
                <w:sz w:val="20"/>
                <w:szCs w:val="20"/>
              </w:rPr>
              <w:t xml:space="preserve">: </w:t>
            </w:r>
          </w:p>
          <w:p w14:paraId="67C8FD58" w14:textId="77777777" w:rsidR="00412798" w:rsidRPr="007424E0" w:rsidRDefault="00412798" w:rsidP="000F6D48">
            <w:pPr>
              <w:spacing w:after="160" w:line="259" w:lineRule="auto"/>
              <w:rPr>
                <w:rFonts w:ascii="Times New Roman" w:eastAsia="Times New Roman" w:hAnsi="Times New Roman" w:cs="Times New Roman"/>
                <w:i/>
                <w:iCs/>
                <w:color w:val="000000" w:themeColor="text1"/>
                <w:sz w:val="20"/>
                <w:szCs w:val="20"/>
              </w:rPr>
            </w:pPr>
            <w:r w:rsidRPr="007424E0">
              <w:rPr>
                <w:rFonts w:ascii="Times New Roman" w:eastAsia="Times New Roman" w:hAnsi="Times New Roman" w:cs="Times New Roman"/>
                <w:i/>
                <w:iCs/>
                <w:color w:val="000000" w:themeColor="text1"/>
                <w:sz w:val="20"/>
                <w:szCs w:val="20"/>
              </w:rPr>
              <w:t>“Hard costs eligible for this minimum “dwelling unit” per unit hard cost minimum requirement shall be limited to interior dwelling unit improvements and dwelling unit envelope work items that directly impact the quality of life of the resident (i.e., windows, entry doors, unit insulation, balconies, and patios only). Exterior wall cladding and roofs of residential structures, site improvements, common building systems, community building improvements, new community buildings, maintenance facilities, other common use structures, interior amenities, exterior amenities and other similar items ARE NOT eligible to count towards the $25,000 “dwelling unit” per unit hard cost minimum.”</w:t>
            </w:r>
          </w:p>
          <w:p w14:paraId="24AC0804" w14:textId="77777777" w:rsidR="00412798" w:rsidRPr="007424E0" w:rsidRDefault="00412798" w:rsidP="000F6D48">
            <w:pPr>
              <w:rPr>
                <w:rFonts w:ascii="Times New Roman" w:eastAsia="Times New Roman" w:hAnsi="Times New Roman" w:cs="Times New Roman"/>
                <w:b/>
                <w:bCs/>
                <w:color w:val="4472C4" w:themeColor="accent1"/>
                <w:sz w:val="20"/>
                <w:szCs w:val="20"/>
              </w:rPr>
            </w:pPr>
            <w:r w:rsidRPr="007424E0">
              <w:rPr>
                <w:rFonts w:ascii="Times New Roman" w:eastAsia="Times New Roman" w:hAnsi="Times New Roman" w:cs="Times New Roman"/>
                <w:b/>
                <w:bCs/>
                <w:sz w:val="20"/>
                <w:szCs w:val="20"/>
              </w:rPr>
              <w:t xml:space="preserve">Answer: </w:t>
            </w:r>
          </w:p>
          <w:p w14:paraId="76BC3C45" w14:textId="77777777" w:rsidR="00412798" w:rsidRPr="007424E0" w:rsidRDefault="00412798" w:rsidP="000F6D48">
            <w:pPr>
              <w:spacing w:after="160" w:line="259" w:lineRule="auto"/>
              <w:rPr>
                <w:rFonts w:ascii="Times New Roman" w:eastAsia="Times New Roman" w:hAnsi="Times New Roman" w:cs="Times New Roman"/>
                <w:color w:val="498205"/>
                <w:sz w:val="20"/>
                <w:szCs w:val="20"/>
                <w:u w:val="single"/>
              </w:rPr>
            </w:pPr>
            <w:r w:rsidRPr="007424E0">
              <w:rPr>
                <w:rFonts w:ascii="Times New Roman" w:eastAsia="Times New Roman" w:hAnsi="Times New Roman" w:cs="Times New Roman"/>
                <w:color w:val="000000" w:themeColor="text1"/>
                <w:sz w:val="20"/>
                <w:szCs w:val="20"/>
              </w:rPr>
              <w:t xml:space="preserve">Question #1 answer – Yes, the minimum “dwelling unit” per unit hard cost budget is $25,000 for all properties proposing rehab. </w:t>
            </w:r>
          </w:p>
          <w:p w14:paraId="2E611376" w14:textId="77777777" w:rsidR="00412798" w:rsidRPr="007424E0" w:rsidRDefault="00412798" w:rsidP="000F6D48">
            <w:pPr>
              <w:spacing w:after="160" w:line="259" w:lineRule="auto"/>
              <w:rPr>
                <w:rFonts w:ascii="Times New Roman" w:eastAsia="Times New Roman" w:hAnsi="Times New Roman" w:cs="Times New Roman"/>
                <w:color w:val="498205"/>
                <w:sz w:val="20"/>
                <w:szCs w:val="20"/>
                <w:u w:val="single"/>
              </w:rPr>
            </w:pPr>
            <w:r w:rsidRPr="007424E0">
              <w:rPr>
                <w:rFonts w:ascii="Times New Roman" w:eastAsia="Times New Roman" w:hAnsi="Times New Roman" w:cs="Times New Roman"/>
                <w:color w:val="000000" w:themeColor="text1"/>
                <w:sz w:val="20"/>
                <w:szCs w:val="20"/>
              </w:rPr>
              <w:t xml:space="preserve">Question #2a answer – No, the minimum “dwelling unit” per unit hard cost budget of $25,000 does not include contingency. </w:t>
            </w:r>
          </w:p>
          <w:p w14:paraId="5D345B06" w14:textId="77777777" w:rsidR="00412798" w:rsidRPr="007424E0" w:rsidRDefault="00412798" w:rsidP="000F6D48">
            <w:pPr>
              <w:spacing w:after="160" w:line="259" w:lineRule="auto"/>
              <w:rPr>
                <w:rFonts w:ascii="Times New Roman" w:eastAsia="Times New Roman" w:hAnsi="Times New Roman" w:cs="Times New Roman"/>
                <w:color w:val="498205"/>
                <w:sz w:val="20"/>
                <w:szCs w:val="20"/>
                <w:u w:val="single"/>
              </w:rPr>
            </w:pPr>
            <w:r w:rsidRPr="007424E0">
              <w:rPr>
                <w:rFonts w:ascii="Times New Roman" w:eastAsia="Times New Roman" w:hAnsi="Times New Roman" w:cs="Times New Roman"/>
                <w:color w:val="000000" w:themeColor="text1"/>
                <w:sz w:val="20"/>
                <w:szCs w:val="20"/>
              </w:rPr>
              <w:t>Question #2b answer – Yes, this also applies for Section 8 deals.  Waivers are applicable per the guidance provided in both 2022 QAP and Architectural Manual – Rehabilitation Guide (</w:t>
            </w:r>
            <w:hyperlink r:id="rId32">
              <w:r w:rsidRPr="007424E0">
                <w:rPr>
                  <w:rStyle w:val="Hyperlink"/>
                  <w:rFonts w:ascii="Times New Roman" w:eastAsia="Times New Roman" w:hAnsi="Times New Roman" w:cs="Times New Roman"/>
                  <w:sz w:val="20"/>
                  <w:szCs w:val="20"/>
                </w:rPr>
                <w:t>click here</w:t>
              </w:r>
            </w:hyperlink>
            <w:r w:rsidRPr="007424E0">
              <w:rPr>
                <w:rFonts w:ascii="Times New Roman" w:eastAsia="Times New Roman" w:hAnsi="Times New Roman" w:cs="Times New Roman"/>
                <w:color w:val="000000" w:themeColor="text1"/>
                <w:sz w:val="20"/>
                <w:szCs w:val="20"/>
              </w:rPr>
              <w:t>).</w:t>
            </w:r>
          </w:p>
          <w:p w14:paraId="3C94E81F" w14:textId="77777777" w:rsidR="00412798" w:rsidRPr="007424E0" w:rsidRDefault="00412798" w:rsidP="000F6D48">
            <w:pPr>
              <w:spacing w:after="160" w:line="259" w:lineRule="auto"/>
              <w:rPr>
                <w:rStyle w:val="IntenseReference"/>
                <w:rFonts w:ascii="Times New Roman" w:hAnsi="Times New Roman" w:cs="Times New Roman"/>
                <w:sz w:val="20"/>
                <w:szCs w:val="20"/>
              </w:rPr>
            </w:pPr>
            <w:r w:rsidRPr="007424E0">
              <w:rPr>
                <w:rFonts w:ascii="Times New Roman" w:eastAsia="Times New Roman" w:hAnsi="Times New Roman" w:cs="Times New Roman"/>
                <w:color w:val="000000" w:themeColor="text1"/>
                <w:sz w:val="20"/>
                <w:szCs w:val="20"/>
              </w:rPr>
              <w:t>Please see 2022 QAP and applicable Rehab Standards in Architectural Manual for full disclosure of work scope requirements and definition of “dwelling unit” along with guidance for allowable waivers for deals including a rehab component. DCA will not waive the minimum hard costs of $25,000 per dwelling unit requirement.</w:t>
            </w:r>
          </w:p>
        </w:tc>
      </w:tr>
      <w:tr w:rsidR="00412798" w:rsidRPr="007424E0" w14:paraId="297B2338" w14:textId="77777777" w:rsidTr="64301FE8">
        <w:trPr>
          <w:trHeight w:val="1808"/>
          <w:jc w:val="center"/>
        </w:trPr>
        <w:tc>
          <w:tcPr>
            <w:tcW w:w="1697" w:type="dxa"/>
            <w:shd w:val="clear" w:color="auto" w:fill="auto"/>
            <w:tcMar>
              <w:top w:w="72" w:type="dxa"/>
              <w:left w:w="115" w:type="dxa"/>
              <w:bottom w:w="72" w:type="dxa"/>
              <w:right w:w="115" w:type="dxa"/>
            </w:tcMar>
            <w:vAlign w:val="center"/>
          </w:tcPr>
          <w:p w14:paraId="1F615A2D"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7/27/22</w:t>
            </w:r>
          </w:p>
        </w:tc>
        <w:tc>
          <w:tcPr>
            <w:tcW w:w="2663" w:type="dxa"/>
            <w:shd w:val="clear" w:color="auto" w:fill="auto"/>
            <w:tcMar>
              <w:top w:w="72" w:type="dxa"/>
              <w:left w:w="115" w:type="dxa"/>
              <w:bottom w:w="72" w:type="dxa"/>
              <w:right w:w="115" w:type="dxa"/>
            </w:tcMar>
            <w:vAlign w:val="center"/>
          </w:tcPr>
          <w:p w14:paraId="74CD229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1.10</w:t>
            </w:r>
          </w:p>
          <w:p w14:paraId="7CB6296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4% Federal Credit – Bond Financed Projects</w:t>
            </w:r>
          </w:p>
        </w:tc>
        <w:tc>
          <w:tcPr>
            <w:tcW w:w="9585" w:type="dxa"/>
            <w:shd w:val="clear" w:color="auto" w:fill="auto"/>
            <w:tcMar>
              <w:top w:w="72" w:type="dxa"/>
              <w:left w:w="115" w:type="dxa"/>
              <w:bottom w:w="72" w:type="dxa"/>
              <w:right w:w="115" w:type="dxa"/>
            </w:tcMar>
            <w:vAlign w:val="center"/>
          </w:tcPr>
          <w:p w14:paraId="735ED670"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 ID:</w:t>
            </w:r>
            <w:r w:rsidRPr="007424E0">
              <w:rPr>
                <w:rFonts w:ascii="Times New Roman" w:eastAsia="Times New Roman" w:hAnsi="Times New Roman" w:cs="Times New Roman"/>
                <w:sz w:val="20"/>
                <w:szCs w:val="20"/>
              </w:rPr>
              <w:t xml:space="preserve"> 987916432 </w:t>
            </w:r>
            <w:r w:rsidRPr="007424E0">
              <w:rPr>
                <w:rFonts w:ascii="Times New Roman" w:hAnsi="Times New Roman" w:cs="Times New Roman"/>
                <w:sz w:val="20"/>
                <w:szCs w:val="20"/>
              </w:rPr>
              <w:br/>
            </w:r>
            <w:r w:rsidRPr="007424E0">
              <w:rPr>
                <w:rFonts w:ascii="Times New Roman" w:eastAsia="Times New Roman" w:hAnsi="Times New Roman" w:cs="Times New Roman"/>
                <w:sz w:val="20"/>
                <w:szCs w:val="20"/>
              </w:rPr>
              <w:t>I am preparing an application to submit a portfolio of properties for purposes of the 4%/Bonds Competitive Round (more than 10 properties). Given the higher upfront costs associated with portfolio developments, is there any leniency in relaxing certain requirements for portfolio applications?  </w:t>
            </w:r>
          </w:p>
          <w:p w14:paraId="1855834C"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39AB0C9" w14:textId="77777777" w:rsidR="00412798" w:rsidRPr="007424E0" w:rsidRDefault="00412798" w:rsidP="000F6D48">
            <w:pPr>
              <w:rPr>
                <w:rStyle w:val="IntenseReference"/>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  </w:t>
            </w:r>
          </w:p>
          <w:p w14:paraId="007CCF03"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Most “portfolio” applications are not eligible under the 2022 4%/Bonds Competitive Round. For purposes of this Q&amp;A, a “portfolio” application refers to a proposed development for which: </w:t>
            </w:r>
            <w:r w:rsidRPr="007424E0">
              <w:rPr>
                <w:rStyle w:val="eop"/>
                <w:rFonts w:eastAsiaTheme="majorEastAsia"/>
                <w:sz w:val="20"/>
                <w:szCs w:val="20"/>
              </w:rPr>
              <w:t> </w:t>
            </w:r>
          </w:p>
          <w:p w14:paraId="4F1E5E36" w14:textId="77777777" w:rsidR="00412798" w:rsidRPr="007424E0" w:rsidRDefault="00412798" w:rsidP="000F6D48">
            <w:pPr>
              <w:pStyle w:val="paragraph"/>
              <w:numPr>
                <w:ilvl w:val="0"/>
                <w:numId w:val="55"/>
              </w:numPr>
              <w:spacing w:before="0" w:beforeAutospacing="0" w:after="0" w:afterAutospacing="0"/>
              <w:ind w:left="1080" w:firstLine="0"/>
              <w:textAlignment w:val="baseline"/>
              <w:rPr>
                <w:sz w:val="20"/>
                <w:szCs w:val="20"/>
              </w:rPr>
            </w:pPr>
            <w:r w:rsidRPr="007424E0">
              <w:rPr>
                <w:rStyle w:val="normaltextrun"/>
                <w:sz w:val="20"/>
                <w:szCs w:val="20"/>
              </w:rPr>
              <w:t xml:space="preserve">The application does not meet all requirements under </w:t>
            </w:r>
            <w:r w:rsidRPr="007424E0">
              <w:rPr>
                <w:rStyle w:val="normaltextrun"/>
                <w:b/>
                <w:bCs/>
                <w:sz w:val="20"/>
                <w:szCs w:val="20"/>
              </w:rPr>
              <w:t>(Core Plan) Eligibility of Certain Project Configurations</w:t>
            </w:r>
            <w:r w:rsidRPr="007424E0">
              <w:rPr>
                <w:rStyle w:val="normaltextrun"/>
                <w:sz w:val="20"/>
                <w:szCs w:val="20"/>
              </w:rPr>
              <w:t>, subsection</w:t>
            </w:r>
            <w:r w:rsidRPr="007424E0">
              <w:rPr>
                <w:rStyle w:val="normaltextrun"/>
                <w:b/>
                <w:bCs/>
                <w:sz w:val="20"/>
                <w:szCs w:val="20"/>
              </w:rPr>
              <w:t xml:space="preserve"> A. Eligibility of Scattered Sites</w:t>
            </w:r>
            <w:r w:rsidRPr="007424E0">
              <w:rPr>
                <w:rStyle w:val="eop"/>
                <w:rFonts w:eastAsiaTheme="majorEastAsia"/>
                <w:sz w:val="20"/>
                <w:szCs w:val="20"/>
              </w:rPr>
              <w:t> </w:t>
            </w:r>
          </w:p>
          <w:p w14:paraId="5B111954" w14:textId="77777777" w:rsidR="00412798" w:rsidRPr="007424E0" w:rsidRDefault="00412798" w:rsidP="000F6D48">
            <w:pPr>
              <w:pStyle w:val="paragraph"/>
              <w:numPr>
                <w:ilvl w:val="0"/>
                <w:numId w:val="55"/>
              </w:numPr>
              <w:spacing w:before="0" w:beforeAutospacing="0" w:after="0" w:afterAutospacing="0"/>
              <w:ind w:left="1080" w:firstLine="0"/>
              <w:textAlignment w:val="baseline"/>
              <w:rPr>
                <w:sz w:val="20"/>
                <w:szCs w:val="20"/>
              </w:rPr>
            </w:pPr>
            <w:r w:rsidRPr="007424E0">
              <w:rPr>
                <w:rStyle w:val="normaltextrun"/>
                <w:sz w:val="20"/>
                <w:szCs w:val="20"/>
              </w:rPr>
              <w:t>Upon completion, each building’s 8609 form is not associated only one “project” (federal definition). </w:t>
            </w:r>
            <w:r w:rsidRPr="007424E0">
              <w:rPr>
                <w:rStyle w:val="eop"/>
                <w:rFonts w:eastAsiaTheme="majorEastAsia"/>
                <w:sz w:val="20"/>
                <w:szCs w:val="20"/>
              </w:rPr>
              <w:t> </w:t>
            </w:r>
          </w:p>
          <w:p w14:paraId="3A059D6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rFonts w:eastAsiaTheme="majorEastAsia"/>
                <w:sz w:val="20"/>
                <w:szCs w:val="20"/>
              </w:rPr>
              <w:t> </w:t>
            </w:r>
          </w:p>
          <w:p w14:paraId="04747C3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Any individual application must either be a single-site application or qualify as a “scattered site.” Thus, the only allowable type of “portfolio” application would be a portfolio development consisting of no more than 2 or 3 separate applications (see </w:t>
            </w:r>
            <w:r w:rsidRPr="007424E0">
              <w:rPr>
                <w:rStyle w:val="normaltextrun"/>
                <w:b/>
                <w:bCs/>
                <w:sz w:val="20"/>
                <w:szCs w:val="20"/>
              </w:rPr>
              <w:t>(Core Plan)</w:t>
            </w:r>
            <w:r w:rsidRPr="007424E0">
              <w:rPr>
                <w:rStyle w:val="normaltextrun"/>
                <w:sz w:val="20"/>
                <w:szCs w:val="20"/>
              </w:rPr>
              <w:t xml:space="preserve"> </w:t>
            </w:r>
            <w:r w:rsidRPr="007424E0">
              <w:rPr>
                <w:rStyle w:val="normaltextrun"/>
                <w:b/>
                <w:bCs/>
                <w:sz w:val="20"/>
                <w:szCs w:val="20"/>
              </w:rPr>
              <w:t xml:space="preserve">C. Additional Requirements for 4% Credit Applications </w:t>
            </w:r>
            <w:r w:rsidRPr="007424E0">
              <w:rPr>
                <w:rStyle w:val="normaltextrun"/>
                <w:sz w:val="20"/>
                <w:szCs w:val="20"/>
              </w:rPr>
              <w:t>for application limit information).</w:t>
            </w:r>
            <w:r w:rsidRPr="007424E0">
              <w:rPr>
                <w:rStyle w:val="normaltextrun"/>
                <w:b/>
                <w:bCs/>
                <w:sz w:val="20"/>
                <w:szCs w:val="20"/>
              </w:rPr>
              <w:t> </w:t>
            </w:r>
            <w:r w:rsidRPr="007424E0">
              <w:rPr>
                <w:rStyle w:val="eop"/>
                <w:rFonts w:eastAsiaTheme="majorEastAsia"/>
                <w:sz w:val="20"/>
                <w:szCs w:val="20"/>
              </w:rPr>
              <w:t> </w:t>
            </w:r>
          </w:p>
          <w:p w14:paraId="03CE373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rFonts w:eastAsiaTheme="majorEastAsia"/>
                <w:sz w:val="20"/>
                <w:szCs w:val="20"/>
              </w:rPr>
              <w:t> </w:t>
            </w:r>
          </w:p>
          <w:p w14:paraId="19297F7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Even for the above 2- or 3-site portfolio application instances, please note that</w:t>
            </w:r>
            <w:r w:rsidRPr="007424E0">
              <w:rPr>
                <w:rStyle w:val="normaltextrun"/>
                <w:b/>
                <w:bCs/>
                <w:sz w:val="20"/>
                <w:szCs w:val="20"/>
              </w:rPr>
              <w:t xml:space="preserve"> (Core Plan) 4% Federal Credit – Bond Financed Projects</w:t>
            </w:r>
            <w:r w:rsidRPr="007424E0">
              <w:rPr>
                <w:rStyle w:val="normaltextrun"/>
                <w:sz w:val="20"/>
                <w:szCs w:val="20"/>
              </w:rPr>
              <w:t xml:space="preserve">, </w:t>
            </w:r>
            <w:r w:rsidRPr="007424E0">
              <w:rPr>
                <w:rStyle w:val="normaltextrun"/>
                <w:b/>
                <w:bCs/>
                <w:sz w:val="20"/>
                <w:szCs w:val="20"/>
              </w:rPr>
              <w:t>B. Application Restrictions</w:t>
            </w:r>
            <w:r w:rsidRPr="007424E0">
              <w:rPr>
                <w:rStyle w:val="normaltextrun"/>
                <w:sz w:val="20"/>
                <w:szCs w:val="20"/>
              </w:rPr>
              <w:t xml:space="preserve"> requires that “Each Application must be associated with one bond issuance.”</w:t>
            </w:r>
            <w:r w:rsidRPr="007424E0">
              <w:rPr>
                <w:rStyle w:val="eop"/>
                <w:rFonts w:eastAsiaTheme="majorEastAsia"/>
                <w:sz w:val="20"/>
                <w:szCs w:val="20"/>
              </w:rPr>
              <w:t> </w:t>
            </w:r>
          </w:p>
          <w:p w14:paraId="680BD870"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33DD94EA" w14:textId="77777777" w:rsidTr="64301FE8">
        <w:trPr>
          <w:trHeight w:val="548"/>
          <w:jc w:val="center"/>
        </w:trPr>
        <w:tc>
          <w:tcPr>
            <w:tcW w:w="1697" w:type="dxa"/>
            <w:shd w:val="clear" w:color="auto" w:fill="auto"/>
            <w:tcMar>
              <w:top w:w="72" w:type="dxa"/>
              <w:left w:w="115" w:type="dxa"/>
              <w:bottom w:w="72" w:type="dxa"/>
              <w:right w:w="115" w:type="dxa"/>
            </w:tcMar>
            <w:vAlign w:val="center"/>
          </w:tcPr>
          <w:p w14:paraId="7402EFB6"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6/3/22</w:t>
            </w:r>
          </w:p>
        </w:tc>
        <w:tc>
          <w:tcPr>
            <w:tcW w:w="2663" w:type="dxa"/>
            <w:shd w:val="clear" w:color="auto" w:fill="auto"/>
            <w:tcMar>
              <w:top w:w="72" w:type="dxa"/>
              <w:left w:w="115" w:type="dxa"/>
              <w:bottom w:w="72" w:type="dxa"/>
              <w:right w:w="115" w:type="dxa"/>
            </w:tcMar>
            <w:vAlign w:val="center"/>
          </w:tcPr>
          <w:p w14:paraId="2FB3073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3.23</w:t>
            </w:r>
          </w:p>
          <w:p w14:paraId="02278FD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42C5BE9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Compliance Performance</w:t>
            </w:r>
          </w:p>
        </w:tc>
        <w:tc>
          <w:tcPr>
            <w:tcW w:w="9585" w:type="dxa"/>
            <w:shd w:val="clear" w:color="auto" w:fill="auto"/>
            <w:tcMar>
              <w:top w:w="72" w:type="dxa"/>
              <w:left w:w="115" w:type="dxa"/>
              <w:bottom w:w="72" w:type="dxa"/>
              <w:right w:w="115" w:type="dxa"/>
            </w:tcMar>
            <w:vAlign w:val="center"/>
          </w:tcPr>
          <w:p w14:paraId="372D630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Q22_0526_01 </w:t>
            </w:r>
          </w:p>
          <w:p w14:paraId="633CC88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Is the below QAP excerpt true? It seems unfair and a steep penalty. </w:t>
            </w:r>
          </w:p>
          <w:p w14:paraId="2DE6AE3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05B6BB3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color w:val="000000"/>
                <w:sz w:val="20"/>
                <w:szCs w:val="20"/>
              </w:rPr>
              <w:t>(Scoring) Compliance Performance, A. Calculation of Point Deductions, 1. Significant Adverse Events (SAE):</w:t>
            </w:r>
            <w:r w:rsidRPr="007424E0">
              <w:rPr>
                <w:rFonts w:ascii="Times New Roman" w:eastAsia="Times New Roman" w:hAnsi="Times New Roman" w:cs="Times New Roman"/>
                <w:color w:val="000000"/>
                <w:sz w:val="20"/>
                <w:szCs w:val="20"/>
              </w:rPr>
              <w:t> </w:t>
            </w:r>
          </w:p>
          <w:p w14:paraId="4E39062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7CAD991F" w14:textId="77777777" w:rsidR="00412798" w:rsidRPr="007424E0" w:rsidRDefault="00412798" w:rsidP="000F6D48">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color w:val="000000"/>
                <w:sz w:val="20"/>
                <w:szCs w:val="20"/>
              </w:rPr>
              <w:t>“A five (5) point deduction for the occurrence of each SAE for which a waiver was granted or renewed including but not limited to:</w:t>
            </w:r>
            <w:r w:rsidRPr="007424E0">
              <w:rPr>
                <w:rFonts w:ascii="Times New Roman" w:eastAsia="Times New Roman" w:hAnsi="Times New Roman" w:cs="Times New Roman"/>
                <w:color w:val="000000"/>
                <w:sz w:val="20"/>
                <w:szCs w:val="20"/>
              </w:rPr>
              <w:t> </w:t>
            </w:r>
          </w:p>
          <w:p w14:paraId="2AD838BE" w14:textId="77777777" w:rsidR="00412798" w:rsidRPr="007424E0" w:rsidRDefault="00412798" w:rsidP="000F6D48">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5"/>
              <w:gridCol w:w="3315"/>
            </w:tblGrid>
            <w:tr w:rsidR="00412798" w:rsidRPr="007424E0" w14:paraId="124D2344" w14:textId="77777777" w:rsidTr="00747B98">
              <w:tc>
                <w:tcPr>
                  <w:tcW w:w="52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059BE0" w14:textId="77777777" w:rsidR="00412798" w:rsidRPr="007424E0" w:rsidRDefault="00412798" w:rsidP="000F6D48">
                  <w:pPr>
                    <w:spacing w:after="0" w:line="240" w:lineRule="auto"/>
                    <w:jc w:val="cente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i/>
                      <w:iCs/>
                      <w:color w:val="000000"/>
                      <w:sz w:val="20"/>
                      <w:szCs w:val="20"/>
                    </w:rPr>
                    <w:t>SIGNIFICANT ADVERSE EVENT</w:t>
                  </w:r>
                  <w:r w:rsidRPr="007424E0">
                    <w:rPr>
                      <w:rFonts w:ascii="Times New Roman" w:eastAsia="Times New Roman" w:hAnsi="Times New Roman" w:cs="Times New Roman"/>
                      <w:color w:val="000000"/>
                      <w:sz w:val="20"/>
                      <w:szCs w:val="20"/>
                    </w:rPr>
                    <w:t> </w:t>
                  </w:r>
                </w:p>
              </w:tc>
              <w:tc>
                <w:tcPr>
                  <w:tcW w:w="3315" w:type="dxa"/>
                  <w:tcBorders>
                    <w:top w:val="single" w:sz="6" w:space="0" w:color="auto"/>
                    <w:left w:val="nil"/>
                    <w:bottom w:val="single" w:sz="6" w:space="0" w:color="auto"/>
                    <w:right w:val="single" w:sz="6" w:space="0" w:color="auto"/>
                  </w:tcBorders>
                  <w:shd w:val="clear" w:color="auto" w:fill="auto"/>
                  <w:hideMark/>
                </w:tcPr>
                <w:p w14:paraId="2639CBD3" w14:textId="77777777" w:rsidR="00412798" w:rsidRPr="007424E0" w:rsidRDefault="00412798" w:rsidP="000F6D48">
                  <w:pPr>
                    <w:spacing w:after="0" w:line="240" w:lineRule="auto"/>
                    <w:jc w:val="cente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i/>
                      <w:iCs/>
                      <w:color w:val="000000"/>
                      <w:sz w:val="20"/>
                      <w:szCs w:val="20"/>
                    </w:rPr>
                    <w:t>LOOK BACK PERIOD (FROM APPLICATION SUBMISSION DATE)</w:t>
                  </w:r>
                  <w:r w:rsidRPr="007424E0">
                    <w:rPr>
                      <w:rFonts w:ascii="Times New Roman" w:eastAsia="Times New Roman" w:hAnsi="Times New Roman" w:cs="Times New Roman"/>
                      <w:color w:val="000000"/>
                      <w:sz w:val="20"/>
                      <w:szCs w:val="20"/>
                    </w:rPr>
                    <w:t> </w:t>
                  </w:r>
                </w:p>
              </w:tc>
            </w:tr>
            <w:tr w:rsidR="00412798" w:rsidRPr="007424E0" w14:paraId="2F672A51" w14:textId="77777777" w:rsidTr="00747B98">
              <w:tc>
                <w:tcPr>
                  <w:tcW w:w="5295" w:type="dxa"/>
                  <w:tcBorders>
                    <w:top w:val="nil"/>
                    <w:left w:val="single" w:sz="6" w:space="0" w:color="auto"/>
                    <w:bottom w:val="single" w:sz="6" w:space="0" w:color="auto"/>
                    <w:right w:val="single" w:sz="6" w:space="0" w:color="auto"/>
                  </w:tcBorders>
                  <w:shd w:val="clear" w:color="auto" w:fill="auto"/>
                  <w:hideMark/>
                </w:tcPr>
                <w:p w14:paraId="344E915D" w14:textId="77777777" w:rsidR="00412798" w:rsidRPr="007424E0" w:rsidRDefault="00412798" w:rsidP="000F6D48">
                  <w:pPr>
                    <w:spacing w:after="0" w:line="240" w:lineRule="auto"/>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color w:val="000000"/>
                      <w:sz w:val="20"/>
                      <w:szCs w:val="20"/>
                    </w:rPr>
                    <w:t xml:space="preserve">A Fair Housing investigation by any government agency on any Affordable Housing property which resulted in a lawsuit </w:t>
                  </w:r>
                  <w:r w:rsidRPr="007424E0">
                    <w:rPr>
                      <w:rFonts w:ascii="Times New Roman" w:eastAsia="Times New Roman" w:hAnsi="Times New Roman" w:cs="Times New Roman"/>
                      <w:i/>
                      <w:iCs/>
                      <w:color w:val="000000"/>
                      <w:sz w:val="20"/>
                      <w:szCs w:val="20"/>
                    </w:rPr>
                    <w:lastRenderedPageBreak/>
                    <w:t>(regardless of the outcome), a negotiation for settlement, and/or a settlement agreement</w:t>
                  </w:r>
                  <w:r w:rsidRPr="007424E0">
                    <w:rPr>
                      <w:rFonts w:ascii="Times New Roman" w:eastAsia="Times New Roman" w:hAnsi="Times New Roman" w:cs="Times New Roman"/>
                      <w:color w:val="000000"/>
                      <w:sz w:val="20"/>
                      <w:szCs w:val="20"/>
                    </w:rPr>
                    <w:t> </w:t>
                  </w:r>
                </w:p>
              </w:tc>
              <w:tc>
                <w:tcPr>
                  <w:tcW w:w="3315" w:type="dxa"/>
                  <w:tcBorders>
                    <w:top w:val="nil"/>
                    <w:left w:val="nil"/>
                    <w:bottom w:val="single" w:sz="6" w:space="0" w:color="auto"/>
                    <w:right w:val="single" w:sz="6" w:space="0" w:color="auto"/>
                  </w:tcBorders>
                  <w:shd w:val="clear" w:color="auto" w:fill="auto"/>
                  <w:vAlign w:val="center"/>
                  <w:hideMark/>
                </w:tcPr>
                <w:p w14:paraId="452B7653" w14:textId="77777777" w:rsidR="00412798" w:rsidRPr="007424E0" w:rsidRDefault="00412798" w:rsidP="000F6D48">
                  <w:pPr>
                    <w:spacing w:after="0" w:line="240" w:lineRule="auto"/>
                    <w:jc w:val="cente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color w:val="000000"/>
                      <w:sz w:val="20"/>
                      <w:szCs w:val="20"/>
                    </w:rPr>
                    <w:lastRenderedPageBreak/>
                    <w:t>10 Years”</w:t>
                  </w:r>
                  <w:r w:rsidRPr="007424E0">
                    <w:rPr>
                      <w:rFonts w:ascii="Times New Roman" w:eastAsia="Times New Roman" w:hAnsi="Times New Roman" w:cs="Times New Roman"/>
                      <w:color w:val="000000"/>
                      <w:sz w:val="20"/>
                      <w:szCs w:val="20"/>
                    </w:rPr>
                    <w:t> </w:t>
                  </w:r>
                </w:p>
              </w:tc>
            </w:tr>
          </w:tbl>
          <w:p w14:paraId="23CF28F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5D624BE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1F0729D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Yes, under the 2022 QAP, the above-described event is considered a Significant Adverse Event and would result in a five point deduction if it occurred within the indicated look back period. </w:t>
            </w:r>
          </w:p>
          <w:p w14:paraId="70DD3B8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2409D4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To provide feedback regarding this provision for purposes of future QAPs, please submit through the year-round </w:t>
            </w:r>
            <w:hyperlink r:id="rId33" w:tgtFrame="_blank" w:history="1">
              <w:r w:rsidRPr="007424E0">
                <w:rPr>
                  <w:rFonts w:ascii="Times New Roman" w:eastAsia="Times New Roman" w:hAnsi="Times New Roman" w:cs="Times New Roman"/>
                  <w:color w:val="0563C1"/>
                  <w:sz w:val="20"/>
                  <w:szCs w:val="20"/>
                  <w:u w:val="single"/>
                </w:rPr>
                <w:t>QAP Public Input Survey</w:t>
              </w:r>
            </w:hyperlink>
            <w:r w:rsidRPr="007424E0">
              <w:rPr>
                <w:rFonts w:ascii="Times New Roman" w:eastAsia="Times New Roman" w:hAnsi="Times New Roman" w:cs="Times New Roman"/>
                <w:sz w:val="20"/>
                <w:szCs w:val="20"/>
              </w:rPr>
              <w:t>.</w:t>
            </w:r>
          </w:p>
        </w:tc>
      </w:tr>
      <w:tr w:rsidR="00412798" w:rsidRPr="007424E0" w14:paraId="63B4E9E2" w14:textId="77777777" w:rsidTr="64301FE8">
        <w:trPr>
          <w:jc w:val="center"/>
        </w:trPr>
        <w:tc>
          <w:tcPr>
            <w:tcW w:w="1697" w:type="dxa"/>
            <w:shd w:val="clear" w:color="auto" w:fill="auto"/>
            <w:tcMar>
              <w:top w:w="72" w:type="dxa"/>
              <w:left w:w="115" w:type="dxa"/>
              <w:bottom w:w="72" w:type="dxa"/>
              <w:right w:w="115" w:type="dxa"/>
            </w:tcMar>
            <w:vAlign w:val="center"/>
          </w:tcPr>
          <w:p w14:paraId="56A6A7CD"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5/27/22</w:t>
            </w:r>
          </w:p>
        </w:tc>
        <w:tc>
          <w:tcPr>
            <w:tcW w:w="2663" w:type="dxa"/>
            <w:shd w:val="clear" w:color="auto" w:fill="auto"/>
            <w:tcMar>
              <w:top w:w="72" w:type="dxa"/>
              <w:left w:w="115" w:type="dxa"/>
              <w:bottom w:w="72" w:type="dxa"/>
              <w:right w:w="115" w:type="dxa"/>
            </w:tcMar>
            <w:vAlign w:val="center"/>
          </w:tcPr>
          <w:p w14:paraId="528058A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2.02</w:t>
            </w:r>
          </w:p>
          <w:p w14:paraId="20D6288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52DDBAC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Project Feasibility, Viability Analysis &amp; Conformance with Plan</w:t>
            </w:r>
          </w:p>
          <w:p w14:paraId="1F53482D" w14:textId="77777777" w:rsidR="00412798" w:rsidRPr="007424E0" w:rsidRDefault="00412798" w:rsidP="000F6D48">
            <w:pPr>
              <w:rPr>
                <w:rFonts w:ascii="Times New Roman" w:hAnsi="Times New Roman" w:cs="Times New Roman"/>
                <w:sz w:val="20"/>
                <w:szCs w:val="20"/>
              </w:rPr>
            </w:pPr>
          </w:p>
          <w:p w14:paraId="59049EB1" w14:textId="77777777" w:rsidR="00412798" w:rsidRPr="007424E0" w:rsidRDefault="00412798" w:rsidP="000F6D48">
            <w:pPr>
              <w:rPr>
                <w:rFonts w:ascii="Times New Roman" w:hAnsi="Times New Roman" w:cs="Times New Roman"/>
                <w:sz w:val="20"/>
                <w:szCs w:val="20"/>
              </w:rPr>
            </w:pPr>
          </w:p>
          <w:p w14:paraId="2148DCE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(also 2.14 Threshold; Community Service Facilities)</w:t>
            </w:r>
          </w:p>
        </w:tc>
        <w:tc>
          <w:tcPr>
            <w:tcW w:w="9585" w:type="dxa"/>
            <w:shd w:val="clear" w:color="auto" w:fill="auto"/>
            <w:tcMar>
              <w:top w:w="72" w:type="dxa"/>
              <w:left w:w="115" w:type="dxa"/>
              <w:bottom w:w="72" w:type="dxa"/>
              <w:right w:w="115" w:type="dxa"/>
            </w:tcMar>
            <w:vAlign w:val="center"/>
          </w:tcPr>
          <w:p w14:paraId="034FFD7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Q22_0525_19 </w:t>
            </w:r>
          </w:p>
          <w:p w14:paraId="2EBA71E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The Revenues &amp; Expenses tab of the Core Application does not have a line for commercial space square footage. How should commercial space square footage be reflected in the Excel Core Application? </w:t>
            </w:r>
          </w:p>
          <w:p w14:paraId="41B077F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9F6654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C97C02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(Threshold Criteria) Project Feasibility</w:t>
            </w:r>
            <w:r w:rsidRPr="007424E0">
              <w:rPr>
                <w:rFonts w:ascii="Times New Roman" w:eastAsia="Times New Roman" w:hAnsi="Times New Roman" w:cs="Times New Roman"/>
                <w:sz w:val="20"/>
                <w:szCs w:val="20"/>
              </w:rPr>
              <w:t xml:space="preserve"> subsection </w:t>
            </w:r>
            <w:r w:rsidRPr="007424E0">
              <w:rPr>
                <w:rFonts w:ascii="Times New Roman" w:eastAsia="Times New Roman" w:hAnsi="Times New Roman" w:cs="Times New Roman"/>
                <w:b/>
                <w:bCs/>
                <w:sz w:val="20"/>
                <w:szCs w:val="20"/>
              </w:rPr>
              <w:t>2. Income</w:t>
            </w:r>
            <w:r w:rsidRPr="007424E0">
              <w:rPr>
                <w:rFonts w:ascii="Times New Roman" w:eastAsia="Times New Roman" w:hAnsi="Times New Roman" w:cs="Times New Roman"/>
                <w:sz w:val="20"/>
                <w:szCs w:val="20"/>
              </w:rPr>
              <w:t xml:space="preserve"> states that for purposes of ancillary income, “income from commercial space…will not be considered.” Therefore, commercial space square footage should not be reflected on the </w:t>
            </w:r>
            <w:r w:rsidRPr="007424E0">
              <w:rPr>
                <w:rFonts w:ascii="Times New Roman" w:eastAsia="Times New Roman" w:hAnsi="Times New Roman" w:cs="Times New Roman"/>
                <w:i/>
                <w:iCs/>
                <w:sz w:val="20"/>
                <w:szCs w:val="20"/>
              </w:rPr>
              <w:t>Revenues and Expenses</w:t>
            </w:r>
            <w:r w:rsidRPr="007424E0">
              <w:rPr>
                <w:rFonts w:ascii="Times New Roman" w:eastAsia="Times New Roman" w:hAnsi="Times New Roman" w:cs="Times New Roman"/>
                <w:sz w:val="20"/>
                <w:szCs w:val="20"/>
              </w:rPr>
              <w:t xml:space="preserve"> tab. </w:t>
            </w:r>
          </w:p>
          <w:p w14:paraId="14B4CD2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72F113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Applicants proposing a commercial space that qualifies as a Community Service Facility for purposes of </w:t>
            </w:r>
            <w:r w:rsidRPr="007424E0">
              <w:rPr>
                <w:rFonts w:ascii="Times New Roman" w:eastAsia="Times New Roman" w:hAnsi="Times New Roman" w:cs="Times New Roman"/>
                <w:b/>
                <w:bCs/>
                <w:sz w:val="20"/>
                <w:szCs w:val="20"/>
              </w:rPr>
              <w:t>(Threshold Criteria) Community Service Facilities</w:t>
            </w:r>
            <w:r w:rsidRPr="007424E0">
              <w:rPr>
                <w:rFonts w:ascii="Times New Roman" w:eastAsia="Times New Roman" w:hAnsi="Times New Roman" w:cs="Times New Roman"/>
                <w:sz w:val="20"/>
                <w:szCs w:val="20"/>
              </w:rPr>
              <w:t xml:space="preserve"> should review the documentation requirements for that section. For all other types of commercial spaces, applicants can detail the square footage and any other relevant information in the “Applicant Comments and Clarifications” box of the </w:t>
            </w:r>
            <w:r w:rsidRPr="007424E0">
              <w:rPr>
                <w:rFonts w:ascii="Times New Roman" w:eastAsia="Times New Roman" w:hAnsi="Times New Roman" w:cs="Times New Roman"/>
                <w:i/>
                <w:iCs/>
                <w:sz w:val="20"/>
                <w:szCs w:val="20"/>
              </w:rPr>
              <w:t>Uses of Funds</w:t>
            </w:r>
            <w:r w:rsidRPr="007424E0">
              <w:rPr>
                <w:rFonts w:ascii="Times New Roman" w:eastAsia="Times New Roman" w:hAnsi="Times New Roman" w:cs="Times New Roman"/>
                <w:sz w:val="20"/>
                <w:szCs w:val="20"/>
              </w:rPr>
              <w:t xml:space="preserve"> tab in the Excel Core Application. DCA underwriters may request additional information regarding commercial spaces through the clarifications process.  </w:t>
            </w:r>
          </w:p>
        </w:tc>
      </w:tr>
      <w:tr w:rsidR="00412798" w:rsidRPr="007424E0" w14:paraId="47454338" w14:textId="77777777" w:rsidTr="64301FE8">
        <w:trPr>
          <w:jc w:val="center"/>
        </w:trPr>
        <w:tc>
          <w:tcPr>
            <w:tcW w:w="1697" w:type="dxa"/>
            <w:shd w:val="clear" w:color="auto" w:fill="auto"/>
            <w:tcMar>
              <w:top w:w="72" w:type="dxa"/>
              <w:left w:w="115" w:type="dxa"/>
              <w:bottom w:w="72" w:type="dxa"/>
              <w:right w:w="115" w:type="dxa"/>
            </w:tcMar>
            <w:vAlign w:val="center"/>
          </w:tcPr>
          <w:p w14:paraId="2E7D8135"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5/27/22</w:t>
            </w:r>
          </w:p>
        </w:tc>
        <w:tc>
          <w:tcPr>
            <w:tcW w:w="2663" w:type="dxa"/>
            <w:shd w:val="clear" w:color="auto" w:fill="auto"/>
            <w:tcMar>
              <w:top w:w="72" w:type="dxa"/>
              <w:left w:w="115" w:type="dxa"/>
              <w:bottom w:w="72" w:type="dxa"/>
              <w:right w:w="115" w:type="dxa"/>
            </w:tcMar>
            <w:vAlign w:val="center"/>
          </w:tcPr>
          <w:p w14:paraId="1FD29CA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2.02</w:t>
            </w:r>
          </w:p>
          <w:p w14:paraId="6DCFA62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5226F67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Project Feasibility, Viability Analysis &amp; Conformance with Plan</w:t>
            </w:r>
          </w:p>
          <w:p w14:paraId="3BC9550C" w14:textId="77777777" w:rsidR="00412798" w:rsidRPr="007424E0" w:rsidRDefault="00412798" w:rsidP="000F6D48">
            <w:pPr>
              <w:rPr>
                <w:rFonts w:ascii="Times New Roman" w:hAnsi="Times New Roman" w:cs="Times New Roman"/>
                <w:sz w:val="20"/>
                <w:szCs w:val="20"/>
              </w:rPr>
            </w:pPr>
          </w:p>
          <w:p w14:paraId="35D07AD6" w14:textId="77777777" w:rsidR="00412798" w:rsidRPr="007424E0" w:rsidRDefault="00412798" w:rsidP="000F6D48">
            <w:pPr>
              <w:rPr>
                <w:rFonts w:ascii="Times New Roman" w:hAnsi="Times New Roman" w:cs="Times New Roman"/>
                <w:sz w:val="20"/>
                <w:szCs w:val="20"/>
              </w:rPr>
            </w:pPr>
          </w:p>
          <w:p w14:paraId="1A05368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(also 2.06 Threshold; Appraisals)</w:t>
            </w:r>
          </w:p>
        </w:tc>
        <w:tc>
          <w:tcPr>
            <w:tcW w:w="9585" w:type="dxa"/>
            <w:shd w:val="clear" w:color="auto" w:fill="auto"/>
            <w:tcMar>
              <w:top w:w="72" w:type="dxa"/>
              <w:left w:w="115" w:type="dxa"/>
              <w:bottom w:w="72" w:type="dxa"/>
              <w:right w:w="115" w:type="dxa"/>
            </w:tcMar>
            <w:vAlign w:val="center"/>
          </w:tcPr>
          <w:p w14:paraId="550A1AF5"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Q22_0520_05a</w:t>
            </w:r>
          </w:p>
          <w:p w14:paraId="7FB90623"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We are proposing an urban infill/mixed use/mixed-income development with significant commercial space required due to codes - No minimum parking requirement. We have several questions related to the planned parking and commercial components:</w:t>
            </w:r>
            <w:r w:rsidRPr="007424E0">
              <w:rPr>
                <w:rFonts w:ascii="Times New Roman" w:eastAsia="Times New Roman" w:hAnsi="Times New Roman" w:cs="Times New Roman"/>
                <w:color w:val="000000" w:themeColor="text1"/>
                <w:sz w:val="20"/>
                <w:szCs w:val="20"/>
              </w:rPr>
              <w:br/>
            </w:r>
          </w:p>
          <w:p w14:paraId="782D6472" w14:textId="77777777" w:rsidR="00412798" w:rsidRPr="007424E0" w:rsidRDefault="00412798" w:rsidP="000F6D48">
            <w:pPr>
              <w:numPr>
                <w:ilvl w:val="1"/>
                <w:numId w:val="48"/>
              </w:numPr>
              <w:contextualSpacing/>
              <w:rPr>
                <w:rFonts w:ascii="Times New Roman" w:eastAsiaTheme="minorEastAsia"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Non-Required Parking for Affordable Units: We would like to build parking because we think some (but not all) tenants may desire parking. This parking would be available at an additional cost to affordable tenants. Can we include costs or income associated with this parking into our model?</w:t>
            </w:r>
            <w:r w:rsidRPr="007424E0">
              <w:rPr>
                <w:rFonts w:ascii="Times New Roman" w:eastAsia="Times New Roman" w:hAnsi="Times New Roman" w:cs="Times New Roman"/>
                <w:color w:val="000000" w:themeColor="text1"/>
                <w:sz w:val="20"/>
                <w:szCs w:val="20"/>
              </w:rPr>
              <w:br/>
            </w:r>
          </w:p>
          <w:p w14:paraId="007373D0" w14:textId="77777777" w:rsidR="00412798" w:rsidRPr="007424E0" w:rsidRDefault="00412798" w:rsidP="000F6D48">
            <w:pPr>
              <w:numPr>
                <w:ilvl w:val="1"/>
                <w:numId w:val="48"/>
              </w:numPr>
              <w:contextualSpacing/>
              <w:rPr>
                <w:rFonts w:ascii="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lastRenderedPageBreak/>
              <w:t>Non-Required Parking for Market Units: To achieve market rents we'd also like to build parking which would be available at an additional cost to market rate tenants. Can we include costs or income associated with this parking into our model?</w:t>
            </w:r>
          </w:p>
          <w:p w14:paraId="682E928E" w14:textId="77777777" w:rsidR="00412798" w:rsidRPr="007424E0" w:rsidRDefault="00412798" w:rsidP="000F6D48">
            <w:pPr>
              <w:ind w:left="1440"/>
              <w:contextualSpacing/>
              <w:rPr>
                <w:rFonts w:ascii="Times New Roman" w:hAnsi="Times New Roman" w:cs="Times New Roman"/>
                <w:color w:val="000000" w:themeColor="text1"/>
                <w:sz w:val="20"/>
                <w:szCs w:val="20"/>
              </w:rPr>
            </w:pPr>
          </w:p>
          <w:p w14:paraId="5DB940EE" w14:textId="77777777" w:rsidR="00412798" w:rsidRPr="007424E0" w:rsidRDefault="00412798" w:rsidP="000F6D48">
            <w:pPr>
              <w:numPr>
                <w:ilvl w:val="1"/>
                <w:numId w:val="48"/>
              </w:numPr>
              <w:contextualSpacing/>
              <w:rPr>
                <w:rFonts w:ascii="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Non-Required Commercial Parking: We expect additional parking demand from the required commercial component of our project (as well as from our urban neighbors). Can we include costs or income associated with this parking into our model?</w:t>
            </w:r>
          </w:p>
          <w:p w14:paraId="26FCCC9E" w14:textId="77777777" w:rsidR="00412798" w:rsidRPr="007424E0" w:rsidRDefault="00412798" w:rsidP="000F6D48">
            <w:pPr>
              <w:ind w:left="720"/>
              <w:contextualSpacing/>
              <w:rPr>
                <w:rFonts w:ascii="Times New Roman" w:hAnsi="Times New Roman" w:cs="Times New Roman"/>
                <w:color w:val="000000" w:themeColor="text1"/>
                <w:sz w:val="20"/>
                <w:szCs w:val="20"/>
              </w:rPr>
            </w:pPr>
          </w:p>
          <w:p w14:paraId="4B42A14A" w14:textId="77777777" w:rsidR="00412798" w:rsidRPr="007424E0" w:rsidRDefault="00412798" w:rsidP="000F6D48">
            <w:pPr>
              <w:numPr>
                <w:ilvl w:val="0"/>
                <w:numId w:val="50"/>
              </w:numPr>
              <w:contextualSpacing/>
              <w:rPr>
                <w:rFonts w:ascii="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If we are not allowed to incorporate these components into our application model, can we instead condo these components so that neither the costs nor the income is included in our model?</w:t>
            </w:r>
          </w:p>
          <w:p w14:paraId="56327032" w14:textId="77777777" w:rsidR="00412798" w:rsidRPr="007424E0" w:rsidRDefault="00412798" w:rsidP="000F6D48">
            <w:pPr>
              <w:rPr>
                <w:rFonts w:ascii="Times New Roman" w:hAnsi="Times New Roman" w:cs="Times New Roman"/>
                <w:color w:val="000000" w:themeColor="text1"/>
                <w:sz w:val="20"/>
                <w:szCs w:val="20"/>
              </w:rPr>
            </w:pPr>
          </w:p>
          <w:p w14:paraId="6806FF9C" w14:textId="77777777" w:rsidR="00412798" w:rsidRPr="007424E0" w:rsidRDefault="00412798" w:rsidP="000F6D48">
            <w:pPr>
              <w:numPr>
                <w:ilvl w:val="0"/>
                <w:numId w:val="50"/>
              </w:numPr>
              <w:contextualSpacing/>
              <w:rPr>
                <w:rFonts w:ascii="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If so, what information should we provide on the </w:t>
            </w:r>
            <w:proofErr w:type="spellStart"/>
            <w:r w:rsidRPr="007424E0">
              <w:rPr>
                <w:rFonts w:ascii="Times New Roman" w:eastAsia="Times New Roman" w:hAnsi="Times New Roman" w:cs="Times New Roman"/>
                <w:color w:val="000000" w:themeColor="text1"/>
                <w:sz w:val="20"/>
                <w:szCs w:val="20"/>
              </w:rPr>
              <w:t>condoed</w:t>
            </w:r>
            <w:proofErr w:type="spellEnd"/>
            <w:r w:rsidRPr="007424E0">
              <w:rPr>
                <w:rFonts w:ascii="Times New Roman" w:eastAsia="Times New Roman" w:hAnsi="Times New Roman" w:cs="Times New Roman"/>
                <w:color w:val="000000" w:themeColor="text1"/>
                <w:sz w:val="20"/>
                <w:szCs w:val="20"/>
              </w:rPr>
              <w:t xml:space="preserve"> out components? </w:t>
            </w:r>
          </w:p>
          <w:p w14:paraId="6F88EE84" w14:textId="77777777" w:rsidR="00412798" w:rsidRPr="007424E0" w:rsidRDefault="00412798" w:rsidP="000F6D48">
            <w:pPr>
              <w:rPr>
                <w:rFonts w:ascii="Times New Roman" w:hAnsi="Times New Roman" w:cs="Times New Roman"/>
                <w:color w:val="000000" w:themeColor="text1"/>
                <w:sz w:val="20"/>
                <w:szCs w:val="20"/>
              </w:rPr>
            </w:pPr>
          </w:p>
          <w:p w14:paraId="73333EE7" w14:textId="77777777" w:rsidR="00412798" w:rsidRPr="007424E0" w:rsidRDefault="00412798" w:rsidP="000F6D48">
            <w:pPr>
              <w:numPr>
                <w:ilvl w:val="0"/>
                <w:numId w:val="50"/>
              </w:numPr>
              <w:contextualSpacing/>
              <w:rPr>
                <w:rFonts w:ascii="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Do you have any required method for allocating land costs across the component of the development included in our application and the </w:t>
            </w:r>
            <w:proofErr w:type="spellStart"/>
            <w:r w:rsidRPr="007424E0">
              <w:rPr>
                <w:rFonts w:ascii="Times New Roman" w:eastAsia="Times New Roman" w:hAnsi="Times New Roman" w:cs="Times New Roman"/>
                <w:color w:val="000000" w:themeColor="text1"/>
                <w:sz w:val="20"/>
                <w:szCs w:val="20"/>
              </w:rPr>
              <w:t>condoed</w:t>
            </w:r>
            <w:proofErr w:type="spellEnd"/>
            <w:r w:rsidRPr="007424E0">
              <w:rPr>
                <w:rFonts w:ascii="Times New Roman" w:eastAsia="Times New Roman" w:hAnsi="Times New Roman" w:cs="Times New Roman"/>
                <w:color w:val="000000" w:themeColor="text1"/>
                <w:sz w:val="20"/>
                <w:szCs w:val="20"/>
              </w:rPr>
              <w:t xml:space="preserve"> out component? Is a pro rata allocation based on land area acceptable?</w:t>
            </w:r>
          </w:p>
          <w:p w14:paraId="100114FD" w14:textId="77777777" w:rsidR="00412798" w:rsidRPr="007424E0" w:rsidRDefault="00412798" w:rsidP="000F6D48">
            <w:pPr>
              <w:contextualSpacing/>
              <w:rPr>
                <w:rFonts w:ascii="Times New Roman" w:hAnsi="Times New Roman" w:cs="Times New Roman"/>
                <w:sz w:val="20"/>
                <w:szCs w:val="20"/>
              </w:rPr>
            </w:pPr>
          </w:p>
          <w:p w14:paraId="148EE523"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48F91E2C" w14:textId="77777777" w:rsidR="00412798" w:rsidRPr="007424E0" w:rsidRDefault="00412798" w:rsidP="000F6D48">
            <w:pPr>
              <w:rPr>
                <w:rFonts w:ascii="Times New Roman" w:hAnsi="Times New Roman" w:cs="Times New Roman"/>
                <w:sz w:val="20"/>
                <w:szCs w:val="20"/>
              </w:rPr>
            </w:pPr>
          </w:p>
          <w:p w14:paraId="1807492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b/>
                <w:bCs/>
                <w:sz w:val="20"/>
                <w:szCs w:val="20"/>
                <w:u w:val="single"/>
              </w:rPr>
              <w:t>Parking income</w:t>
            </w:r>
            <w:r w:rsidRPr="007424E0">
              <w:rPr>
                <w:rFonts w:ascii="Times New Roman" w:hAnsi="Times New Roman" w:cs="Times New Roman"/>
                <w:sz w:val="20"/>
                <w:szCs w:val="20"/>
              </w:rPr>
              <w:t xml:space="preserve">: Regarding the inclusion of parking income as a source of revenue in the application’s financial model, </w:t>
            </w:r>
            <w:r w:rsidRPr="007424E0">
              <w:rPr>
                <w:rFonts w:ascii="Times New Roman" w:hAnsi="Times New Roman" w:cs="Times New Roman"/>
                <w:b/>
                <w:bCs/>
                <w:sz w:val="20"/>
                <w:szCs w:val="20"/>
              </w:rPr>
              <w:t>(Threshold Criteria) Project Feasibility</w:t>
            </w:r>
            <w:r w:rsidRPr="007424E0">
              <w:rPr>
                <w:rFonts w:ascii="Times New Roman" w:hAnsi="Times New Roman" w:cs="Times New Roman"/>
                <w:sz w:val="20"/>
                <w:szCs w:val="20"/>
              </w:rPr>
              <w:t xml:space="preserve">, subsection </w:t>
            </w:r>
            <w:r w:rsidRPr="007424E0">
              <w:rPr>
                <w:rFonts w:ascii="Times New Roman" w:hAnsi="Times New Roman" w:cs="Times New Roman"/>
                <w:b/>
                <w:bCs/>
                <w:sz w:val="20"/>
                <w:szCs w:val="20"/>
              </w:rPr>
              <w:t>2. Income</w:t>
            </w:r>
            <w:r w:rsidRPr="007424E0">
              <w:rPr>
                <w:rFonts w:ascii="Times New Roman" w:hAnsi="Times New Roman" w:cs="Times New Roman"/>
                <w:sz w:val="20"/>
                <w:szCs w:val="20"/>
              </w:rPr>
              <w:t xml:space="preserve"> states that income from fees (including parking fees) cannot be included in the model (“</w:t>
            </w:r>
            <w:r w:rsidRPr="007424E0">
              <w:rPr>
                <w:rFonts w:ascii="Times New Roman" w:hAnsi="Times New Roman" w:cs="Times New Roman"/>
                <w:i/>
                <w:iCs/>
                <w:sz w:val="20"/>
                <w:szCs w:val="20"/>
              </w:rPr>
              <w:t>[For] Rental income plus ancillary income…income from…fees…will not be considered</w:t>
            </w:r>
            <w:r w:rsidRPr="007424E0">
              <w:rPr>
                <w:rFonts w:ascii="Times New Roman" w:hAnsi="Times New Roman" w:cs="Times New Roman"/>
                <w:sz w:val="20"/>
                <w:szCs w:val="20"/>
              </w:rPr>
              <w:t xml:space="preserve">”).  </w:t>
            </w:r>
          </w:p>
          <w:p w14:paraId="6A8DA4AB" w14:textId="77777777" w:rsidR="00412798" w:rsidRPr="007424E0" w:rsidRDefault="00412798" w:rsidP="000F6D48">
            <w:pPr>
              <w:rPr>
                <w:rFonts w:ascii="Times New Roman" w:hAnsi="Times New Roman" w:cs="Times New Roman"/>
                <w:sz w:val="20"/>
                <w:szCs w:val="20"/>
              </w:rPr>
            </w:pPr>
          </w:p>
          <w:p w14:paraId="56F335F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b/>
                <w:bCs/>
                <w:sz w:val="20"/>
                <w:szCs w:val="20"/>
                <w:u w:val="single"/>
              </w:rPr>
              <w:t>Parking for affordable units</w:t>
            </w:r>
            <w:r w:rsidRPr="007424E0">
              <w:rPr>
                <w:rFonts w:ascii="Times New Roman" w:hAnsi="Times New Roman" w:cs="Times New Roman"/>
                <w:sz w:val="20"/>
                <w:szCs w:val="20"/>
              </w:rPr>
              <w:t xml:space="preserve">: Regarding the inclusion of development costs for parking intended to serve affordable units, DCA does not have a position that is different from IRC Section 42. </w:t>
            </w:r>
          </w:p>
          <w:p w14:paraId="4B6A62FB" w14:textId="77777777" w:rsidR="00412798" w:rsidRPr="007424E0" w:rsidRDefault="00412798" w:rsidP="000F6D48">
            <w:pPr>
              <w:rPr>
                <w:rFonts w:ascii="Times New Roman" w:hAnsi="Times New Roman" w:cs="Times New Roman"/>
                <w:sz w:val="20"/>
                <w:szCs w:val="20"/>
              </w:rPr>
            </w:pPr>
          </w:p>
          <w:p w14:paraId="4B6402A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b/>
                <w:bCs/>
                <w:sz w:val="20"/>
                <w:szCs w:val="20"/>
                <w:u w:val="single"/>
              </w:rPr>
              <w:t>Parking for commercial and market units</w:t>
            </w:r>
            <w:r w:rsidRPr="007424E0">
              <w:rPr>
                <w:rFonts w:ascii="Times New Roman" w:hAnsi="Times New Roman" w:cs="Times New Roman"/>
                <w:sz w:val="20"/>
                <w:szCs w:val="20"/>
              </w:rPr>
              <w:t xml:space="preserve">: Regarding the inclusion of development costs for parking intended to serve market units or commercial spaces, these costs should not be included in the development budget. </w:t>
            </w:r>
            <w:r w:rsidRPr="007424E0">
              <w:rPr>
                <w:rFonts w:ascii="Times New Roman" w:hAnsi="Times New Roman" w:cs="Times New Roman"/>
                <w:sz w:val="20"/>
                <w:szCs w:val="20"/>
              </w:rPr>
              <w:br/>
            </w:r>
          </w:p>
          <w:p w14:paraId="56C5FDAE" w14:textId="77777777" w:rsidR="00412798" w:rsidRPr="007424E0" w:rsidRDefault="00412798" w:rsidP="000F6D48">
            <w:pPr>
              <w:numPr>
                <w:ilvl w:val="0"/>
                <w:numId w:val="49"/>
              </w:numPr>
              <w:contextualSpacing/>
              <w:rPr>
                <w:rFonts w:ascii="Times New Roman" w:hAnsi="Times New Roman" w:cs="Times New Roman"/>
                <w:sz w:val="20"/>
                <w:szCs w:val="20"/>
              </w:rPr>
            </w:pPr>
            <w:r w:rsidRPr="007424E0">
              <w:rPr>
                <w:rFonts w:ascii="Times New Roman" w:hAnsi="Times New Roman" w:cs="Times New Roman"/>
                <w:sz w:val="20"/>
                <w:szCs w:val="20"/>
              </w:rPr>
              <w:t xml:space="preserve">As stated in </w:t>
            </w:r>
            <w:r w:rsidRPr="007424E0">
              <w:rPr>
                <w:rFonts w:ascii="Times New Roman" w:hAnsi="Times New Roman" w:cs="Times New Roman"/>
                <w:b/>
                <w:bCs/>
                <w:sz w:val="20"/>
                <w:szCs w:val="20"/>
              </w:rPr>
              <w:t>(Threshold Criteria) Project Feasibility</w:t>
            </w:r>
            <w:r w:rsidRPr="007424E0">
              <w:rPr>
                <w:rFonts w:ascii="Times New Roman" w:hAnsi="Times New Roman" w:cs="Times New Roman"/>
                <w:sz w:val="20"/>
                <w:szCs w:val="20"/>
              </w:rPr>
              <w:t xml:space="preserve">, the intent of DCA staff’s underwriting review is to ensure that the “housing credit dollar amount allocated to a project not exceed the amount that DCA determines is necessary for the financial feasibility of the project and its viability as a qualified low-income housing project through the credit period.” </w:t>
            </w:r>
            <w:r w:rsidRPr="007424E0">
              <w:rPr>
                <w:rFonts w:ascii="Times New Roman" w:hAnsi="Times New Roman" w:cs="Times New Roman"/>
                <w:sz w:val="20"/>
                <w:szCs w:val="20"/>
              </w:rPr>
              <w:br/>
            </w:r>
          </w:p>
          <w:p w14:paraId="04A1ED95" w14:textId="77777777" w:rsidR="00412798" w:rsidRPr="007424E0" w:rsidRDefault="00412798" w:rsidP="000F6D48">
            <w:pPr>
              <w:numPr>
                <w:ilvl w:val="0"/>
                <w:numId w:val="49"/>
              </w:numPr>
              <w:contextualSpacing/>
              <w:rPr>
                <w:rFonts w:ascii="Times New Roman" w:hAnsi="Times New Roman" w:cs="Times New Roman"/>
                <w:sz w:val="20"/>
                <w:szCs w:val="20"/>
              </w:rPr>
            </w:pPr>
            <w:r w:rsidRPr="007424E0">
              <w:rPr>
                <w:rFonts w:ascii="Times New Roman" w:hAnsi="Times New Roman" w:cs="Times New Roman"/>
                <w:sz w:val="20"/>
                <w:szCs w:val="20"/>
              </w:rPr>
              <w:lastRenderedPageBreak/>
              <w:t xml:space="preserve">Therefore, except where the QAP states otherwise (e.g., subsection </w:t>
            </w:r>
            <w:r w:rsidRPr="007424E0">
              <w:rPr>
                <w:rFonts w:ascii="Times New Roman" w:hAnsi="Times New Roman" w:cs="Times New Roman"/>
                <w:b/>
                <w:bCs/>
                <w:sz w:val="20"/>
                <w:szCs w:val="20"/>
              </w:rPr>
              <w:t xml:space="preserve">10. Market Units </w:t>
            </w:r>
            <w:r w:rsidRPr="007424E0">
              <w:rPr>
                <w:rFonts w:ascii="Times New Roman" w:hAnsi="Times New Roman" w:cs="Times New Roman"/>
                <w:sz w:val="20"/>
                <w:szCs w:val="20"/>
              </w:rPr>
              <w:t xml:space="preserve">relating to the costs and expenses associated with market units), line items that do not directly support or reflect the development or operations of the low-income housing should not be included in the </w:t>
            </w:r>
            <w:r w:rsidRPr="007424E0">
              <w:rPr>
                <w:rFonts w:ascii="Times New Roman" w:hAnsi="Times New Roman" w:cs="Times New Roman"/>
                <w:i/>
                <w:iCs/>
                <w:sz w:val="20"/>
                <w:szCs w:val="20"/>
              </w:rPr>
              <w:t>Uses of Funds</w:t>
            </w:r>
            <w:r w:rsidRPr="007424E0">
              <w:rPr>
                <w:rFonts w:ascii="Times New Roman" w:hAnsi="Times New Roman" w:cs="Times New Roman"/>
                <w:sz w:val="20"/>
                <w:szCs w:val="20"/>
              </w:rPr>
              <w:t xml:space="preserve"> or </w:t>
            </w:r>
            <w:r w:rsidRPr="007424E0">
              <w:rPr>
                <w:rFonts w:ascii="Times New Roman" w:hAnsi="Times New Roman" w:cs="Times New Roman"/>
                <w:i/>
                <w:iCs/>
                <w:sz w:val="20"/>
                <w:szCs w:val="20"/>
              </w:rPr>
              <w:t>Revenues &amp; Expenses</w:t>
            </w:r>
            <w:r w:rsidRPr="007424E0">
              <w:rPr>
                <w:rFonts w:ascii="Times New Roman" w:hAnsi="Times New Roman" w:cs="Times New Roman"/>
                <w:sz w:val="20"/>
                <w:szCs w:val="20"/>
              </w:rPr>
              <w:t xml:space="preserve"> tabs of the Excel Core Application. </w:t>
            </w:r>
            <w:r w:rsidRPr="007424E0">
              <w:rPr>
                <w:rFonts w:ascii="Times New Roman" w:hAnsi="Times New Roman" w:cs="Times New Roman"/>
                <w:sz w:val="20"/>
                <w:szCs w:val="20"/>
              </w:rPr>
              <w:br/>
            </w:r>
          </w:p>
          <w:p w14:paraId="532419C9" w14:textId="77777777" w:rsidR="00412798" w:rsidRPr="007424E0" w:rsidRDefault="00412798" w:rsidP="000F6D48">
            <w:pPr>
              <w:numPr>
                <w:ilvl w:val="0"/>
                <w:numId w:val="49"/>
              </w:numPr>
              <w:contextualSpacing/>
              <w:rPr>
                <w:rFonts w:ascii="Times New Roman" w:hAnsi="Times New Roman" w:cs="Times New Roman"/>
                <w:sz w:val="20"/>
                <w:szCs w:val="20"/>
              </w:rPr>
            </w:pPr>
            <w:r w:rsidRPr="007424E0">
              <w:rPr>
                <w:rFonts w:ascii="Times New Roman" w:hAnsi="Times New Roman" w:cs="Times New Roman"/>
                <w:sz w:val="20"/>
                <w:szCs w:val="20"/>
              </w:rPr>
              <w:t xml:space="preserve">Please provide a description of the portions of the development not included directly in the budget of the application (e.g., in the comments box of the </w:t>
            </w:r>
            <w:r w:rsidRPr="007424E0">
              <w:rPr>
                <w:rFonts w:ascii="Times New Roman" w:hAnsi="Times New Roman" w:cs="Times New Roman"/>
                <w:i/>
                <w:iCs/>
                <w:sz w:val="20"/>
                <w:szCs w:val="20"/>
              </w:rPr>
              <w:t>Uses of Funds</w:t>
            </w:r>
            <w:r w:rsidRPr="007424E0">
              <w:rPr>
                <w:rFonts w:ascii="Times New Roman" w:hAnsi="Times New Roman" w:cs="Times New Roman"/>
                <w:sz w:val="20"/>
                <w:szCs w:val="20"/>
              </w:rPr>
              <w:t xml:space="preserve"> tab). If DCA staff determine that the financial and market feasibility of the low-income housing development is dependent on activities not included in the model (e.g., a commercial space), DCA may request additional information through the clarifications process. </w:t>
            </w:r>
          </w:p>
          <w:p w14:paraId="2AFE17C0" w14:textId="77777777" w:rsidR="00412798" w:rsidRPr="007424E0" w:rsidRDefault="00412798" w:rsidP="000F6D48">
            <w:pPr>
              <w:rPr>
                <w:rFonts w:ascii="Times New Roman" w:hAnsi="Times New Roman" w:cs="Times New Roman"/>
                <w:sz w:val="20"/>
                <w:szCs w:val="20"/>
              </w:rPr>
            </w:pPr>
          </w:p>
          <w:p w14:paraId="70E1F18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b/>
                <w:bCs/>
                <w:sz w:val="20"/>
                <w:szCs w:val="20"/>
                <w:u w:val="single"/>
              </w:rPr>
              <w:t>Non-required parking</w:t>
            </w:r>
            <w:r w:rsidRPr="007424E0">
              <w:rPr>
                <w:rFonts w:ascii="Times New Roman" w:hAnsi="Times New Roman" w:cs="Times New Roman"/>
                <w:sz w:val="20"/>
                <w:szCs w:val="20"/>
              </w:rPr>
              <w:t>: This question includes the statement that the local government does not require any parking. Please note that even if the local government does not require parking for residential units, DCA will assess whether the proposed level of parking for all restricted and unrestricted residential units is appropriate given market feasibility considerations.</w:t>
            </w:r>
          </w:p>
          <w:p w14:paraId="26FB742D" w14:textId="77777777" w:rsidR="00412798" w:rsidRPr="007424E0" w:rsidRDefault="00412798" w:rsidP="000F6D48">
            <w:pPr>
              <w:rPr>
                <w:rFonts w:ascii="Times New Roman" w:hAnsi="Times New Roman" w:cs="Times New Roman"/>
                <w:sz w:val="20"/>
                <w:szCs w:val="20"/>
              </w:rPr>
            </w:pPr>
          </w:p>
          <w:p w14:paraId="17A4BBB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b/>
                <w:bCs/>
                <w:sz w:val="20"/>
                <w:szCs w:val="20"/>
                <w:u w:val="single"/>
              </w:rPr>
              <w:t>Requirements for allocating land costs</w:t>
            </w:r>
            <w:r w:rsidRPr="007424E0">
              <w:rPr>
                <w:rFonts w:ascii="Times New Roman" w:hAnsi="Times New Roman" w:cs="Times New Roman"/>
                <w:sz w:val="20"/>
                <w:szCs w:val="20"/>
              </w:rPr>
              <w:t xml:space="preserve">: The answer to this question depends on the specifics of the development. Applicants should allocate costs proportionally and describe the methodology for doing so in detail so that DCA underwriters can replicate it. If DCA staff determine upon reviewing the development information that an adjustment to the methodology is required, DCA staff will reach out to the applicant through the clarifications process. </w:t>
            </w:r>
          </w:p>
          <w:p w14:paraId="25C30FE3" w14:textId="77777777" w:rsidR="00412798" w:rsidRPr="007424E0" w:rsidRDefault="00412798" w:rsidP="000F6D48">
            <w:pPr>
              <w:pStyle w:val="ListParagraph"/>
              <w:numPr>
                <w:ilvl w:val="0"/>
                <w:numId w:val="51"/>
              </w:numPr>
              <w:rPr>
                <w:rFonts w:ascii="Times New Roman" w:hAnsi="Times New Roman" w:cs="Times New Roman"/>
                <w:sz w:val="20"/>
                <w:szCs w:val="20"/>
              </w:rPr>
            </w:pPr>
            <w:r w:rsidRPr="007424E0">
              <w:rPr>
                <w:rFonts w:ascii="Times New Roman" w:hAnsi="Times New Roman" w:cs="Times New Roman"/>
                <w:sz w:val="20"/>
                <w:szCs w:val="20"/>
              </w:rPr>
              <w:t xml:space="preserve">Please also note that, per </w:t>
            </w:r>
            <w:r w:rsidRPr="007424E0">
              <w:rPr>
                <w:rFonts w:ascii="Times New Roman" w:hAnsi="Times New Roman" w:cs="Times New Roman"/>
                <w:b/>
                <w:bCs/>
                <w:sz w:val="20"/>
                <w:szCs w:val="20"/>
              </w:rPr>
              <w:t>(Threshold Criteria) Appraisals</w:t>
            </w:r>
            <w:r w:rsidRPr="007424E0">
              <w:rPr>
                <w:rFonts w:ascii="Times New Roman" w:hAnsi="Times New Roman" w:cs="Times New Roman"/>
                <w:sz w:val="20"/>
                <w:szCs w:val="20"/>
              </w:rPr>
              <w:t>, “DCA may also commission an appraisal for a tax credit only project in order to confirm that the proposed purchase price is reasonable and the valuation assumptions within the application are valid.”</w:t>
            </w:r>
          </w:p>
        </w:tc>
      </w:tr>
      <w:tr w:rsidR="00412798" w:rsidRPr="007424E0" w14:paraId="18C27046" w14:textId="77777777" w:rsidTr="64301FE8">
        <w:trPr>
          <w:jc w:val="center"/>
        </w:trPr>
        <w:tc>
          <w:tcPr>
            <w:tcW w:w="1697" w:type="dxa"/>
            <w:shd w:val="clear" w:color="auto" w:fill="auto"/>
            <w:tcMar>
              <w:top w:w="72" w:type="dxa"/>
              <w:left w:w="115" w:type="dxa"/>
              <w:bottom w:w="72" w:type="dxa"/>
              <w:right w:w="115" w:type="dxa"/>
            </w:tcMar>
            <w:vAlign w:val="center"/>
          </w:tcPr>
          <w:p w14:paraId="47308752"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5/27/22</w:t>
            </w:r>
          </w:p>
        </w:tc>
        <w:tc>
          <w:tcPr>
            <w:tcW w:w="2663" w:type="dxa"/>
            <w:shd w:val="clear" w:color="auto" w:fill="auto"/>
            <w:tcMar>
              <w:top w:w="72" w:type="dxa"/>
              <w:left w:w="115" w:type="dxa"/>
              <w:bottom w:w="72" w:type="dxa"/>
              <w:right w:w="115" w:type="dxa"/>
            </w:tcMar>
            <w:vAlign w:val="center"/>
          </w:tcPr>
          <w:p w14:paraId="2BC435A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2.08</w:t>
            </w:r>
          </w:p>
          <w:p w14:paraId="214BDC0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7643E80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Site Control</w:t>
            </w:r>
          </w:p>
        </w:tc>
        <w:tc>
          <w:tcPr>
            <w:tcW w:w="9585" w:type="dxa"/>
            <w:shd w:val="clear" w:color="auto" w:fill="auto"/>
            <w:tcMar>
              <w:top w:w="72" w:type="dxa"/>
              <w:left w:w="115" w:type="dxa"/>
              <w:bottom w:w="72" w:type="dxa"/>
              <w:right w:w="115" w:type="dxa"/>
            </w:tcMar>
            <w:vAlign w:val="center"/>
          </w:tcPr>
          <w:p w14:paraId="26285FCE" w14:textId="77777777" w:rsidR="00412798" w:rsidRPr="007424E0" w:rsidRDefault="00412798" w:rsidP="000F6D48">
            <w:pPr>
              <w:jc w:val="center"/>
              <w:rPr>
                <w:rFonts w:ascii="Times New Roman" w:hAnsi="Times New Roman" w:cs="Times New Roman"/>
                <w:sz w:val="20"/>
                <w:szCs w:val="20"/>
              </w:rPr>
            </w:pPr>
            <w:r w:rsidRPr="007424E0">
              <w:rPr>
                <w:rStyle w:val="normaltextrun"/>
                <w:rFonts w:ascii="Times New Roman" w:hAnsi="Times New Roman" w:cs="Times New Roman"/>
                <w:b/>
                <w:bCs/>
                <w:i/>
                <w:iCs/>
                <w:color w:val="FF0000"/>
                <w:sz w:val="20"/>
                <w:szCs w:val="20"/>
              </w:rPr>
              <w:t>This Q&amp;A references the 9% Round but includes information relevant to 4%/Bonds applications.</w:t>
            </w:r>
          </w:p>
          <w:p w14:paraId="75F03BF9" w14:textId="77777777" w:rsidR="00412798" w:rsidRPr="007424E0" w:rsidRDefault="00412798" w:rsidP="000F6D48">
            <w:pPr>
              <w:textAlignment w:val="baseline"/>
              <w:rPr>
                <w:rFonts w:ascii="Times New Roman" w:eastAsia="Times New Roman" w:hAnsi="Times New Roman" w:cs="Times New Roman"/>
                <w:b/>
                <w:bCs/>
                <w:sz w:val="20"/>
                <w:szCs w:val="20"/>
              </w:rPr>
            </w:pPr>
          </w:p>
          <w:p w14:paraId="1C39AD0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Q22_0517_04 </w:t>
            </w:r>
          </w:p>
          <w:p w14:paraId="6BAEC86B" w14:textId="77777777" w:rsidR="00412798" w:rsidRPr="007424E0" w:rsidRDefault="00412798" w:rsidP="000F6D48">
            <w:pPr>
              <w:textAlignment w:val="baseline"/>
              <w:rPr>
                <w:rFonts w:ascii="Times New Roman" w:eastAsia="Times New Roman" w:hAnsi="Times New Roman" w:cs="Times New Roman"/>
                <w:color w:val="000000"/>
                <w:sz w:val="20"/>
                <w:szCs w:val="20"/>
              </w:rPr>
            </w:pPr>
            <w:r w:rsidRPr="007424E0">
              <w:rPr>
                <w:rFonts w:ascii="Times New Roman" w:eastAsia="Times New Roman" w:hAnsi="Times New Roman" w:cs="Times New Roman"/>
                <w:color w:val="000000"/>
                <w:sz w:val="20"/>
                <w:szCs w:val="20"/>
              </w:rPr>
              <w:t>Our site control is in the form of a legally binding contract.  Do we also need to include a warranty deed from the current property owner, or does having the legally binding contract fulfill the site control requirement?  </w:t>
            </w:r>
          </w:p>
          <w:p w14:paraId="2B4B8E88" w14:textId="77777777" w:rsidR="00412798" w:rsidRPr="007424E0" w:rsidRDefault="00412798" w:rsidP="000F6D48">
            <w:pPr>
              <w:textAlignment w:val="baseline"/>
              <w:rPr>
                <w:rFonts w:ascii="Times New Roman" w:eastAsia="Times New Roman" w:hAnsi="Times New Roman" w:cs="Times New Roman"/>
                <w:color w:val="000000"/>
                <w:sz w:val="20"/>
                <w:szCs w:val="20"/>
              </w:rPr>
            </w:pPr>
          </w:p>
          <w:p w14:paraId="0CA7D35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1D63ABF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(May 27, 2022 update) </w:t>
            </w:r>
          </w:p>
          <w:p w14:paraId="13C7EF4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On May 24, 2022, DCA responded to this question, stating that a settlement statement or warranty deed from the current property owner is required. DCA then received a follow-up question, stating that the response was incorrect given the QAP language. Internal discussion covered the following: </w:t>
            </w:r>
          </w:p>
          <w:p w14:paraId="78334F8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37E0A76" w14:textId="77777777" w:rsidR="00412798" w:rsidRPr="007424E0" w:rsidRDefault="00412798" w:rsidP="000F6D48">
            <w:pPr>
              <w:pStyle w:val="ListParagraph"/>
              <w:numPr>
                <w:ilvl w:val="0"/>
                <w:numId w:val="51"/>
              </w:num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lastRenderedPageBreak/>
              <w:t xml:space="preserve">The original response is consistent with both the language and intent of the Minimum Documentation requirements listed under </w:t>
            </w:r>
            <w:r w:rsidRPr="007424E0">
              <w:rPr>
                <w:rFonts w:ascii="Times New Roman" w:eastAsia="Times New Roman" w:hAnsi="Times New Roman" w:cs="Times New Roman"/>
                <w:b/>
                <w:bCs/>
                <w:sz w:val="20"/>
                <w:szCs w:val="20"/>
              </w:rPr>
              <w:t>(Threshold Criteria) Site Control</w:t>
            </w:r>
            <w:r w:rsidRPr="007424E0">
              <w:rPr>
                <w:rFonts w:ascii="Times New Roman" w:eastAsia="Times New Roman" w:hAnsi="Times New Roman" w:cs="Times New Roman"/>
                <w:sz w:val="20"/>
                <w:szCs w:val="20"/>
              </w:rPr>
              <w:t>. </w:t>
            </w:r>
          </w:p>
          <w:p w14:paraId="756441C8" w14:textId="77777777" w:rsidR="00412798" w:rsidRPr="007424E0" w:rsidRDefault="00412798" w:rsidP="000F6D48">
            <w:pPr>
              <w:pStyle w:val="ListParagraph"/>
              <w:numPr>
                <w:ilvl w:val="0"/>
                <w:numId w:val="51"/>
              </w:num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However, in the past applicants have misunderstood this requirement. During the 2021 9% Competitive Round, so many applicants misunderstood this requirement that the requirement was not enforced.  </w:t>
            </w:r>
          </w:p>
          <w:p w14:paraId="223C8B98" w14:textId="77777777" w:rsidR="00412798" w:rsidRPr="007424E0" w:rsidRDefault="00412798" w:rsidP="000F6D48">
            <w:pPr>
              <w:pStyle w:val="ListParagraph"/>
              <w:numPr>
                <w:ilvl w:val="0"/>
                <w:numId w:val="51"/>
              </w:num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QAP language did not change from the 2021 QAP to the 2022 QAP to clarify this provision. </w:t>
            </w:r>
          </w:p>
          <w:p w14:paraId="07C41C77" w14:textId="77777777" w:rsidR="00412798" w:rsidRPr="007424E0" w:rsidRDefault="00412798" w:rsidP="000F6D48">
            <w:pPr>
              <w:pStyle w:val="ListParagraph"/>
              <w:numPr>
                <w:ilvl w:val="0"/>
                <w:numId w:val="51"/>
              </w:num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For the many applicants who did not receive a missing documentation notice during the 2021 9% Competitive Round, this is functionally a change in policy that was issued one week before the 2022 9% Competitive Round deadline.  </w:t>
            </w:r>
          </w:p>
          <w:p w14:paraId="0984B75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4379F0E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Therefore, for purposes of the 2022 9% Competitive Round, DCA will not require a settlement statement or warranty deed by default. Please note that the primary purpose of this requirement is to help DCA underwriters assess how the land should be valued given how long the property has “been in the control of the Applicant or a related party” (see </w:t>
            </w:r>
            <w:r w:rsidRPr="007424E0">
              <w:rPr>
                <w:rFonts w:ascii="Times New Roman" w:eastAsia="Times New Roman" w:hAnsi="Times New Roman" w:cs="Times New Roman"/>
                <w:b/>
                <w:bCs/>
                <w:sz w:val="20"/>
                <w:szCs w:val="20"/>
              </w:rPr>
              <w:t>(Threshold Criteria) Appraisals</w:t>
            </w:r>
            <w:r w:rsidRPr="007424E0">
              <w:rPr>
                <w:rFonts w:ascii="Times New Roman" w:eastAsia="Times New Roman" w:hAnsi="Times New Roman" w:cs="Times New Roman"/>
                <w:sz w:val="20"/>
                <w:szCs w:val="20"/>
              </w:rPr>
              <w:t xml:space="preserve"> for more information). DCA reserves the right to request evidence to confirm this through the clarifications process during the 2022 9% Competitive Round.  </w:t>
            </w:r>
          </w:p>
          <w:p w14:paraId="381B8A2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1390223C" w14:textId="77777777" w:rsidR="00412798" w:rsidRPr="007424E0" w:rsidRDefault="00412798" w:rsidP="000F6D48">
            <w:pPr>
              <w:textAlignment w:val="baseline"/>
              <w:rPr>
                <w:rFonts w:ascii="Times New Roman" w:eastAsia="Times New Roman" w:hAnsi="Times New Roman" w:cs="Times New Roman"/>
                <w:i/>
                <w:iCs/>
                <w:sz w:val="20"/>
                <w:szCs w:val="20"/>
              </w:rPr>
            </w:pPr>
          </w:p>
          <w:p w14:paraId="1B7E1B6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Below is the original answer, posted May 24, 2022:</w:t>
            </w:r>
          </w:p>
          <w:p w14:paraId="4FED524C" w14:textId="77777777" w:rsidR="00412798" w:rsidRPr="007424E0" w:rsidRDefault="00412798" w:rsidP="000F6D48">
            <w:pPr>
              <w:textAlignment w:val="baseline"/>
              <w:rPr>
                <w:rFonts w:ascii="Times New Roman" w:eastAsia="Times New Roman" w:hAnsi="Times New Roman" w:cs="Times New Roman"/>
                <w:sz w:val="20"/>
                <w:szCs w:val="20"/>
              </w:rPr>
            </w:pPr>
          </w:p>
          <w:p w14:paraId="5E7B0353" w14:textId="77777777" w:rsidR="00412798" w:rsidRPr="007424E0" w:rsidRDefault="00412798" w:rsidP="000F6D48">
            <w:pPr>
              <w:textAlignment w:val="baseline"/>
              <w:rPr>
                <w:rFonts w:ascii="Times New Roman" w:eastAsia="Times New Roman" w:hAnsi="Times New Roman" w:cs="Times New Roman"/>
                <w:i/>
                <w:iCs/>
                <w:sz w:val="20"/>
                <w:szCs w:val="20"/>
              </w:rPr>
            </w:pPr>
            <w:r w:rsidRPr="007424E0">
              <w:rPr>
                <w:rFonts w:ascii="Times New Roman" w:eastAsia="Times New Roman" w:hAnsi="Times New Roman" w:cs="Times New Roman"/>
                <w:i/>
                <w:iCs/>
                <w:sz w:val="20"/>
                <w:szCs w:val="20"/>
              </w:rPr>
              <w:t xml:space="preserve">Per </w:t>
            </w:r>
            <w:r w:rsidRPr="007424E0">
              <w:rPr>
                <w:rFonts w:ascii="Times New Roman" w:eastAsia="Times New Roman" w:hAnsi="Times New Roman" w:cs="Times New Roman"/>
                <w:b/>
                <w:bCs/>
                <w:i/>
                <w:iCs/>
                <w:sz w:val="20"/>
                <w:szCs w:val="20"/>
              </w:rPr>
              <w:t xml:space="preserve">(Threshold) Site Control, </w:t>
            </w:r>
            <w:r w:rsidRPr="007424E0">
              <w:rPr>
                <w:rFonts w:ascii="Times New Roman" w:eastAsia="Times New Roman" w:hAnsi="Times New Roman" w:cs="Times New Roman"/>
                <w:i/>
                <w:iCs/>
                <w:sz w:val="20"/>
                <w:szCs w:val="20"/>
              </w:rPr>
              <w:t>in addition to the legally binding contract, a settlement statement or warranty deed from the current property owner must be submitted.   </w:t>
            </w:r>
          </w:p>
          <w:p w14:paraId="303B7F90" w14:textId="77777777" w:rsidR="00412798" w:rsidRPr="007424E0" w:rsidRDefault="00412798" w:rsidP="000F6D48">
            <w:pPr>
              <w:textAlignment w:val="baseline"/>
              <w:rPr>
                <w:rFonts w:ascii="Times New Roman" w:eastAsia="Times New Roman" w:hAnsi="Times New Roman" w:cs="Times New Roman"/>
                <w:i/>
                <w:iCs/>
                <w:sz w:val="20"/>
                <w:szCs w:val="20"/>
              </w:rPr>
            </w:pPr>
            <w:r w:rsidRPr="007424E0">
              <w:rPr>
                <w:rFonts w:ascii="Times New Roman" w:eastAsia="Times New Roman" w:hAnsi="Times New Roman" w:cs="Times New Roman"/>
                <w:i/>
                <w:iCs/>
                <w:sz w:val="20"/>
                <w:szCs w:val="20"/>
              </w:rPr>
              <w:t> </w:t>
            </w:r>
          </w:p>
          <w:p w14:paraId="75998D2D" w14:textId="77777777" w:rsidR="00412798" w:rsidRPr="007424E0" w:rsidRDefault="00412798" w:rsidP="000F6D48">
            <w:pPr>
              <w:textAlignment w:val="baseline"/>
              <w:rPr>
                <w:rFonts w:ascii="Times New Roman" w:eastAsia="Times New Roman" w:hAnsi="Times New Roman" w:cs="Times New Roman"/>
                <w:i/>
                <w:iCs/>
                <w:sz w:val="20"/>
                <w:szCs w:val="20"/>
              </w:rPr>
            </w:pPr>
            <w:r w:rsidRPr="007424E0">
              <w:rPr>
                <w:rFonts w:ascii="Times New Roman" w:eastAsia="Times New Roman" w:hAnsi="Times New Roman" w:cs="Times New Roman"/>
                <w:i/>
                <w:iCs/>
                <w:sz w:val="20"/>
                <w:szCs w:val="20"/>
              </w:rPr>
              <w:t>Minimum Documentation: </w:t>
            </w:r>
          </w:p>
          <w:p w14:paraId="1EC9FDB2" w14:textId="77777777" w:rsidR="00412798" w:rsidRPr="007424E0" w:rsidRDefault="00412798" w:rsidP="000F6D48">
            <w:pPr>
              <w:textAlignment w:val="baseline"/>
              <w:rPr>
                <w:rFonts w:ascii="Times New Roman" w:eastAsia="Times New Roman" w:hAnsi="Times New Roman" w:cs="Times New Roman"/>
                <w:i/>
                <w:iCs/>
                <w:sz w:val="20"/>
                <w:szCs w:val="20"/>
              </w:rPr>
            </w:pPr>
            <w:r w:rsidRPr="007424E0">
              <w:rPr>
                <w:rFonts w:ascii="Times New Roman" w:eastAsia="Times New Roman" w:hAnsi="Times New Roman" w:cs="Times New Roman"/>
                <w:i/>
                <w:iCs/>
                <w:sz w:val="20"/>
                <w:szCs w:val="20"/>
              </w:rPr>
              <w:t>• Settlement statement or warranty deed from current property owner </w:t>
            </w:r>
          </w:p>
          <w:p w14:paraId="4616635D" w14:textId="77777777" w:rsidR="00412798" w:rsidRPr="007424E0" w:rsidRDefault="00412798" w:rsidP="000F6D48">
            <w:pPr>
              <w:textAlignment w:val="baseline"/>
              <w:rPr>
                <w:rFonts w:ascii="Times New Roman" w:eastAsia="Times New Roman" w:hAnsi="Times New Roman" w:cs="Times New Roman"/>
                <w:i/>
                <w:iCs/>
                <w:sz w:val="20"/>
                <w:szCs w:val="20"/>
              </w:rPr>
            </w:pPr>
            <w:r w:rsidRPr="007424E0">
              <w:rPr>
                <w:rFonts w:ascii="Times New Roman" w:eastAsia="Times New Roman" w:hAnsi="Times New Roman" w:cs="Times New Roman"/>
                <w:i/>
                <w:iCs/>
                <w:sz w:val="20"/>
                <w:szCs w:val="20"/>
              </w:rPr>
              <w:t>• Warranty Deed; legally binding Contract; or legally binding, long-term Ground Lease or Option </w:t>
            </w:r>
          </w:p>
          <w:p w14:paraId="63EECE7C" w14:textId="77777777" w:rsidR="00412798" w:rsidRPr="007424E0" w:rsidRDefault="00412798" w:rsidP="000F6D48">
            <w:pPr>
              <w:textAlignment w:val="baseline"/>
              <w:rPr>
                <w:rFonts w:ascii="Times New Roman" w:eastAsia="Times New Roman" w:hAnsi="Times New Roman" w:cs="Times New Roman"/>
                <w:i/>
                <w:iCs/>
                <w:sz w:val="20"/>
                <w:szCs w:val="20"/>
              </w:rPr>
            </w:pPr>
            <w:r w:rsidRPr="007424E0">
              <w:rPr>
                <w:rFonts w:ascii="Times New Roman" w:eastAsia="Times New Roman" w:hAnsi="Times New Roman" w:cs="Times New Roman"/>
                <w:i/>
                <w:iCs/>
                <w:sz w:val="20"/>
                <w:szCs w:val="20"/>
              </w:rPr>
              <w:t>• Legal description </w:t>
            </w:r>
          </w:p>
          <w:p w14:paraId="5B7453D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sz w:val="20"/>
                <w:szCs w:val="20"/>
              </w:rPr>
              <w:t>• Evidence of RFP selection</w:t>
            </w:r>
            <w:r w:rsidRPr="007424E0">
              <w:rPr>
                <w:rFonts w:ascii="Times New Roman" w:eastAsia="Times New Roman" w:hAnsi="Times New Roman" w:cs="Times New Roman"/>
                <w:sz w:val="20"/>
                <w:szCs w:val="20"/>
              </w:rPr>
              <w:t> </w:t>
            </w:r>
          </w:p>
        </w:tc>
      </w:tr>
      <w:tr w:rsidR="00412798" w:rsidRPr="007424E0" w14:paraId="015D6782" w14:textId="77777777" w:rsidTr="64301FE8">
        <w:trPr>
          <w:jc w:val="center"/>
        </w:trPr>
        <w:tc>
          <w:tcPr>
            <w:tcW w:w="1697" w:type="dxa"/>
            <w:shd w:val="clear" w:color="auto" w:fill="auto"/>
            <w:tcMar>
              <w:top w:w="72" w:type="dxa"/>
              <w:left w:w="115" w:type="dxa"/>
              <w:bottom w:w="72" w:type="dxa"/>
              <w:right w:w="115" w:type="dxa"/>
            </w:tcMar>
            <w:vAlign w:val="center"/>
          </w:tcPr>
          <w:p w14:paraId="7659F43C"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5/27/22</w:t>
            </w:r>
          </w:p>
        </w:tc>
        <w:tc>
          <w:tcPr>
            <w:tcW w:w="2663" w:type="dxa"/>
            <w:shd w:val="clear" w:color="auto" w:fill="auto"/>
            <w:tcMar>
              <w:top w:w="72" w:type="dxa"/>
              <w:left w:w="115" w:type="dxa"/>
              <w:bottom w:w="72" w:type="dxa"/>
              <w:right w:w="115" w:type="dxa"/>
            </w:tcMar>
            <w:vAlign w:val="center"/>
          </w:tcPr>
          <w:p w14:paraId="73FB949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2.13</w:t>
            </w:r>
          </w:p>
          <w:p w14:paraId="158022D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6FC4B48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Required Amenities</w:t>
            </w:r>
          </w:p>
        </w:tc>
        <w:tc>
          <w:tcPr>
            <w:tcW w:w="9585" w:type="dxa"/>
            <w:shd w:val="clear" w:color="auto" w:fill="auto"/>
            <w:tcMar>
              <w:top w:w="72" w:type="dxa"/>
              <w:left w:w="115" w:type="dxa"/>
              <w:bottom w:w="72" w:type="dxa"/>
              <w:right w:w="115" w:type="dxa"/>
            </w:tcMar>
            <w:vAlign w:val="center"/>
          </w:tcPr>
          <w:p w14:paraId="684E312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Q22_0518_04</w:t>
            </w:r>
            <w:r w:rsidRPr="007424E0">
              <w:rPr>
                <w:rStyle w:val="eop"/>
                <w:sz w:val="20"/>
                <w:szCs w:val="20"/>
              </w:rPr>
              <w:t> </w:t>
            </w:r>
          </w:p>
          <w:p w14:paraId="1AC163B1"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t>Regarding appliances, please confirm that a 100% Section 8 covered property would be considered a "HUD property," and therefore not be required to add dishwashers.</w:t>
            </w:r>
            <w:r w:rsidRPr="007424E0">
              <w:rPr>
                <w:rStyle w:val="eop"/>
                <w:color w:val="000000"/>
                <w:sz w:val="20"/>
                <w:szCs w:val="20"/>
              </w:rPr>
              <w:t> </w:t>
            </w:r>
          </w:p>
          <w:p w14:paraId="081A36B3"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70B129B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579B717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For purposes of this subsection, a property for which 100% of units have PBRA originating from HUD would be considered a “HUD property.” </w:t>
            </w:r>
            <w:r w:rsidRPr="007424E0">
              <w:rPr>
                <w:rStyle w:val="eop"/>
                <w:sz w:val="20"/>
                <w:szCs w:val="20"/>
              </w:rPr>
              <w:t> </w:t>
            </w:r>
          </w:p>
        </w:tc>
      </w:tr>
      <w:tr w:rsidR="00412798" w:rsidRPr="007424E0" w14:paraId="484AB55A" w14:textId="77777777" w:rsidTr="64301FE8">
        <w:trPr>
          <w:jc w:val="center"/>
        </w:trPr>
        <w:tc>
          <w:tcPr>
            <w:tcW w:w="1697" w:type="dxa"/>
            <w:shd w:val="clear" w:color="auto" w:fill="auto"/>
            <w:tcMar>
              <w:top w:w="72" w:type="dxa"/>
              <w:left w:w="115" w:type="dxa"/>
              <w:bottom w:w="72" w:type="dxa"/>
              <w:right w:w="115" w:type="dxa"/>
            </w:tcMar>
            <w:vAlign w:val="center"/>
          </w:tcPr>
          <w:p w14:paraId="7758A84F"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5/27/22</w:t>
            </w:r>
          </w:p>
        </w:tc>
        <w:tc>
          <w:tcPr>
            <w:tcW w:w="2663" w:type="dxa"/>
            <w:shd w:val="clear" w:color="auto" w:fill="auto"/>
            <w:tcMar>
              <w:top w:w="72" w:type="dxa"/>
              <w:left w:w="115" w:type="dxa"/>
              <w:bottom w:w="72" w:type="dxa"/>
              <w:right w:w="115" w:type="dxa"/>
            </w:tcMar>
            <w:vAlign w:val="center"/>
          </w:tcPr>
          <w:p w14:paraId="1F3DE6D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2.25</w:t>
            </w:r>
          </w:p>
          <w:p w14:paraId="24CDD37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07377F9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lastRenderedPageBreak/>
              <w:t>Occupied Developments</w:t>
            </w:r>
          </w:p>
        </w:tc>
        <w:tc>
          <w:tcPr>
            <w:tcW w:w="9585" w:type="dxa"/>
            <w:shd w:val="clear" w:color="auto" w:fill="auto"/>
            <w:tcMar>
              <w:top w:w="72" w:type="dxa"/>
              <w:left w:w="115" w:type="dxa"/>
              <w:bottom w:w="72" w:type="dxa"/>
              <w:right w:w="115" w:type="dxa"/>
            </w:tcMar>
            <w:vAlign w:val="center"/>
          </w:tcPr>
          <w:p w14:paraId="772760A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lastRenderedPageBreak/>
              <w:t>Question</w:t>
            </w:r>
            <w:r w:rsidRPr="007424E0">
              <w:rPr>
                <w:rStyle w:val="normaltextrun"/>
                <w:sz w:val="20"/>
                <w:szCs w:val="20"/>
              </w:rPr>
              <w:t>: Q22_0519_09</w:t>
            </w:r>
            <w:r w:rsidRPr="007424E0">
              <w:rPr>
                <w:rStyle w:val="eop"/>
                <w:sz w:val="20"/>
                <w:szCs w:val="20"/>
              </w:rPr>
              <w:t> </w:t>
            </w:r>
          </w:p>
          <w:p w14:paraId="3CB3F6D5"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lastRenderedPageBreak/>
              <w:t xml:space="preserve">We submit our GIN notice at </w:t>
            </w:r>
            <w:proofErr w:type="spellStart"/>
            <w:r w:rsidRPr="007424E0">
              <w:rPr>
                <w:rStyle w:val="spellingerror"/>
                <w:rFonts w:eastAsiaTheme="majorEastAsia"/>
                <w:color w:val="000000"/>
                <w:sz w:val="20"/>
                <w:szCs w:val="20"/>
              </w:rPr>
              <w:t>Preapp</w:t>
            </w:r>
            <w:proofErr w:type="spellEnd"/>
            <w:r w:rsidRPr="007424E0">
              <w:rPr>
                <w:rStyle w:val="normaltextrun"/>
                <w:color w:val="000000"/>
                <w:sz w:val="20"/>
                <w:szCs w:val="20"/>
              </w:rPr>
              <w:t xml:space="preserve"> and got approval by DCA. Since then, the single tenant on a </w:t>
            </w:r>
            <w:r w:rsidRPr="007424E0">
              <w:rPr>
                <w:rStyle w:val="contextualspellingandgrammarerror"/>
                <w:rFonts w:eastAsiaTheme="majorEastAsia"/>
                <w:color w:val="000000"/>
                <w:sz w:val="20"/>
                <w:szCs w:val="20"/>
              </w:rPr>
              <w:t>month to month</w:t>
            </w:r>
            <w:r w:rsidRPr="007424E0">
              <w:rPr>
                <w:rStyle w:val="normaltextrun"/>
                <w:color w:val="000000"/>
                <w:sz w:val="20"/>
                <w:szCs w:val="20"/>
              </w:rPr>
              <w:t xml:space="preserve"> lease has moved off the property. Do we still need to submit to DCA for relocation? We are planning too just want </w:t>
            </w:r>
            <w:r w:rsidRPr="007424E0">
              <w:rPr>
                <w:rStyle w:val="contextualspellingandgrammarerror"/>
                <w:rFonts w:eastAsiaTheme="majorEastAsia"/>
                <w:color w:val="000000"/>
                <w:sz w:val="20"/>
                <w:szCs w:val="20"/>
              </w:rPr>
              <w:t>ask</w:t>
            </w:r>
            <w:r w:rsidRPr="007424E0">
              <w:rPr>
                <w:rStyle w:val="normaltextrun"/>
                <w:color w:val="000000"/>
                <w:sz w:val="20"/>
                <w:szCs w:val="20"/>
              </w:rPr>
              <w:t xml:space="preserve"> before we do.</w:t>
            </w:r>
            <w:r w:rsidRPr="007424E0">
              <w:rPr>
                <w:rStyle w:val="eop"/>
                <w:color w:val="000000"/>
                <w:sz w:val="20"/>
                <w:szCs w:val="20"/>
              </w:rPr>
              <w:t> </w:t>
            </w:r>
          </w:p>
          <w:p w14:paraId="5F110F23"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2C7E8FA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xml:space="preserve">: </w:t>
            </w:r>
            <w:r w:rsidRPr="007424E0">
              <w:rPr>
                <w:rStyle w:val="eop"/>
                <w:sz w:val="20"/>
                <w:szCs w:val="20"/>
              </w:rPr>
              <w:t> </w:t>
            </w:r>
          </w:p>
          <w:p w14:paraId="0E5AB12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For properties with 100% proposed tax credit funding, relocation submission and supporting documentation (including move out records) to explain the situation is recommended to ensure passage of </w:t>
            </w:r>
            <w:r w:rsidRPr="007424E0">
              <w:rPr>
                <w:rStyle w:val="normaltextrun"/>
                <w:b/>
                <w:bCs/>
                <w:sz w:val="20"/>
                <w:szCs w:val="20"/>
              </w:rPr>
              <w:t xml:space="preserve">(Threshold Criteria) Occupied Developments </w:t>
            </w:r>
            <w:r w:rsidRPr="007424E0">
              <w:rPr>
                <w:rStyle w:val="normaltextrun"/>
                <w:sz w:val="20"/>
                <w:szCs w:val="20"/>
              </w:rPr>
              <w:t>without complication. If the program has Federal Funds on it (</w:t>
            </w:r>
            <w:proofErr w:type="spellStart"/>
            <w:r w:rsidRPr="007424E0">
              <w:rPr>
                <w:rStyle w:val="spellingerror"/>
                <w:rFonts w:eastAsiaTheme="majorEastAsia"/>
                <w:sz w:val="20"/>
                <w:szCs w:val="20"/>
              </w:rPr>
              <w:t>ie</w:t>
            </w:r>
            <w:proofErr w:type="spellEnd"/>
            <w:r w:rsidRPr="007424E0">
              <w:rPr>
                <w:rStyle w:val="normaltextrun"/>
                <w:sz w:val="20"/>
                <w:szCs w:val="20"/>
              </w:rPr>
              <w:t xml:space="preserve">. HOME, PBRA Subsidies, RAD, </w:t>
            </w:r>
            <w:proofErr w:type="spellStart"/>
            <w:r w:rsidRPr="007424E0">
              <w:rPr>
                <w:rStyle w:val="spellingerror"/>
                <w:rFonts w:eastAsiaTheme="majorEastAsia"/>
                <w:sz w:val="20"/>
                <w:szCs w:val="20"/>
              </w:rPr>
              <w:t>etc</w:t>
            </w:r>
            <w:proofErr w:type="spellEnd"/>
            <w:r w:rsidRPr="007424E0">
              <w:rPr>
                <w:rStyle w:val="normaltextrun"/>
                <w:sz w:val="20"/>
                <w:szCs w:val="20"/>
              </w:rPr>
              <w:t>), then a full relocation submission should be submitted to ensure all Uniform Relocation Act (URA) processes were followed.</w:t>
            </w:r>
          </w:p>
        </w:tc>
      </w:tr>
      <w:tr w:rsidR="00412798" w:rsidRPr="007424E0" w14:paraId="32099A85" w14:textId="77777777" w:rsidTr="64301FE8">
        <w:trPr>
          <w:jc w:val="center"/>
        </w:trPr>
        <w:tc>
          <w:tcPr>
            <w:tcW w:w="1697" w:type="dxa"/>
            <w:shd w:val="clear" w:color="auto" w:fill="auto"/>
            <w:tcMar>
              <w:top w:w="72" w:type="dxa"/>
              <w:left w:w="115" w:type="dxa"/>
              <w:bottom w:w="72" w:type="dxa"/>
              <w:right w:w="115" w:type="dxa"/>
            </w:tcMar>
            <w:vAlign w:val="center"/>
          </w:tcPr>
          <w:p w14:paraId="751C2086"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5/27/22</w:t>
            </w:r>
          </w:p>
        </w:tc>
        <w:tc>
          <w:tcPr>
            <w:tcW w:w="2663" w:type="dxa"/>
            <w:shd w:val="clear" w:color="auto" w:fill="auto"/>
            <w:tcMar>
              <w:top w:w="72" w:type="dxa"/>
              <w:left w:w="115" w:type="dxa"/>
              <w:bottom w:w="72" w:type="dxa"/>
              <w:right w:w="115" w:type="dxa"/>
            </w:tcMar>
            <w:vAlign w:val="center"/>
          </w:tcPr>
          <w:p w14:paraId="5318A4E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3.05</w:t>
            </w:r>
          </w:p>
          <w:p w14:paraId="737BCF7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6FD3115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Desirable/Undesirable Activities</w:t>
            </w:r>
          </w:p>
        </w:tc>
        <w:tc>
          <w:tcPr>
            <w:tcW w:w="9585" w:type="dxa"/>
            <w:shd w:val="clear" w:color="auto" w:fill="auto"/>
            <w:tcMar>
              <w:top w:w="72" w:type="dxa"/>
              <w:left w:w="115" w:type="dxa"/>
              <w:bottom w:w="72" w:type="dxa"/>
              <w:right w:w="115" w:type="dxa"/>
            </w:tcMar>
            <w:vAlign w:val="center"/>
          </w:tcPr>
          <w:p w14:paraId="0F4D6CC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Q22_0519_01 </w:t>
            </w:r>
          </w:p>
          <w:p w14:paraId="285217D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On the Desirable Activities Certification form, Undesirable tab, do we include a site that might fit the description of an undesirable, but will be mitigated?  Even though I indicate that there's supporting documentation that it will be mitigated, and therefore, no point deductions made, the spreadsheet still automatically deducts those points?  Should I just leave that site off (to avoid automatic point deduction) and provide an explanation?  Or partially fill it out (by not including distance), so that it doesn't deduct points?  </w:t>
            </w:r>
          </w:p>
          <w:p w14:paraId="7069198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0B06018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007560A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In the Undesirable Site Certification, applicants should include and fill out all fields associated with any Undesirable activities/characteristic located within a radius of 0.25 miles of the proposed site. The Undesirable Site Certification will reflect a deduction, but per </w:t>
            </w:r>
            <w:r w:rsidRPr="007424E0">
              <w:rPr>
                <w:rFonts w:ascii="Times New Roman" w:eastAsia="Times New Roman" w:hAnsi="Times New Roman" w:cs="Times New Roman"/>
                <w:b/>
                <w:bCs/>
                <w:sz w:val="20"/>
                <w:szCs w:val="20"/>
              </w:rPr>
              <w:t xml:space="preserve">(Scoring) Desirable/Undesirable Activities, B. Undesirable/Inefficient Site Activities/Characteristics, 2. Exceptions to Undesirable Deductions, </w:t>
            </w:r>
            <w:r w:rsidRPr="007424E0">
              <w:rPr>
                <w:rFonts w:ascii="Times New Roman" w:eastAsia="Times New Roman" w:hAnsi="Times New Roman" w:cs="Times New Roman"/>
                <w:sz w:val="20"/>
                <w:szCs w:val="20"/>
              </w:rPr>
              <w:t>“The point deduction will not apply if the Applicant has knowledge at the time of Application that an undesirable activity/characteristic is temporary and that a change or mitigation will remove it as set forth [in the subsection].” Minimum Documentation for this section includes: “Evidence of mitigation of undesirable activity/characteristic from the third party responsible for the mitigation by the date noted [in subsection B.2. Exceptions to Undesirable Deductions].” Documentation submitted should provide sufficient evidence that the requirements of this subsection have been met. </w:t>
            </w:r>
          </w:p>
        </w:tc>
      </w:tr>
      <w:tr w:rsidR="00412798" w:rsidRPr="007424E0" w14:paraId="37672520" w14:textId="77777777" w:rsidTr="64301FE8">
        <w:trPr>
          <w:jc w:val="center"/>
        </w:trPr>
        <w:tc>
          <w:tcPr>
            <w:tcW w:w="1697" w:type="dxa"/>
            <w:shd w:val="clear" w:color="auto" w:fill="auto"/>
            <w:tcMar>
              <w:top w:w="72" w:type="dxa"/>
              <w:left w:w="115" w:type="dxa"/>
              <w:bottom w:w="72" w:type="dxa"/>
              <w:right w:w="115" w:type="dxa"/>
            </w:tcMar>
            <w:vAlign w:val="center"/>
          </w:tcPr>
          <w:p w14:paraId="3579AE78"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5/27/22</w:t>
            </w:r>
          </w:p>
        </w:tc>
        <w:tc>
          <w:tcPr>
            <w:tcW w:w="2663" w:type="dxa"/>
            <w:shd w:val="clear" w:color="auto" w:fill="auto"/>
            <w:tcMar>
              <w:top w:w="72" w:type="dxa"/>
              <w:left w:w="115" w:type="dxa"/>
              <w:bottom w:w="72" w:type="dxa"/>
              <w:right w:w="115" w:type="dxa"/>
            </w:tcMar>
            <w:vAlign w:val="center"/>
          </w:tcPr>
          <w:p w14:paraId="182701E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3.15</w:t>
            </w:r>
          </w:p>
          <w:p w14:paraId="2B7FF37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66AB4D0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Extended Affordability Commitment</w:t>
            </w:r>
          </w:p>
        </w:tc>
        <w:tc>
          <w:tcPr>
            <w:tcW w:w="9585" w:type="dxa"/>
            <w:shd w:val="clear" w:color="auto" w:fill="auto"/>
            <w:tcMar>
              <w:top w:w="72" w:type="dxa"/>
              <w:left w:w="115" w:type="dxa"/>
              <w:bottom w:w="72" w:type="dxa"/>
              <w:right w:w="115" w:type="dxa"/>
            </w:tcMar>
            <w:vAlign w:val="center"/>
          </w:tcPr>
          <w:p w14:paraId="54B705F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color w:val="000000"/>
                <w:sz w:val="20"/>
                <w:szCs w:val="20"/>
              </w:rPr>
              <w:t>Question</w:t>
            </w:r>
            <w:r w:rsidRPr="007424E0">
              <w:rPr>
                <w:rStyle w:val="normaltextrun"/>
                <w:color w:val="000000"/>
                <w:sz w:val="20"/>
                <w:szCs w:val="20"/>
              </w:rPr>
              <w:t>: Q22_0520_08</w:t>
            </w:r>
            <w:r w:rsidRPr="007424E0">
              <w:rPr>
                <w:rStyle w:val="eop"/>
                <w:color w:val="000000"/>
                <w:sz w:val="20"/>
                <w:szCs w:val="20"/>
              </w:rPr>
              <w:t> </w:t>
            </w:r>
          </w:p>
          <w:p w14:paraId="0C6CE1A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t>The following two questions received are related: </w:t>
            </w:r>
            <w:r w:rsidRPr="007424E0">
              <w:rPr>
                <w:rStyle w:val="eop"/>
                <w:color w:val="000000"/>
                <w:sz w:val="20"/>
                <w:szCs w:val="20"/>
              </w:rPr>
              <w:t> </w:t>
            </w:r>
          </w:p>
          <w:p w14:paraId="481A5083" w14:textId="77777777" w:rsidR="00412798" w:rsidRPr="007424E0" w:rsidRDefault="00412798" w:rsidP="000F6D48">
            <w:pPr>
              <w:pStyle w:val="paragraph"/>
              <w:spacing w:before="0" w:beforeAutospacing="0" w:after="0" w:afterAutospacing="0"/>
              <w:textAlignment w:val="baseline"/>
              <w:rPr>
                <w:rStyle w:val="normaltextrun"/>
                <w:color w:val="000000"/>
                <w:sz w:val="20"/>
                <w:szCs w:val="20"/>
              </w:rPr>
            </w:pPr>
          </w:p>
          <w:p w14:paraId="348F80F1" w14:textId="77777777" w:rsidR="00412798" w:rsidRPr="007424E0" w:rsidRDefault="00412798" w:rsidP="000F6D48">
            <w:pPr>
              <w:pStyle w:val="paragraph"/>
              <w:numPr>
                <w:ilvl w:val="0"/>
                <w:numId w:val="52"/>
              </w:numPr>
              <w:spacing w:before="0" w:beforeAutospacing="0" w:after="0" w:afterAutospacing="0"/>
              <w:textAlignment w:val="baseline"/>
              <w:rPr>
                <w:sz w:val="20"/>
                <w:szCs w:val="20"/>
              </w:rPr>
            </w:pPr>
            <w:r w:rsidRPr="007424E0">
              <w:rPr>
                <w:rStyle w:val="normaltextrun"/>
                <w:color w:val="000000"/>
                <w:sz w:val="20"/>
                <w:szCs w:val="20"/>
              </w:rPr>
              <w:t xml:space="preserve">With regards to the </w:t>
            </w:r>
            <w:r w:rsidRPr="007424E0">
              <w:rPr>
                <w:rStyle w:val="normaltextrun"/>
                <w:b/>
                <w:bCs/>
                <w:color w:val="000000"/>
                <w:sz w:val="20"/>
                <w:szCs w:val="20"/>
              </w:rPr>
              <w:t>(Scoring) Extended Affordability Commitment</w:t>
            </w:r>
            <w:r w:rsidRPr="007424E0">
              <w:rPr>
                <w:rStyle w:val="normaltextrun"/>
                <w:color w:val="000000"/>
                <w:sz w:val="20"/>
                <w:szCs w:val="20"/>
              </w:rPr>
              <w:t>, the checklist notes that a "copy of the strategy documents meeting the QAP requirements" is required as evidence. What strategy documents does this refer to?</w:t>
            </w:r>
            <w:r w:rsidRPr="007424E0">
              <w:rPr>
                <w:rStyle w:val="eop"/>
                <w:color w:val="000000"/>
                <w:sz w:val="20"/>
                <w:szCs w:val="20"/>
              </w:rPr>
              <w:t> </w:t>
            </w:r>
          </w:p>
          <w:p w14:paraId="00525EBE" w14:textId="77777777" w:rsidR="00412798" w:rsidRPr="007424E0" w:rsidRDefault="00412798" w:rsidP="000F6D48">
            <w:pPr>
              <w:pStyle w:val="paragraph"/>
              <w:spacing w:before="0" w:beforeAutospacing="0" w:after="0" w:afterAutospacing="0"/>
              <w:ind w:firstLine="51"/>
              <w:textAlignment w:val="baseline"/>
              <w:rPr>
                <w:sz w:val="20"/>
                <w:szCs w:val="20"/>
              </w:rPr>
            </w:pPr>
          </w:p>
          <w:p w14:paraId="7309538C" w14:textId="77777777" w:rsidR="00412798" w:rsidRPr="007424E0" w:rsidRDefault="00412798" w:rsidP="000F6D48">
            <w:pPr>
              <w:pStyle w:val="paragraph"/>
              <w:numPr>
                <w:ilvl w:val="0"/>
                <w:numId w:val="52"/>
              </w:numPr>
              <w:spacing w:before="0" w:beforeAutospacing="0" w:after="0" w:afterAutospacing="0"/>
              <w:textAlignment w:val="baseline"/>
              <w:rPr>
                <w:sz w:val="20"/>
                <w:szCs w:val="20"/>
              </w:rPr>
            </w:pPr>
            <w:r w:rsidRPr="007424E0">
              <w:rPr>
                <w:rStyle w:val="normaltextrun"/>
                <w:color w:val="000000"/>
                <w:sz w:val="20"/>
                <w:szCs w:val="20"/>
              </w:rPr>
              <w:lastRenderedPageBreak/>
              <w:t xml:space="preserve">Under the </w:t>
            </w:r>
            <w:r w:rsidRPr="007424E0">
              <w:rPr>
                <w:rStyle w:val="normaltextrun"/>
                <w:b/>
                <w:bCs/>
                <w:color w:val="000000"/>
                <w:sz w:val="20"/>
                <w:szCs w:val="20"/>
              </w:rPr>
              <w:t>(Scoring) Extended Affordability Commitment, B. Resident Ownership</w:t>
            </w:r>
            <w:r w:rsidRPr="007424E0">
              <w:rPr>
                <w:rStyle w:val="normaltextrun"/>
                <w:color w:val="000000"/>
                <w:sz w:val="20"/>
                <w:szCs w:val="20"/>
              </w:rPr>
              <w:t xml:space="preserve"> the minimum documentation says "Documents meeting the above requirements." Is there any specific format that DCA wants to see this in? Does it need to be executed? Are you just looking for a document that states the applicant is willing to do these items?</w:t>
            </w:r>
            <w:r w:rsidRPr="007424E0">
              <w:rPr>
                <w:rStyle w:val="eop"/>
                <w:color w:val="000000"/>
                <w:sz w:val="20"/>
                <w:szCs w:val="20"/>
              </w:rPr>
              <w:t> </w:t>
            </w:r>
          </w:p>
          <w:p w14:paraId="47D7085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F68AC3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0DA4221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t>This item listed on the Tabs Checklist refers to the Minimum Documentation listed under B. Resident Ownership: “Documents meeting the above requirements.”</w:t>
            </w:r>
            <w:r w:rsidRPr="007424E0">
              <w:rPr>
                <w:rStyle w:val="eop"/>
                <w:color w:val="000000"/>
                <w:sz w:val="20"/>
                <w:szCs w:val="20"/>
              </w:rPr>
              <w:t> </w:t>
            </w:r>
            <w:r w:rsidRPr="007424E0">
              <w:rPr>
                <w:rStyle w:val="eop"/>
                <w:color w:val="000000"/>
                <w:sz w:val="20"/>
                <w:szCs w:val="20"/>
              </w:rPr>
              <w:br/>
            </w:r>
          </w:p>
          <w:p w14:paraId="6CBD5B5E"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DCA does not have a required format for this minimum documentation. The submitted documentation does not need to be executed.</w:t>
            </w:r>
          </w:p>
        </w:tc>
      </w:tr>
      <w:tr w:rsidR="00412798" w:rsidRPr="007424E0" w14:paraId="19D6738B" w14:textId="77777777" w:rsidTr="64301FE8">
        <w:trPr>
          <w:jc w:val="center"/>
        </w:trPr>
        <w:tc>
          <w:tcPr>
            <w:tcW w:w="1697" w:type="dxa"/>
            <w:shd w:val="clear" w:color="auto" w:fill="auto"/>
            <w:tcMar>
              <w:top w:w="72" w:type="dxa"/>
              <w:left w:w="115" w:type="dxa"/>
              <w:bottom w:w="72" w:type="dxa"/>
              <w:right w:w="115" w:type="dxa"/>
            </w:tcMar>
            <w:vAlign w:val="center"/>
          </w:tcPr>
          <w:p w14:paraId="0B081FC2"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5/27/22</w:t>
            </w:r>
          </w:p>
        </w:tc>
        <w:tc>
          <w:tcPr>
            <w:tcW w:w="2663" w:type="dxa"/>
            <w:shd w:val="clear" w:color="auto" w:fill="auto"/>
            <w:tcMar>
              <w:top w:w="72" w:type="dxa"/>
              <w:left w:w="115" w:type="dxa"/>
              <w:bottom w:w="72" w:type="dxa"/>
              <w:right w:w="115" w:type="dxa"/>
            </w:tcMar>
            <w:vAlign w:val="center"/>
          </w:tcPr>
          <w:p w14:paraId="51B714D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77A855B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0FEE7D1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4B40D89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Q22_0519_08</w:t>
            </w:r>
            <w:r w:rsidRPr="007424E0">
              <w:rPr>
                <w:rStyle w:val="eop"/>
                <w:sz w:val="20"/>
                <w:szCs w:val="20"/>
              </w:rPr>
              <w:t> </w:t>
            </w:r>
          </w:p>
          <w:p w14:paraId="11C28D93"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t>We are working with a minority business developer to build capacity and remove barriers in line with the objectives of the DCA Minority- and Women-Owned Business Engagement Policy.  The minority business partner applied for MBE/DBE certification; however, the process takes up to 90 days for approval.  Would you temporarily accept an application confirmation in lieu of the certification?  We will submit the actual certification as soon as it is received.  Thank you.  </w:t>
            </w:r>
            <w:r w:rsidRPr="007424E0">
              <w:rPr>
                <w:rStyle w:val="eop"/>
                <w:color w:val="000000"/>
                <w:sz w:val="20"/>
                <w:szCs w:val="20"/>
              </w:rPr>
              <w:t> </w:t>
            </w:r>
          </w:p>
          <w:p w14:paraId="6FBDFD0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66A080A1"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36739C3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For option </w:t>
            </w:r>
            <w:r w:rsidRPr="007424E0">
              <w:rPr>
                <w:rStyle w:val="normaltextrun"/>
                <w:b/>
                <w:bCs/>
                <w:sz w:val="20"/>
                <w:szCs w:val="20"/>
              </w:rPr>
              <w:t>B. Project Team Eligibility</w:t>
            </w:r>
            <w:r w:rsidRPr="007424E0">
              <w:rPr>
                <w:rStyle w:val="normaltextrun"/>
                <w:sz w:val="20"/>
                <w:szCs w:val="20"/>
              </w:rPr>
              <w:t xml:space="preserve">, “Certifications from eligible programs for development team members” is a Minimum Documentation requirement. Therefore, the certification is required for purposes of 2022 Competitive Round application review. Per the </w:t>
            </w:r>
            <w:r w:rsidRPr="007424E0">
              <w:rPr>
                <w:rStyle w:val="normaltextrun"/>
                <w:i/>
                <w:iCs/>
                <w:sz w:val="20"/>
                <w:szCs w:val="20"/>
              </w:rPr>
              <w:t xml:space="preserve">2022 Minority- and Women-Owned Business Engagement Policy </w:t>
            </w:r>
            <w:r w:rsidRPr="007424E0">
              <w:rPr>
                <w:rStyle w:val="normaltextrun"/>
                <w:sz w:val="20"/>
                <w:szCs w:val="20"/>
              </w:rPr>
              <w:t>(</w:t>
            </w:r>
            <w:hyperlink r:id="rId34" w:tgtFrame="_blank" w:history="1">
              <w:r w:rsidRPr="007424E0">
                <w:rPr>
                  <w:rStyle w:val="normaltextrun"/>
                  <w:color w:val="0563C1"/>
                  <w:sz w:val="20"/>
                  <w:szCs w:val="20"/>
                  <w:u w:val="single"/>
                </w:rPr>
                <w:t>click here</w:t>
              </w:r>
            </w:hyperlink>
            <w:r w:rsidRPr="007424E0">
              <w:rPr>
                <w:rStyle w:val="normaltextrun"/>
                <w:sz w:val="20"/>
                <w:szCs w:val="20"/>
              </w:rPr>
              <w:t>):</w:t>
            </w:r>
            <w:r w:rsidRPr="007424E0">
              <w:rPr>
                <w:rStyle w:val="eop"/>
                <w:sz w:val="20"/>
                <w:szCs w:val="20"/>
              </w:rPr>
              <w:t> </w:t>
            </w:r>
          </w:p>
          <w:p w14:paraId="0C3BFFB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74CE9367" w14:textId="77777777" w:rsidR="00412798" w:rsidRPr="007424E0" w:rsidRDefault="00412798" w:rsidP="000F6D48">
            <w:pPr>
              <w:pStyle w:val="paragraph"/>
              <w:spacing w:before="0" w:beforeAutospacing="0" w:after="0" w:afterAutospacing="0"/>
              <w:ind w:left="720"/>
              <w:textAlignment w:val="baseline"/>
              <w:rPr>
                <w:sz w:val="20"/>
                <w:szCs w:val="20"/>
              </w:rPr>
            </w:pPr>
            <w:r w:rsidRPr="007424E0">
              <w:rPr>
                <w:rStyle w:val="normaltextrun"/>
                <w:i/>
                <w:iCs/>
                <w:sz w:val="20"/>
                <w:szCs w:val="20"/>
              </w:rPr>
              <w:t>“A. For purposes of receiving a maximum of (2) points in the Engagement Commitment and Reporting section: All Minority and Women-Owned Businesses included on the report must be certified by Final Allocation Application submission. </w:t>
            </w:r>
            <w:r w:rsidRPr="007424E0">
              <w:rPr>
                <w:rStyle w:val="eop"/>
                <w:sz w:val="20"/>
                <w:szCs w:val="20"/>
              </w:rPr>
              <w:t> </w:t>
            </w:r>
          </w:p>
          <w:p w14:paraId="33F9DAE4" w14:textId="77777777" w:rsidR="00412798" w:rsidRPr="007424E0" w:rsidRDefault="00412798" w:rsidP="000F6D48">
            <w:pPr>
              <w:pStyle w:val="paragraph"/>
              <w:spacing w:before="0" w:beforeAutospacing="0" w:after="0" w:afterAutospacing="0"/>
              <w:ind w:left="720"/>
              <w:textAlignment w:val="baseline"/>
              <w:rPr>
                <w:sz w:val="20"/>
                <w:szCs w:val="20"/>
              </w:rPr>
            </w:pPr>
            <w:r w:rsidRPr="007424E0">
              <w:rPr>
                <w:rStyle w:val="eop"/>
                <w:sz w:val="20"/>
                <w:szCs w:val="20"/>
              </w:rPr>
              <w:t> </w:t>
            </w:r>
          </w:p>
          <w:p w14:paraId="134F3C11" w14:textId="77777777" w:rsidR="00412798" w:rsidRPr="007424E0" w:rsidRDefault="00412798" w:rsidP="000F6D48">
            <w:pPr>
              <w:pStyle w:val="paragraph"/>
              <w:spacing w:before="0" w:beforeAutospacing="0" w:after="0" w:afterAutospacing="0"/>
              <w:ind w:left="720"/>
              <w:textAlignment w:val="baseline"/>
              <w:rPr>
                <w:sz w:val="20"/>
                <w:szCs w:val="20"/>
              </w:rPr>
            </w:pPr>
            <w:r w:rsidRPr="007424E0">
              <w:rPr>
                <w:rStyle w:val="normaltextrun"/>
                <w:i/>
                <w:iCs/>
                <w:sz w:val="20"/>
                <w:szCs w:val="20"/>
              </w:rPr>
              <w:t>B. For purposes of receiving a maximum of (2) points in the Project Team Eligibility section: All Minority and Women-Owned Businesses being confirmed as a part of the Project Team should be certified as of the date of the initial application submission.”</w:t>
            </w:r>
            <w:r w:rsidRPr="007424E0">
              <w:rPr>
                <w:rStyle w:val="eop"/>
                <w:sz w:val="20"/>
                <w:szCs w:val="20"/>
              </w:rPr>
              <w:t> </w:t>
            </w:r>
          </w:p>
          <w:p w14:paraId="61C0067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EC5804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Minority- and Women-Owned Businesses included in the application for purposes of claiming points under </w:t>
            </w:r>
            <w:r w:rsidRPr="007424E0">
              <w:rPr>
                <w:rStyle w:val="normaltextrun"/>
                <w:b/>
                <w:bCs/>
                <w:sz w:val="20"/>
                <w:szCs w:val="20"/>
              </w:rPr>
              <w:t>(Scoring) Minority- and Women-Owned Businesses</w:t>
            </w:r>
            <w:r w:rsidRPr="007424E0">
              <w:rPr>
                <w:rStyle w:val="normaltextrun"/>
                <w:sz w:val="20"/>
                <w:szCs w:val="20"/>
              </w:rPr>
              <w:t xml:space="preserve"> must be certified as of the date indicated in the subsection under which the applicant is claiming points.</w:t>
            </w:r>
          </w:p>
        </w:tc>
      </w:tr>
      <w:tr w:rsidR="00412798" w:rsidRPr="007424E0" w14:paraId="141A1A1D" w14:textId="77777777" w:rsidTr="64301FE8">
        <w:trPr>
          <w:jc w:val="center"/>
        </w:trPr>
        <w:tc>
          <w:tcPr>
            <w:tcW w:w="1697" w:type="dxa"/>
            <w:shd w:val="clear" w:color="auto" w:fill="auto"/>
            <w:tcMar>
              <w:top w:w="72" w:type="dxa"/>
              <w:left w:w="115" w:type="dxa"/>
              <w:bottom w:w="72" w:type="dxa"/>
              <w:right w:w="115" w:type="dxa"/>
            </w:tcMar>
            <w:vAlign w:val="center"/>
          </w:tcPr>
          <w:p w14:paraId="531B4FDF"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5/27/22</w:t>
            </w:r>
          </w:p>
        </w:tc>
        <w:tc>
          <w:tcPr>
            <w:tcW w:w="2663" w:type="dxa"/>
            <w:shd w:val="clear" w:color="auto" w:fill="auto"/>
            <w:tcMar>
              <w:top w:w="72" w:type="dxa"/>
              <w:left w:w="115" w:type="dxa"/>
              <w:bottom w:w="72" w:type="dxa"/>
              <w:right w:w="115" w:type="dxa"/>
            </w:tcMar>
            <w:vAlign w:val="center"/>
          </w:tcPr>
          <w:p w14:paraId="59D3F69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3.21</w:t>
            </w:r>
          </w:p>
          <w:p w14:paraId="33A75A1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lastRenderedPageBreak/>
              <w:t>Scoring Criteria;</w:t>
            </w:r>
          </w:p>
          <w:p w14:paraId="363710E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Favorable Financing</w:t>
            </w:r>
          </w:p>
        </w:tc>
        <w:tc>
          <w:tcPr>
            <w:tcW w:w="9585" w:type="dxa"/>
            <w:shd w:val="clear" w:color="auto" w:fill="auto"/>
            <w:tcMar>
              <w:top w:w="72" w:type="dxa"/>
              <w:left w:w="115" w:type="dxa"/>
              <w:bottom w:w="72" w:type="dxa"/>
              <w:right w:w="115" w:type="dxa"/>
            </w:tcMar>
            <w:vAlign w:val="center"/>
          </w:tcPr>
          <w:p w14:paraId="79900F68"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lastRenderedPageBreak/>
              <w:t>Question</w:t>
            </w:r>
            <w:r w:rsidRPr="007424E0">
              <w:rPr>
                <w:rFonts w:ascii="Times New Roman" w:hAnsi="Times New Roman" w:cs="Times New Roman"/>
                <w:sz w:val="20"/>
                <w:szCs w:val="20"/>
              </w:rPr>
              <w:t>: Q22_0517_02</w:t>
            </w:r>
          </w:p>
          <w:p w14:paraId="26AC1067" w14:textId="77777777" w:rsidR="00412798" w:rsidRPr="007424E0" w:rsidRDefault="00412798" w:rsidP="000F6D48">
            <w:pPr>
              <w:rPr>
                <w:rFonts w:ascii="Times New Roman" w:eastAsia="Times New Roman"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lastRenderedPageBreak/>
              <w:t xml:space="preserve">We are working on a project for which the local government is providing funds to the local housing authority for all of the costs for the project site acquisition and demolition of the existing building on the project site, and the housing authority will then ground lease the property to the LIHTC partnership at a nominal cost. The housing authority is also a member of the general partner of the LIHTC partnership. </w:t>
            </w:r>
          </w:p>
          <w:p w14:paraId="31FE1091" w14:textId="77777777" w:rsidR="00412798" w:rsidRPr="007424E0" w:rsidRDefault="00412798" w:rsidP="000F6D48">
            <w:pPr>
              <w:pStyle w:val="ListParagraph"/>
              <w:numPr>
                <w:ilvl w:val="0"/>
                <w:numId w:val="47"/>
              </w:numPr>
              <w:rPr>
                <w:rFonts w:ascii="Times New Roman" w:eastAsiaTheme="minorEastAsia" w:hAnsi="Times New Roman" w:cs="Times New Roman"/>
                <w:color w:val="000000" w:themeColor="text1"/>
                <w:sz w:val="20"/>
                <w:szCs w:val="20"/>
              </w:rPr>
            </w:pPr>
            <w:r w:rsidRPr="007424E0">
              <w:rPr>
                <w:rFonts w:ascii="Times New Roman" w:eastAsia="Times New Roman" w:hAnsi="Times New Roman" w:cs="Times New Roman"/>
                <w:color w:val="000000" w:themeColor="text1"/>
                <w:sz w:val="20"/>
                <w:szCs w:val="20"/>
              </w:rPr>
              <w:t xml:space="preserve">Since the LIHTC partnership will not be paying costs for acquisition and demolition, can you please confirm that these acquisition and demolition costs and the associated sources (funds from the local government) should or should not appear on the Sources and Uses tabs in the Core Application? </w:t>
            </w:r>
          </w:p>
          <w:p w14:paraId="7ACE59A6" w14:textId="77777777" w:rsidR="00412798" w:rsidRPr="007424E0" w:rsidRDefault="00412798" w:rsidP="000F6D48">
            <w:pPr>
              <w:pStyle w:val="ListParagraph"/>
              <w:numPr>
                <w:ilvl w:val="0"/>
                <w:numId w:val="47"/>
              </w:numPr>
              <w:rPr>
                <w:rFonts w:ascii="Times New Roman" w:hAnsi="Times New Roman" w:cs="Times New Roman"/>
                <w:color w:val="000000"/>
                <w:sz w:val="20"/>
                <w:szCs w:val="20"/>
              </w:rPr>
            </w:pPr>
            <w:r w:rsidRPr="007424E0">
              <w:rPr>
                <w:rFonts w:ascii="Times New Roman" w:eastAsia="Times New Roman" w:hAnsi="Times New Roman" w:cs="Times New Roman"/>
                <w:color w:val="000000" w:themeColor="text1"/>
                <w:sz w:val="20"/>
                <w:szCs w:val="20"/>
              </w:rPr>
              <w:t>If not, is there somewhere else in the Application that we should describe the local government funds (source) and the acquisition and demolition costs (uses) for the site? We will be claiming these local government funds for points under the Favorable Financing section of the QAP.</w:t>
            </w:r>
          </w:p>
          <w:p w14:paraId="59522060" w14:textId="77777777" w:rsidR="00412798" w:rsidRPr="007424E0" w:rsidRDefault="00412798" w:rsidP="000F6D48">
            <w:pPr>
              <w:contextualSpacing/>
              <w:rPr>
                <w:rFonts w:ascii="Times New Roman" w:hAnsi="Times New Roman" w:cs="Times New Roman"/>
                <w:sz w:val="20"/>
                <w:szCs w:val="20"/>
              </w:rPr>
            </w:pPr>
          </w:p>
          <w:p w14:paraId="3EB0F272"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2551C4A6" w14:textId="77777777" w:rsidR="00412798" w:rsidRPr="007424E0" w:rsidRDefault="00412798" w:rsidP="000F6D48">
            <w:pPr>
              <w:pStyle w:val="ListParagraph"/>
              <w:numPr>
                <w:ilvl w:val="0"/>
                <w:numId w:val="46"/>
              </w:numPr>
              <w:rPr>
                <w:rFonts w:ascii="Times New Roman" w:eastAsiaTheme="minorEastAsia" w:hAnsi="Times New Roman" w:cs="Times New Roman"/>
                <w:sz w:val="20"/>
                <w:szCs w:val="20"/>
              </w:rPr>
            </w:pPr>
            <w:r w:rsidRPr="007424E0">
              <w:rPr>
                <w:rFonts w:ascii="Times New Roman" w:hAnsi="Times New Roman" w:cs="Times New Roman"/>
                <w:sz w:val="20"/>
                <w:szCs w:val="20"/>
              </w:rPr>
              <w:t xml:space="preserve">The nominal cost of the ground lease should be reflected in Part V – Revenues &amp; Expenses Tab (VI. Ground Lease Payment) of the application. </w:t>
            </w:r>
          </w:p>
          <w:p w14:paraId="4CF1E7D9" w14:textId="77777777" w:rsidR="00412798" w:rsidRPr="007424E0" w:rsidRDefault="00412798" w:rsidP="000F6D48">
            <w:pPr>
              <w:pStyle w:val="ListParagraph"/>
              <w:numPr>
                <w:ilvl w:val="0"/>
                <w:numId w:val="46"/>
              </w:numPr>
              <w:rPr>
                <w:rFonts w:ascii="Times New Roman" w:hAnsi="Times New Roman" w:cs="Times New Roman"/>
                <w:sz w:val="20"/>
                <w:szCs w:val="20"/>
              </w:rPr>
            </w:pPr>
            <w:r w:rsidRPr="007424E0">
              <w:rPr>
                <w:rFonts w:ascii="Times New Roman" w:hAnsi="Times New Roman" w:cs="Times New Roman"/>
                <w:sz w:val="20"/>
                <w:szCs w:val="20"/>
              </w:rPr>
              <w:t xml:space="preserve">Only costs paid by the LIHTC partnership should be reflected in the </w:t>
            </w:r>
            <w:r w:rsidRPr="007424E0">
              <w:rPr>
                <w:rFonts w:ascii="Times New Roman" w:hAnsi="Times New Roman" w:cs="Times New Roman"/>
                <w:i/>
                <w:iCs/>
                <w:sz w:val="20"/>
                <w:szCs w:val="20"/>
              </w:rPr>
              <w:t xml:space="preserve">Uses of Funds </w:t>
            </w:r>
            <w:r w:rsidRPr="007424E0">
              <w:rPr>
                <w:rFonts w:ascii="Times New Roman" w:hAnsi="Times New Roman" w:cs="Times New Roman"/>
                <w:sz w:val="20"/>
                <w:szCs w:val="20"/>
              </w:rPr>
              <w:t xml:space="preserve">tab of the application.  </w:t>
            </w:r>
          </w:p>
          <w:p w14:paraId="77585DF9" w14:textId="77777777" w:rsidR="00412798" w:rsidRPr="007424E0" w:rsidRDefault="00412798" w:rsidP="000F6D48">
            <w:pPr>
              <w:pStyle w:val="ListParagraph"/>
              <w:numPr>
                <w:ilvl w:val="0"/>
                <w:numId w:val="46"/>
              </w:numPr>
              <w:rPr>
                <w:rFonts w:ascii="Times New Roman" w:hAnsi="Times New Roman" w:cs="Times New Roman"/>
                <w:sz w:val="20"/>
                <w:szCs w:val="20"/>
              </w:rPr>
            </w:pPr>
            <w:r w:rsidRPr="007424E0">
              <w:rPr>
                <w:rFonts w:ascii="Times New Roman" w:hAnsi="Times New Roman" w:cs="Times New Roman"/>
                <w:sz w:val="20"/>
                <w:szCs w:val="20"/>
              </w:rPr>
              <w:t xml:space="preserve">All necessary information can be provided in the Favorable Financing section of the Excel Core Application (comments section) and application binder (for documentation).  </w:t>
            </w:r>
          </w:p>
        </w:tc>
      </w:tr>
      <w:tr w:rsidR="00412798" w:rsidRPr="007424E0" w14:paraId="02470649" w14:textId="77777777" w:rsidTr="64301FE8">
        <w:trPr>
          <w:jc w:val="center"/>
        </w:trPr>
        <w:tc>
          <w:tcPr>
            <w:tcW w:w="1697" w:type="dxa"/>
            <w:shd w:val="clear" w:color="auto" w:fill="auto"/>
            <w:tcMar>
              <w:top w:w="72" w:type="dxa"/>
              <w:left w:w="115" w:type="dxa"/>
              <w:bottom w:w="72" w:type="dxa"/>
              <w:right w:w="115" w:type="dxa"/>
            </w:tcMar>
            <w:vAlign w:val="center"/>
          </w:tcPr>
          <w:p w14:paraId="4868795D"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5/24/22</w:t>
            </w:r>
          </w:p>
        </w:tc>
        <w:tc>
          <w:tcPr>
            <w:tcW w:w="2663" w:type="dxa"/>
            <w:shd w:val="clear" w:color="auto" w:fill="auto"/>
            <w:tcMar>
              <w:top w:w="72" w:type="dxa"/>
              <w:left w:w="115" w:type="dxa"/>
              <w:bottom w:w="72" w:type="dxa"/>
              <w:right w:w="115" w:type="dxa"/>
            </w:tcMar>
            <w:vAlign w:val="center"/>
          </w:tcPr>
          <w:p w14:paraId="6B04D2C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2.06</w:t>
            </w:r>
          </w:p>
          <w:p w14:paraId="33170F0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16A79D2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Appraisals</w:t>
            </w:r>
          </w:p>
          <w:p w14:paraId="37451B24" w14:textId="77777777" w:rsidR="00412798" w:rsidRPr="007424E0" w:rsidRDefault="00412798" w:rsidP="000F6D48">
            <w:pPr>
              <w:rPr>
                <w:rFonts w:ascii="Times New Roman" w:hAnsi="Times New Roman" w:cs="Times New Roman"/>
                <w:sz w:val="20"/>
                <w:szCs w:val="20"/>
              </w:rPr>
            </w:pPr>
          </w:p>
          <w:p w14:paraId="712F0778" w14:textId="77777777" w:rsidR="00412798" w:rsidRPr="007424E0" w:rsidRDefault="00412798" w:rsidP="000F6D48">
            <w:pPr>
              <w:rPr>
                <w:rFonts w:ascii="Times New Roman" w:hAnsi="Times New Roman" w:cs="Times New Roman"/>
                <w:sz w:val="20"/>
                <w:szCs w:val="20"/>
              </w:rPr>
            </w:pPr>
          </w:p>
          <w:p w14:paraId="343E8D2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(also 2.28 Threshold; DCA Underwriting Policies)</w:t>
            </w:r>
          </w:p>
        </w:tc>
        <w:tc>
          <w:tcPr>
            <w:tcW w:w="9585" w:type="dxa"/>
            <w:shd w:val="clear" w:color="auto" w:fill="auto"/>
            <w:tcMar>
              <w:top w:w="72" w:type="dxa"/>
              <w:left w:w="115" w:type="dxa"/>
              <w:bottom w:w="72" w:type="dxa"/>
              <w:right w:w="115" w:type="dxa"/>
            </w:tcMar>
            <w:vAlign w:val="center"/>
          </w:tcPr>
          <w:p w14:paraId="5EBA66C9" w14:textId="77777777" w:rsidR="00412798" w:rsidRPr="007424E0" w:rsidRDefault="00412798" w:rsidP="000F6D48">
            <w:pPr>
              <w:jc w:val="center"/>
              <w:rPr>
                <w:rFonts w:ascii="Times New Roman" w:hAnsi="Times New Roman" w:cs="Times New Roman"/>
                <w:sz w:val="20"/>
                <w:szCs w:val="20"/>
              </w:rPr>
            </w:pPr>
            <w:r w:rsidRPr="007424E0">
              <w:rPr>
                <w:rStyle w:val="normaltextrun"/>
                <w:rFonts w:ascii="Times New Roman" w:hAnsi="Times New Roman" w:cs="Times New Roman"/>
                <w:b/>
                <w:bCs/>
                <w:i/>
                <w:iCs/>
                <w:color w:val="FF0000"/>
                <w:sz w:val="20"/>
                <w:szCs w:val="20"/>
              </w:rPr>
              <w:t>This Q&amp;A references the 9% Round but includes information relevant to 4%/Bonds applications.</w:t>
            </w:r>
          </w:p>
          <w:p w14:paraId="300627C1" w14:textId="77777777" w:rsidR="00412798" w:rsidRPr="007424E0" w:rsidRDefault="00412798" w:rsidP="000F6D48">
            <w:pPr>
              <w:pStyle w:val="paragraph"/>
              <w:spacing w:before="0" w:beforeAutospacing="0" w:after="0" w:afterAutospacing="0"/>
              <w:textAlignment w:val="baseline"/>
              <w:rPr>
                <w:rStyle w:val="normaltextrun"/>
                <w:b/>
                <w:bCs/>
                <w:sz w:val="20"/>
                <w:szCs w:val="20"/>
              </w:rPr>
            </w:pPr>
          </w:p>
          <w:p w14:paraId="772FDED1"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Q22_0516_01</w:t>
            </w:r>
            <w:r w:rsidRPr="007424E0">
              <w:rPr>
                <w:rStyle w:val="eop"/>
                <w:sz w:val="20"/>
                <w:szCs w:val="20"/>
              </w:rPr>
              <w:t> </w:t>
            </w:r>
          </w:p>
          <w:p w14:paraId="0283F19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t>In the Threshold part of the QAP, in Section VI. Appraisals it states that properties controlled by a related party for a period of five (5) years or less will be valued at the acquisition cost at the time the related party obtained initial site control.  Under the DCA Underwriting Policies section of the QAP it states that Properties which have been in the control of the Applicant or a related party for a period of three (3) years or less from Application Submission will be valued at the cost at the time the related party obtained initial site control. </w:t>
            </w:r>
            <w:r w:rsidRPr="007424E0">
              <w:rPr>
                <w:rStyle w:val="eop"/>
                <w:color w:val="000000"/>
                <w:sz w:val="20"/>
                <w:szCs w:val="20"/>
              </w:rPr>
              <w:t> </w:t>
            </w:r>
          </w:p>
          <w:p w14:paraId="1AD8C6E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color w:val="000000"/>
                <w:sz w:val="20"/>
                <w:szCs w:val="20"/>
              </w:rPr>
              <w:t> </w:t>
            </w:r>
          </w:p>
          <w:p w14:paraId="0953BF4D" w14:textId="77777777" w:rsidR="00412798" w:rsidRPr="007424E0" w:rsidRDefault="00412798" w:rsidP="000F6D48">
            <w:pPr>
              <w:pStyle w:val="paragraph"/>
              <w:numPr>
                <w:ilvl w:val="0"/>
                <w:numId w:val="41"/>
              </w:numPr>
              <w:spacing w:before="0" w:beforeAutospacing="0" w:after="0" w:afterAutospacing="0"/>
              <w:ind w:left="1080" w:firstLine="0"/>
              <w:textAlignment w:val="baseline"/>
              <w:rPr>
                <w:sz w:val="20"/>
                <w:szCs w:val="20"/>
              </w:rPr>
            </w:pPr>
            <w:r w:rsidRPr="007424E0">
              <w:rPr>
                <w:rStyle w:val="normaltextrun"/>
                <w:color w:val="000000"/>
                <w:sz w:val="20"/>
                <w:szCs w:val="20"/>
              </w:rPr>
              <w:t>Can DCA confirm which time period applies to applications for 9% credits only? </w:t>
            </w:r>
            <w:r w:rsidRPr="007424E0">
              <w:rPr>
                <w:rStyle w:val="eop"/>
                <w:color w:val="000000"/>
                <w:sz w:val="20"/>
                <w:szCs w:val="20"/>
              </w:rPr>
              <w:t> </w:t>
            </w:r>
          </w:p>
          <w:p w14:paraId="6CDEB19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color w:val="000000"/>
                <w:sz w:val="20"/>
                <w:szCs w:val="20"/>
              </w:rPr>
              <w:t> </w:t>
            </w:r>
          </w:p>
          <w:p w14:paraId="36506FD6" w14:textId="77777777" w:rsidR="00412798" w:rsidRPr="007424E0" w:rsidRDefault="00412798" w:rsidP="000F6D48">
            <w:pPr>
              <w:pStyle w:val="paragraph"/>
              <w:numPr>
                <w:ilvl w:val="0"/>
                <w:numId w:val="42"/>
              </w:numPr>
              <w:spacing w:before="0" w:beforeAutospacing="0" w:after="0" w:afterAutospacing="0"/>
              <w:ind w:left="1080" w:firstLine="0"/>
              <w:textAlignment w:val="baseline"/>
              <w:rPr>
                <w:sz w:val="20"/>
                <w:szCs w:val="20"/>
              </w:rPr>
            </w:pPr>
            <w:r w:rsidRPr="007424E0">
              <w:rPr>
                <w:rStyle w:val="normaltextrun"/>
                <w:color w:val="000000"/>
                <w:sz w:val="20"/>
                <w:szCs w:val="20"/>
              </w:rPr>
              <w:t>Can DCA also confirm that in the case of a phased development where the Applicant obtained site control for all the phases simultaneously and within the appropriate time frame (3 or 5 years, per the answer to the first question) the Applicant does not require an appraisal if it is simply allocating the current phase's share of the acquisition costs paid to the third party?</w:t>
            </w:r>
            <w:r w:rsidRPr="007424E0">
              <w:rPr>
                <w:rStyle w:val="eop"/>
                <w:color w:val="000000"/>
                <w:sz w:val="20"/>
                <w:szCs w:val="20"/>
              </w:rPr>
              <w:t> </w:t>
            </w:r>
          </w:p>
          <w:p w14:paraId="46DF273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79EFD42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00AAA2FB" w14:textId="77777777" w:rsidR="00412798" w:rsidRPr="007424E0" w:rsidRDefault="00412798" w:rsidP="000F6D48">
            <w:pPr>
              <w:pStyle w:val="paragraph"/>
              <w:numPr>
                <w:ilvl w:val="0"/>
                <w:numId w:val="43"/>
              </w:numPr>
              <w:spacing w:before="0" w:beforeAutospacing="0" w:after="0" w:afterAutospacing="0"/>
              <w:ind w:left="1080" w:firstLine="0"/>
              <w:textAlignment w:val="baseline"/>
              <w:rPr>
                <w:sz w:val="20"/>
                <w:szCs w:val="20"/>
              </w:rPr>
            </w:pPr>
            <w:r w:rsidRPr="007424E0">
              <w:rPr>
                <w:rStyle w:val="normaltextrun"/>
                <w:sz w:val="20"/>
                <w:szCs w:val="20"/>
              </w:rPr>
              <w:lastRenderedPageBreak/>
              <w:t xml:space="preserve">When there is an identity interest between the buyer and seller, DCA will </w:t>
            </w:r>
            <w:r w:rsidRPr="007424E0">
              <w:rPr>
                <w:rStyle w:val="advancedproofingissue"/>
                <w:rFonts w:eastAsiaTheme="majorEastAsia"/>
                <w:sz w:val="20"/>
                <w:szCs w:val="20"/>
              </w:rPr>
              <w:t>carefully scrutinize</w:t>
            </w:r>
            <w:r w:rsidRPr="007424E0">
              <w:rPr>
                <w:rStyle w:val="normaltextrun"/>
                <w:sz w:val="20"/>
                <w:szCs w:val="20"/>
              </w:rPr>
              <w:t xml:space="preserve"> the sales price of land between related parties to ensure that the value has not been inflated.  The provision in </w:t>
            </w:r>
            <w:r w:rsidRPr="007424E0">
              <w:rPr>
                <w:rStyle w:val="normaltextrun"/>
                <w:b/>
                <w:bCs/>
                <w:sz w:val="20"/>
                <w:szCs w:val="20"/>
              </w:rPr>
              <w:t xml:space="preserve">(Threshold) Appraisals, Applicant-Commissioned Appraisals </w:t>
            </w:r>
            <w:r w:rsidRPr="007424E0">
              <w:rPr>
                <w:rStyle w:val="normaltextrun"/>
                <w:sz w:val="20"/>
                <w:szCs w:val="20"/>
              </w:rPr>
              <w:t>applies:</w:t>
            </w:r>
            <w:r w:rsidRPr="007424E0">
              <w:rPr>
                <w:rStyle w:val="normaltextrun"/>
                <w:b/>
                <w:bCs/>
                <w:sz w:val="20"/>
                <w:szCs w:val="20"/>
              </w:rPr>
              <w:t> </w:t>
            </w:r>
            <w:r w:rsidRPr="007424E0">
              <w:rPr>
                <w:rStyle w:val="eop"/>
                <w:sz w:val="20"/>
                <w:szCs w:val="20"/>
              </w:rPr>
              <w:t> </w:t>
            </w:r>
          </w:p>
          <w:p w14:paraId="2D3B1D53" w14:textId="77777777" w:rsidR="00412798" w:rsidRPr="007424E0" w:rsidRDefault="00412798" w:rsidP="000F6D48">
            <w:pPr>
              <w:pStyle w:val="paragraph"/>
              <w:spacing w:before="0" w:beforeAutospacing="0" w:after="0" w:afterAutospacing="0"/>
              <w:ind w:left="1440"/>
              <w:textAlignment w:val="baseline"/>
              <w:rPr>
                <w:sz w:val="20"/>
                <w:szCs w:val="20"/>
              </w:rPr>
            </w:pPr>
            <w:r w:rsidRPr="007424E0">
              <w:rPr>
                <w:rStyle w:val="eop"/>
                <w:sz w:val="20"/>
                <w:szCs w:val="20"/>
              </w:rPr>
              <w:t> </w:t>
            </w:r>
          </w:p>
          <w:p w14:paraId="4FE0BE16" w14:textId="77777777" w:rsidR="00412798" w:rsidRPr="007424E0" w:rsidRDefault="00412798" w:rsidP="000F6D48">
            <w:pPr>
              <w:pStyle w:val="paragraph"/>
              <w:spacing w:before="0" w:beforeAutospacing="0" w:after="0" w:afterAutospacing="0"/>
              <w:ind w:left="1440"/>
              <w:textAlignment w:val="baseline"/>
              <w:rPr>
                <w:sz w:val="20"/>
                <w:szCs w:val="20"/>
              </w:rPr>
            </w:pPr>
            <w:r w:rsidRPr="007424E0">
              <w:rPr>
                <w:rStyle w:val="normaltextrun"/>
                <w:i/>
                <w:iCs/>
                <w:sz w:val="20"/>
                <w:szCs w:val="20"/>
              </w:rPr>
              <w:t>“For purposes of generating tax credits:</w:t>
            </w:r>
            <w:r w:rsidRPr="007424E0">
              <w:rPr>
                <w:rStyle w:val="eop"/>
                <w:sz w:val="20"/>
                <w:szCs w:val="20"/>
              </w:rPr>
              <w:t> </w:t>
            </w:r>
          </w:p>
          <w:p w14:paraId="7BE93B86" w14:textId="77777777" w:rsidR="00412798" w:rsidRPr="007424E0" w:rsidRDefault="00412798" w:rsidP="000F6D48">
            <w:pPr>
              <w:pStyle w:val="paragraph"/>
              <w:numPr>
                <w:ilvl w:val="0"/>
                <w:numId w:val="44"/>
              </w:numPr>
              <w:spacing w:before="0" w:beforeAutospacing="0" w:after="0" w:afterAutospacing="0"/>
              <w:ind w:left="2520" w:firstLine="0"/>
              <w:textAlignment w:val="baseline"/>
              <w:rPr>
                <w:sz w:val="20"/>
                <w:szCs w:val="20"/>
              </w:rPr>
            </w:pPr>
            <w:r w:rsidRPr="007424E0">
              <w:rPr>
                <w:rStyle w:val="normaltextrun"/>
                <w:i/>
                <w:iCs/>
                <w:sz w:val="20"/>
                <w:szCs w:val="20"/>
              </w:rPr>
              <w:t>For 9% Credit Applicants, properties which have been in the control of the Applicant or a related party for a period of five (5) years or less will be valued at the acquisition cost at the time the related party obtained initial site control.”</w:t>
            </w:r>
            <w:r w:rsidRPr="007424E0">
              <w:rPr>
                <w:rStyle w:val="eop"/>
                <w:sz w:val="20"/>
                <w:szCs w:val="20"/>
              </w:rPr>
              <w:t> </w:t>
            </w:r>
          </w:p>
          <w:p w14:paraId="3D9D90FF" w14:textId="77777777" w:rsidR="00412798" w:rsidRPr="007424E0" w:rsidRDefault="00412798" w:rsidP="000F6D48">
            <w:pPr>
              <w:pStyle w:val="paragraph"/>
              <w:numPr>
                <w:ilvl w:val="0"/>
                <w:numId w:val="44"/>
              </w:numPr>
              <w:spacing w:before="0" w:beforeAutospacing="0" w:after="0" w:afterAutospacing="0"/>
              <w:ind w:left="2520" w:firstLine="0"/>
              <w:textAlignment w:val="baseline"/>
              <w:rPr>
                <w:sz w:val="20"/>
                <w:szCs w:val="20"/>
              </w:rPr>
            </w:pPr>
            <w:r w:rsidRPr="007424E0">
              <w:rPr>
                <w:rStyle w:val="normaltextrun"/>
                <w:i/>
                <w:iCs/>
                <w:sz w:val="20"/>
                <w:szCs w:val="20"/>
              </w:rPr>
              <w:t>For 4% Credit Applicants, properties which have been in the control of the Applicant or a related party for a period of three (3) years or less will be valued at the acquisition cost at the time the related party obtained initial site control.</w:t>
            </w:r>
            <w:r w:rsidRPr="007424E0">
              <w:rPr>
                <w:rStyle w:val="eop"/>
                <w:sz w:val="20"/>
                <w:szCs w:val="20"/>
              </w:rPr>
              <w:t> </w:t>
            </w:r>
          </w:p>
          <w:p w14:paraId="60D0504A" w14:textId="77777777" w:rsidR="00412798" w:rsidRPr="007424E0" w:rsidRDefault="00412798" w:rsidP="000F6D48">
            <w:pPr>
              <w:pStyle w:val="paragraph"/>
              <w:spacing w:before="0" w:beforeAutospacing="0" w:after="0" w:afterAutospacing="0"/>
              <w:ind w:left="1440"/>
              <w:textAlignment w:val="baseline"/>
              <w:rPr>
                <w:sz w:val="20"/>
                <w:szCs w:val="20"/>
              </w:rPr>
            </w:pPr>
            <w:r w:rsidRPr="007424E0">
              <w:rPr>
                <w:rStyle w:val="eop"/>
                <w:sz w:val="20"/>
                <w:szCs w:val="20"/>
              </w:rPr>
              <w:t> </w:t>
            </w:r>
          </w:p>
          <w:p w14:paraId="32A515ED" w14:textId="77777777" w:rsidR="00412798" w:rsidRPr="007424E0" w:rsidRDefault="00412798" w:rsidP="000F6D48">
            <w:pPr>
              <w:pStyle w:val="paragraph"/>
              <w:numPr>
                <w:ilvl w:val="0"/>
                <w:numId w:val="45"/>
              </w:numPr>
              <w:spacing w:before="0" w:beforeAutospacing="0" w:after="0" w:afterAutospacing="0"/>
              <w:ind w:left="1080" w:firstLine="0"/>
              <w:textAlignment w:val="baseline"/>
              <w:rPr>
                <w:sz w:val="20"/>
                <w:szCs w:val="20"/>
              </w:rPr>
            </w:pPr>
            <w:r w:rsidRPr="007424E0">
              <w:rPr>
                <w:rStyle w:val="normaltextrun"/>
                <w:sz w:val="20"/>
                <w:szCs w:val="20"/>
              </w:rPr>
              <w:t xml:space="preserve">Please see DCA’s response to question </w:t>
            </w:r>
            <w:r w:rsidRPr="007424E0">
              <w:rPr>
                <w:rStyle w:val="normaltextrun"/>
                <w:b/>
                <w:bCs/>
                <w:sz w:val="20"/>
                <w:szCs w:val="20"/>
              </w:rPr>
              <w:t>Q22_0404_01</w:t>
            </w:r>
            <w:r w:rsidRPr="007424E0">
              <w:rPr>
                <w:rStyle w:val="normaltextrun"/>
                <w:sz w:val="20"/>
                <w:szCs w:val="20"/>
              </w:rPr>
              <w:t xml:space="preserve"> posted to the </w:t>
            </w:r>
            <w:r w:rsidRPr="007424E0">
              <w:rPr>
                <w:rStyle w:val="normaltextrun"/>
                <w:i/>
                <w:iCs/>
                <w:sz w:val="20"/>
                <w:szCs w:val="20"/>
              </w:rPr>
              <w:t>2022 Questions and Answers</w:t>
            </w:r>
            <w:r w:rsidRPr="007424E0">
              <w:rPr>
                <w:rStyle w:val="normaltextrun"/>
                <w:sz w:val="20"/>
                <w:szCs w:val="20"/>
              </w:rPr>
              <w:t xml:space="preserve"> document on 4/14/22.  An appraisal is not required for phased developments that are allocating the current phase’s share (within 5 years of acquisition) of the acquisition costs paid to the third party.  The site control minimum documentation would be required.</w:t>
            </w:r>
          </w:p>
        </w:tc>
      </w:tr>
      <w:tr w:rsidR="00412798" w:rsidRPr="007424E0" w14:paraId="2A54F4A4" w14:textId="77777777" w:rsidTr="64301FE8">
        <w:trPr>
          <w:jc w:val="center"/>
        </w:trPr>
        <w:tc>
          <w:tcPr>
            <w:tcW w:w="1697" w:type="dxa"/>
            <w:shd w:val="clear" w:color="auto" w:fill="auto"/>
            <w:tcMar>
              <w:top w:w="72" w:type="dxa"/>
              <w:left w:w="115" w:type="dxa"/>
              <w:bottom w:w="72" w:type="dxa"/>
              <w:right w:w="115" w:type="dxa"/>
            </w:tcMar>
            <w:vAlign w:val="center"/>
          </w:tcPr>
          <w:p w14:paraId="79C8C22F"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5/24/22</w:t>
            </w:r>
          </w:p>
        </w:tc>
        <w:tc>
          <w:tcPr>
            <w:tcW w:w="2663" w:type="dxa"/>
            <w:shd w:val="clear" w:color="auto" w:fill="auto"/>
            <w:tcMar>
              <w:top w:w="72" w:type="dxa"/>
              <w:left w:w="115" w:type="dxa"/>
              <w:bottom w:w="72" w:type="dxa"/>
              <w:right w:w="115" w:type="dxa"/>
            </w:tcMar>
            <w:vAlign w:val="center"/>
          </w:tcPr>
          <w:p w14:paraId="25CE709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2.09</w:t>
            </w:r>
          </w:p>
          <w:p w14:paraId="7BC2812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6FE1EB1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Site Access</w:t>
            </w:r>
          </w:p>
        </w:tc>
        <w:tc>
          <w:tcPr>
            <w:tcW w:w="9585" w:type="dxa"/>
            <w:shd w:val="clear" w:color="auto" w:fill="auto"/>
            <w:tcMar>
              <w:top w:w="72" w:type="dxa"/>
              <w:left w:w="115" w:type="dxa"/>
              <w:bottom w:w="72" w:type="dxa"/>
              <w:right w:w="115" w:type="dxa"/>
            </w:tcMar>
            <w:vAlign w:val="center"/>
          </w:tcPr>
          <w:p w14:paraId="4904D27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Q22_0518_02 </w:t>
            </w:r>
          </w:p>
          <w:p w14:paraId="590AAB2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Is the </w:t>
            </w:r>
            <w:r w:rsidRPr="007424E0">
              <w:rPr>
                <w:rFonts w:ascii="Times New Roman" w:eastAsia="Times New Roman" w:hAnsi="Times New Roman" w:cs="Times New Roman"/>
                <w:b/>
                <w:bCs/>
                <w:color w:val="000000"/>
                <w:sz w:val="20"/>
                <w:szCs w:val="20"/>
              </w:rPr>
              <w:t xml:space="preserve">(Threshold) Site Access </w:t>
            </w:r>
            <w:r w:rsidRPr="007424E0">
              <w:rPr>
                <w:rFonts w:ascii="Times New Roman" w:eastAsia="Times New Roman" w:hAnsi="Times New Roman" w:cs="Times New Roman"/>
                <w:color w:val="000000"/>
                <w:sz w:val="20"/>
                <w:szCs w:val="20"/>
              </w:rPr>
              <w:t>section applicable to rehabs? </w:t>
            </w:r>
          </w:p>
          <w:p w14:paraId="09547FB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09B437B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1CA561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Yes, per the QAP: “All sites proposed for development must provide a specified entrance that is legally accessible by paved roads.” </w:t>
            </w:r>
          </w:p>
        </w:tc>
      </w:tr>
      <w:tr w:rsidR="00412798" w:rsidRPr="007424E0" w14:paraId="668F2B48" w14:textId="77777777" w:rsidTr="64301FE8">
        <w:trPr>
          <w:jc w:val="center"/>
        </w:trPr>
        <w:tc>
          <w:tcPr>
            <w:tcW w:w="1697" w:type="dxa"/>
            <w:shd w:val="clear" w:color="auto" w:fill="auto"/>
            <w:tcMar>
              <w:top w:w="72" w:type="dxa"/>
              <w:left w:w="115" w:type="dxa"/>
              <w:bottom w:w="72" w:type="dxa"/>
              <w:right w:w="115" w:type="dxa"/>
            </w:tcMar>
            <w:vAlign w:val="center"/>
          </w:tcPr>
          <w:p w14:paraId="1839F3F9"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5/24/22</w:t>
            </w:r>
          </w:p>
        </w:tc>
        <w:tc>
          <w:tcPr>
            <w:tcW w:w="2663" w:type="dxa"/>
            <w:shd w:val="clear" w:color="auto" w:fill="auto"/>
            <w:tcMar>
              <w:top w:w="72" w:type="dxa"/>
              <w:left w:w="115" w:type="dxa"/>
              <w:bottom w:w="72" w:type="dxa"/>
              <w:right w:w="115" w:type="dxa"/>
            </w:tcMar>
            <w:vAlign w:val="center"/>
          </w:tcPr>
          <w:p w14:paraId="02515A5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3.02</w:t>
            </w:r>
          </w:p>
          <w:p w14:paraId="0604A9D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7BF50B0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Applicability of Scoring Criteria</w:t>
            </w:r>
          </w:p>
        </w:tc>
        <w:tc>
          <w:tcPr>
            <w:tcW w:w="9585" w:type="dxa"/>
            <w:shd w:val="clear" w:color="auto" w:fill="auto"/>
            <w:tcMar>
              <w:top w:w="72" w:type="dxa"/>
              <w:left w:w="115" w:type="dxa"/>
              <w:bottom w:w="72" w:type="dxa"/>
              <w:right w:w="115" w:type="dxa"/>
            </w:tcMar>
            <w:vAlign w:val="center"/>
          </w:tcPr>
          <w:p w14:paraId="02B40B0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Q22_0520_01 </w:t>
            </w:r>
          </w:p>
          <w:p w14:paraId="50180F3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The table in </w:t>
            </w:r>
            <w:r w:rsidRPr="007424E0">
              <w:rPr>
                <w:rFonts w:ascii="Times New Roman" w:eastAsia="Times New Roman" w:hAnsi="Times New Roman" w:cs="Times New Roman"/>
                <w:b/>
                <w:bCs/>
                <w:color w:val="000000"/>
                <w:sz w:val="20"/>
                <w:szCs w:val="20"/>
              </w:rPr>
              <w:t>(Scoring) Applicability of Scoring Criteria</w:t>
            </w:r>
            <w:r w:rsidRPr="007424E0">
              <w:rPr>
                <w:rFonts w:ascii="Times New Roman" w:eastAsia="Times New Roman" w:hAnsi="Times New Roman" w:cs="Times New Roman"/>
                <w:color w:val="000000"/>
                <w:sz w:val="20"/>
                <w:szCs w:val="20"/>
              </w:rPr>
              <w:t xml:space="preserve"> shows that preservation projects can't receive any points under sections IV-XIV, even though that is not explicitly stated under each section. Will you please confirm that this is correct and that it also means that no items on the checklist in these sections are required for preservations? </w:t>
            </w:r>
          </w:p>
          <w:p w14:paraId="460BAA1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4889E6D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D688FF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(Scoring Criteria) Applicability of Scoring Criteria</w:t>
            </w:r>
            <w:r w:rsidRPr="007424E0">
              <w:rPr>
                <w:rFonts w:ascii="Times New Roman" w:eastAsia="Times New Roman" w:hAnsi="Times New Roman" w:cs="Times New Roman"/>
                <w:sz w:val="20"/>
                <w:szCs w:val="20"/>
              </w:rPr>
              <w:t xml:space="preserve"> states “Application evaluation will comprise separate competitive rankings based on scoring criteria specific to each of the following,” one separation being “New Supply or Preservation.” </w:t>
            </w:r>
          </w:p>
          <w:p w14:paraId="5F676E0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1DF54CC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Applications are only eligible to receive points in Scoring Criteria applicable to their designated competitive ranking (e.g., New Supply, HUD Preservation Set Aside, etc.), as indicated in the Applicability of Scoring Criteria table. </w:t>
            </w:r>
            <w:r w:rsidRPr="007424E0">
              <w:rPr>
                <w:rFonts w:ascii="Times New Roman" w:eastAsia="Times New Roman" w:hAnsi="Times New Roman" w:cs="Times New Roman"/>
                <w:sz w:val="20"/>
                <w:szCs w:val="20"/>
              </w:rPr>
              <w:lastRenderedPageBreak/>
              <w:t xml:space="preserve">Applicants are not required to complete a form or fulfill Minimum Documentation requirements for sections that do not apply to the competition the application is applying under. </w:t>
            </w:r>
          </w:p>
        </w:tc>
      </w:tr>
      <w:tr w:rsidR="00412798" w:rsidRPr="007424E0" w14:paraId="1CD74B6B" w14:textId="77777777" w:rsidTr="64301FE8">
        <w:trPr>
          <w:jc w:val="center"/>
        </w:trPr>
        <w:tc>
          <w:tcPr>
            <w:tcW w:w="1697" w:type="dxa"/>
            <w:shd w:val="clear" w:color="auto" w:fill="auto"/>
            <w:tcMar>
              <w:top w:w="72" w:type="dxa"/>
              <w:left w:w="115" w:type="dxa"/>
              <w:bottom w:w="72" w:type="dxa"/>
              <w:right w:w="115" w:type="dxa"/>
            </w:tcMar>
            <w:vAlign w:val="center"/>
          </w:tcPr>
          <w:p w14:paraId="1D7C63D1"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5/24/22</w:t>
            </w:r>
          </w:p>
        </w:tc>
        <w:tc>
          <w:tcPr>
            <w:tcW w:w="2663" w:type="dxa"/>
            <w:shd w:val="clear" w:color="auto" w:fill="auto"/>
            <w:tcMar>
              <w:top w:w="72" w:type="dxa"/>
              <w:left w:w="115" w:type="dxa"/>
              <w:bottom w:w="72" w:type="dxa"/>
              <w:right w:w="115" w:type="dxa"/>
            </w:tcMar>
            <w:vAlign w:val="center"/>
          </w:tcPr>
          <w:p w14:paraId="480E09A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3.10</w:t>
            </w:r>
          </w:p>
          <w:p w14:paraId="5D95963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4EAFFB6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Stable Communities</w:t>
            </w:r>
          </w:p>
        </w:tc>
        <w:tc>
          <w:tcPr>
            <w:tcW w:w="9585" w:type="dxa"/>
            <w:shd w:val="clear" w:color="auto" w:fill="auto"/>
            <w:tcMar>
              <w:top w:w="72" w:type="dxa"/>
              <w:left w:w="115" w:type="dxa"/>
              <w:bottom w:w="72" w:type="dxa"/>
              <w:right w:w="115" w:type="dxa"/>
            </w:tcMar>
            <w:vAlign w:val="center"/>
          </w:tcPr>
          <w:p w14:paraId="504C158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Q22_0518_02 </w:t>
            </w:r>
          </w:p>
          <w:p w14:paraId="11E1B81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How can we confirm the Life Expectancy Rate for our 2020 Census Tract? </w:t>
            </w:r>
          </w:p>
          <w:p w14:paraId="1B6086C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12039A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2C503A3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There is no Life Expectancy data available for 2020 Census Tracts. The Life Expectancy data has not been updated by the CDC and is therefore based on 2010 Census Tracts. Applicants may claim points based on the data for their site’s 2010 Census Tract. </w:t>
            </w:r>
          </w:p>
        </w:tc>
      </w:tr>
      <w:tr w:rsidR="00412798" w:rsidRPr="007424E0" w14:paraId="06E21C0D" w14:textId="77777777" w:rsidTr="64301FE8">
        <w:trPr>
          <w:jc w:val="center"/>
        </w:trPr>
        <w:tc>
          <w:tcPr>
            <w:tcW w:w="1697" w:type="dxa"/>
            <w:shd w:val="clear" w:color="auto" w:fill="auto"/>
            <w:tcMar>
              <w:top w:w="72" w:type="dxa"/>
              <w:left w:w="115" w:type="dxa"/>
              <w:bottom w:w="72" w:type="dxa"/>
              <w:right w:w="115" w:type="dxa"/>
            </w:tcMar>
            <w:vAlign w:val="center"/>
          </w:tcPr>
          <w:p w14:paraId="0A751B1F"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5/19/22</w:t>
            </w:r>
          </w:p>
        </w:tc>
        <w:tc>
          <w:tcPr>
            <w:tcW w:w="2663" w:type="dxa"/>
            <w:shd w:val="clear" w:color="auto" w:fill="auto"/>
            <w:tcMar>
              <w:top w:w="72" w:type="dxa"/>
              <w:left w:w="115" w:type="dxa"/>
              <w:bottom w:w="72" w:type="dxa"/>
              <w:right w:w="115" w:type="dxa"/>
            </w:tcMar>
            <w:vAlign w:val="center"/>
          </w:tcPr>
          <w:p w14:paraId="499E202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2.02</w:t>
            </w:r>
          </w:p>
          <w:p w14:paraId="5244FC6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3B93825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Project Feasibility</w:t>
            </w:r>
          </w:p>
        </w:tc>
        <w:tc>
          <w:tcPr>
            <w:tcW w:w="9585" w:type="dxa"/>
            <w:shd w:val="clear" w:color="auto" w:fill="auto"/>
            <w:tcMar>
              <w:top w:w="72" w:type="dxa"/>
              <w:left w:w="115" w:type="dxa"/>
              <w:bottom w:w="72" w:type="dxa"/>
              <w:right w:w="115" w:type="dxa"/>
            </w:tcMar>
            <w:vAlign w:val="center"/>
          </w:tcPr>
          <w:p w14:paraId="24FB05D0" w14:textId="77777777" w:rsidR="00412798" w:rsidRPr="007424E0" w:rsidRDefault="00412798" w:rsidP="000F6D48">
            <w:pPr>
              <w:pStyle w:val="paragraph"/>
              <w:spacing w:before="0" w:beforeAutospacing="0" w:after="0" w:afterAutospacing="0"/>
              <w:jc w:val="center"/>
              <w:textAlignment w:val="baseline"/>
              <w:rPr>
                <w:rStyle w:val="normaltextrun"/>
                <w:b/>
                <w:bCs/>
                <w:i/>
                <w:iCs/>
                <w:color w:val="FF0000"/>
                <w:sz w:val="20"/>
                <w:szCs w:val="20"/>
              </w:rPr>
            </w:pPr>
            <w:r w:rsidRPr="007424E0">
              <w:rPr>
                <w:rStyle w:val="normaltextrun"/>
                <w:b/>
                <w:bCs/>
                <w:i/>
                <w:iCs/>
                <w:color w:val="FF0000"/>
                <w:sz w:val="20"/>
                <w:szCs w:val="20"/>
              </w:rPr>
              <w:t xml:space="preserve">This Q&amp;A references the 9% Round but includes information relevant to 4%/Bonds applications.  </w:t>
            </w:r>
          </w:p>
          <w:p w14:paraId="4D1AD2B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br/>
              <w:t>Question</w:t>
            </w:r>
            <w:r w:rsidRPr="007424E0">
              <w:rPr>
                <w:rStyle w:val="normaltextrun"/>
                <w:sz w:val="20"/>
                <w:szCs w:val="20"/>
              </w:rPr>
              <w:t>: Q0728_01</w:t>
            </w:r>
            <w:r w:rsidRPr="007424E0">
              <w:rPr>
                <w:rStyle w:val="eop"/>
                <w:sz w:val="20"/>
                <w:szCs w:val="20"/>
              </w:rPr>
              <w:t>  </w:t>
            </w:r>
          </w:p>
          <w:p w14:paraId="1913256E"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We perform utility allowance studies for clients and were recently asked if we’ve been “approved" by DCA to provide this service, for purposes of </w:t>
            </w:r>
            <w:r w:rsidRPr="007424E0">
              <w:rPr>
                <w:rStyle w:val="normaltextrun"/>
                <w:b/>
                <w:bCs/>
                <w:sz w:val="20"/>
                <w:szCs w:val="20"/>
              </w:rPr>
              <w:t>(Threshold Criteria) Project Feasibility</w:t>
            </w:r>
            <w:r w:rsidRPr="007424E0">
              <w:rPr>
                <w:rStyle w:val="normaltextrun"/>
                <w:sz w:val="20"/>
                <w:szCs w:val="20"/>
              </w:rPr>
              <w:t xml:space="preserve">, subsection </w:t>
            </w:r>
            <w:r w:rsidRPr="007424E0">
              <w:rPr>
                <w:rStyle w:val="normaltextrun"/>
                <w:b/>
                <w:bCs/>
                <w:sz w:val="20"/>
                <w:szCs w:val="20"/>
              </w:rPr>
              <w:t>Operating Utility Allowance (UA)</w:t>
            </w:r>
            <w:r w:rsidRPr="007424E0">
              <w:rPr>
                <w:rStyle w:val="normaltextrun"/>
                <w:sz w:val="20"/>
                <w:szCs w:val="20"/>
              </w:rPr>
              <w:t>. How can I verify this?</w:t>
            </w:r>
            <w:r w:rsidRPr="007424E0">
              <w:rPr>
                <w:rStyle w:val="eop"/>
                <w:sz w:val="20"/>
                <w:szCs w:val="20"/>
              </w:rPr>
              <w:t> </w:t>
            </w:r>
          </w:p>
          <w:p w14:paraId="0E8FAA1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387D89A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431790B5"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The below excerpts are from DCA’s “Utility Allowance Methodology Change Requests” policy (</w:t>
            </w:r>
            <w:hyperlink r:id="rId35" w:tgtFrame="_blank" w:history="1">
              <w:r w:rsidRPr="007424E0">
                <w:rPr>
                  <w:rStyle w:val="normaltextrun"/>
                  <w:color w:val="0563C1"/>
                  <w:sz w:val="20"/>
                  <w:szCs w:val="20"/>
                  <w:u w:val="single"/>
                </w:rPr>
                <w:t>click here</w:t>
              </w:r>
            </w:hyperlink>
            <w:r w:rsidRPr="007424E0">
              <w:rPr>
                <w:rStyle w:val="normaltextrun"/>
                <w:sz w:val="20"/>
                <w:szCs w:val="20"/>
              </w:rPr>
              <w:t>). The below-referenced documents can be submitted with the full application for purposes of the Competitive Round and do not require pre-approval.  </w:t>
            </w:r>
            <w:r w:rsidRPr="007424E0">
              <w:rPr>
                <w:rStyle w:val="eop"/>
                <w:sz w:val="20"/>
                <w:szCs w:val="20"/>
              </w:rPr>
              <w:t> </w:t>
            </w:r>
          </w:p>
          <w:p w14:paraId="7A1747F1"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6A2FE0BC" w14:textId="77777777" w:rsidR="00412798" w:rsidRPr="007424E0" w:rsidRDefault="00412798" w:rsidP="000F6D48">
            <w:pPr>
              <w:pStyle w:val="paragraph"/>
              <w:spacing w:before="0" w:beforeAutospacing="0" w:after="0" w:afterAutospacing="0"/>
              <w:ind w:left="720"/>
              <w:textAlignment w:val="baseline"/>
              <w:rPr>
                <w:sz w:val="20"/>
                <w:szCs w:val="20"/>
              </w:rPr>
            </w:pPr>
            <w:r w:rsidRPr="007424E0">
              <w:rPr>
                <w:rStyle w:val="normaltextrun"/>
                <w:i/>
                <w:iCs/>
                <w:sz w:val="20"/>
                <w:szCs w:val="20"/>
              </w:rPr>
              <w:t xml:space="preserve">“DCA may approve a UA based on an energy and water and sewage consumption and analysis model (ECM) prepared by a properly licensed engineer, or qualified professional. The owner and qualified professional must also certify that the model complies with all requirements and </w:t>
            </w:r>
            <w:r w:rsidRPr="007424E0">
              <w:rPr>
                <w:rStyle w:val="advancedproofingissue"/>
                <w:i/>
                <w:iCs/>
                <w:sz w:val="20"/>
                <w:szCs w:val="20"/>
              </w:rPr>
              <w:t>takes into account</w:t>
            </w:r>
            <w:r w:rsidRPr="007424E0">
              <w:rPr>
                <w:rStyle w:val="normaltextrun"/>
                <w:i/>
                <w:iCs/>
                <w:sz w:val="20"/>
                <w:szCs w:val="20"/>
              </w:rPr>
              <w:t xml:space="preserve"> specific factors including, but not limited to, unit size, building orientation, design and materials, mechanical systems, appliances, and characteristics of the building location.</w:t>
            </w:r>
            <w:r w:rsidRPr="007424E0">
              <w:rPr>
                <w:rStyle w:val="eop"/>
                <w:sz w:val="20"/>
                <w:szCs w:val="20"/>
              </w:rPr>
              <w:t> </w:t>
            </w:r>
          </w:p>
          <w:p w14:paraId="49CD739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69D9871B" w14:textId="77777777" w:rsidR="00412798" w:rsidRPr="007424E0" w:rsidRDefault="00412798" w:rsidP="000F6D48">
            <w:pPr>
              <w:pStyle w:val="paragraph"/>
              <w:spacing w:before="0" w:beforeAutospacing="0" w:after="0" w:afterAutospacing="0"/>
              <w:ind w:left="720"/>
              <w:textAlignment w:val="baseline"/>
              <w:rPr>
                <w:sz w:val="20"/>
                <w:szCs w:val="20"/>
              </w:rPr>
            </w:pPr>
            <w:r w:rsidRPr="007424E0">
              <w:rPr>
                <w:rStyle w:val="normaltextrun"/>
                <w:i/>
                <w:iCs/>
                <w:sz w:val="20"/>
                <w:szCs w:val="20"/>
              </w:rPr>
              <w:t>If the ECM report is completed by a qualified professional that is not a properly licensed engineer, the request must include the qualifications and experience of the qualified professional in providing energy consumption utility allowance reports for a minimum of 2 years.</w:t>
            </w:r>
            <w:r w:rsidRPr="007424E0">
              <w:rPr>
                <w:rStyle w:val="eop"/>
                <w:sz w:val="20"/>
                <w:szCs w:val="20"/>
              </w:rPr>
              <w:t> </w:t>
            </w:r>
          </w:p>
          <w:p w14:paraId="592109AC" w14:textId="77777777" w:rsidR="00412798" w:rsidRPr="007424E0" w:rsidRDefault="00412798" w:rsidP="000F6D48">
            <w:pPr>
              <w:pStyle w:val="paragraph"/>
              <w:spacing w:before="0" w:beforeAutospacing="0" w:after="0" w:afterAutospacing="0"/>
              <w:ind w:left="720"/>
              <w:textAlignment w:val="baseline"/>
              <w:rPr>
                <w:sz w:val="20"/>
                <w:szCs w:val="20"/>
              </w:rPr>
            </w:pPr>
            <w:r w:rsidRPr="007424E0">
              <w:rPr>
                <w:rStyle w:val="eop"/>
                <w:sz w:val="20"/>
                <w:szCs w:val="20"/>
              </w:rPr>
              <w:t> </w:t>
            </w:r>
          </w:p>
          <w:p w14:paraId="637CF6C8" w14:textId="77777777" w:rsidR="00412798" w:rsidRPr="007424E0" w:rsidRDefault="00412798" w:rsidP="000F6D48">
            <w:pPr>
              <w:pStyle w:val="paragraph"/>
              <w:spacing w:before="0" w:beforeAutospacing="0" w:after="0" w:afterAutospacing="0"/>
              <w:ind w:left="720"/>
              <w:textAlignment w:val="baseline"/>
              <w:rPr>
                <w:sz w:val="20"/>
                <w:szCs w:val="20"/>
              </w:rPr>
            </w:pPr>
            <w:r w:rsidRPr="007424E0">
              <w:rPr>
                <w:rStyle w:val="normaltextrun"/>
                <w:i/>
                <w:iCs/>
                <w:sz w:val="20"/>
                <w:szCs w:val="20"/>
              </w:rPr>
              <w:t>Required Documents for Unlicensed Engineer or Other Qualified Professional</w:t>
            </w:r>
            <w:r w:rsidRPr="007424E0">
              <w:rPr>
                <w:rStyle w:val="eop"/>
                <w:sz w:val="20"/>
                <w:szCs w:val="20"/>
              </w:rPr>
              <w:t> </w:t>
            </w:r>
          </w:p>
          <w:p w14:paraId="4C1434B1" w14:textId="77777777" w:rsidR="00412798" w:rsidRPr="007424E0" w:rsidRDefault="00412798" w:rsidP="000F6D48">
            <w:pPr>
              <w:pStyle w:val="paragraph"/>
              <w:spacing w:before="0" w:beforeAutospacing="0" w:after="0" w:afterAutospacing="0"/>
              <w:ind w:left="720"/>
              <w:textAlignment w:val="baseline"/>
              <w:rPr>
                <w:sz w:val="20"/>
                <w:szCs w:val="20"/>
              </w:rPr>
            </w:pPr>
            <w:r w:rsidRPr="007424E0">
              <w:rPr>
                <w:rStyle w:val="normaltextrun"/>
                <w:i/>
                <w:iCs/>
                <w:sz w:val="20"/>
                <w:szCs w:val="20"/>
              </w:rPr>
              <w:t xml:space="preserve">Additional Information: </w:t>
            </w:r>
            <w:r w:rsidRPr="007424E0">
              <w:rPr>
                <w:rStyle w:val="scxw2242163"/>
                <w:sz w:val="20"/>
                <w:szCs w:val="20"/>
              </w:rPr>
              <w:t> </w:t>
            </w:r>
            <w:r w:rsidRPr="007424E0">
              <w:rPr>
                <w:sz w:val="20"/>
                <w:szCs w:val="20"/>
              </w:rPr>
              <w:br/>
            </w:r>
            <w:r w:rsidRPr="007424E0">
              <w:rPr>
                <w:rStyle w:val="eop"/>
                <w:sz w:val="20"/>
                <w:szCs w:val="20"/>
              </w:rPr>
              <w:t> </w:t>
            </w:r>
          </w:p>
          <w:p w14:paraId="3E364291" w14:textId="77777777" w:rsidR="00412798" w:rsidRPr="007424E0" w:rsidRDefault="00412798" w:rsidP="000F6D48">
            <w:pPr>
              <w:pStyle w:val="paragraph"/>
              <w:numPr>
                <w:ilvl w:val="0"/>
                <w:numId w:val="38"/>
              </w:numPr>
              <w:spacing w:before="0" w:beforeAutospacing="0" w:after="0" w:afterAutospacing="0"/>
              <w:ind w:left="1800" w:firstLine="0"/>
              <w:textAlignment w:val="baseline"/>
              <w:rPr>
                <w:sz w:val="20"/>
                <w:szCs w:val="20"/>
              </w:rPr>
            </w:pPr>
            <w:r w:rsidRPr="007424E0">
              <w:rPr>
                <w:rStyle w:val="normaltextrun"/>
                <w:i/>
                <w:iCs/>
                <w:sz w:val="20"/>
                <w:szCs w:val="20"/>
              </w:rPr>
              <w:lastRenderedPageBreak/>
              <w:t>Description of the firm’s or energy professional’s experience compiling energy consumption models for use in residential multifamily properties for a minimum of 2 years</w:t>
            </w:r>
            <w:r w:rsidRPr="007424E0">
              <w:rPr>
                <w:rStyle w:val="eop"/>
                <w:sz w:val="20"/>
                <w:szCs w:val="20"/>
              </w:rPr>
              <w:t> </w:t>
            </w:r>
          </w:p>
          <w:p w14:paraId="42A48D77" w14:textId="77777777" w:rsidR="00412798" w:rsidRPr="007424E0" w:rsidRDefault="00412798" w:rsidP="000F6D48">
            <w:pPr>
              <w:pStyle w:val="paragraph"/>
              <w:numPr>
                <w:ilvl w:val="0"/>
                <w:numId w:val="39"/>
              </w:numPr>
              <w:spacing w:before="0" w:beforeAutospacing="0" w:after="0" w:afterAutospacing="0"/>
              <w:ind w:left="1800" w:firstLine="0"/>
              <w:textAlignment w:val="baseline"/>
              <w:rPr>
                <w:sz w:val="20"/>
                <w:szCs w:val="20"/>
              </w:rPr>
            </w:pPr>
            <w:r w:rsidRPr="007424E0">
              <w:rPr>
                <w:rStyle w:val="normaltextrun"/>
                <w:i/>
                <w:iCs/>
                <w:sz w:val="20"/>
                <w:szCs w:val="20"/>
              </w:rPr>
              <w:t>Resumes of staff responsible for completing the utility report</w:t>
            </w:r>
            <w:r w:rsidRPr="007424E0">
              <w:rPr>
                <w:rStyle w:val="eop"/>
                <w:sz w:val="20"/>
                <w:szCs w:val="20"/>
              </w:rPr>
              <w:t> </w:t>
            </w:r>
          </w:p>
          <w:p w14:paraId="3DD3F170" w14:textId="77777777" w:rsidR="00412798" w:rsidRPr="007424E0" w:rsidRDefault="00412798" w:rsidP="000F6D48">
            <w:pPr>
              <w:pStyle w:val="paragraph"/>
              <w:numPr>
                <w:ilvl w:val="0"/>
                <w:numId w:val="40"/>
              </w:numPr>
              <w:spacing w:before="0" w:beforeAutospacing="0" w:after="0" w:afterAutospacing="0"/>
              <w:ind w:left="1800" w:firstLine="0"/>
              <w:textAlignment w:val="baseline"/>
              <w:rPr>
                <w:rStyle w:val="normaltextrun"/>
                <w:sz w:val="20"/>
                <w:szCs w:val="20"/>
              </w:rPr>
            </w:pPr>
            <w:r w:rsidRPr="007424E0">
              <w:rPr>
                <w:rStyle w:val="normaltextrun"/>
                <w:i/>
                <w:iCs/>
                <w:sz w:val="20"/>
                <w:szCs w:val="20"/>
              </w:rPr>
              <w:t>Certifications and licenses relevant to the development and implementation of an energy consumption model (</w:t>
            </w:r>
            <w:r w:rsidRPr="007424E0">
              <w:rPr>
                <w:rStyle w:val="contextualspellingandgrammarerror"/>
                <w:i/>
                <w:iCs/>
                <w:sz w:val="20"/>
                <w:szCs w:val="20"/>
              </w:rPr>
              <w:t>e.g.</w:t>
            </w:r>
            <w:r w:rsidRPr="007424E0">
              <w:rPr>
                <w:rStyle w:val="normaltextrun"/>
                <w:i/>
                <w:iCs/>
                <w:sz w:val="20"/>
                <w:szCs w:val="20"/>
              </w:rPr>
              <w:t xml:space="preserve"> Professional Architect license, Certified Energy Manager or similar designation)</w:t>
            </w:r>
            <w:r w:rsidRPr="007424E0">
              <w:rPr>
                <w:rStyle w:val="eop"/>
                <w:sz w:val="20"/>
                <w:szCs w:val="20"/>
              </w:rPr>
              <w:t> </w:t>
            </w:r>
          </w:p>
        </w:tc>
      </w:tr>
      <w:tr w:rsidR="00412798" w:rsidRPr="007424E0" w14:paraId="2ECB1556" w14:textId="77777777" w:rsidTr="64301FE8">
        <w:trPr>
          <w:jc w:val="center"/>
        </w:trPr>
        <w:tc>
          <w:tcPr>
            <w:tcW w:w="1697" w:type="dxa"/>
            <w:shd w:val="clear" w:color="auto" w:fill="auto"/>
            <w:tcMar>
              <w:top w:w="72" w:type="dxa"/>
              <w:left w:w="115" w:type="dxa"/>
              <w:bottom w:w="72" w:type="dxa"/>
              <w:right w:w="115" w:type="dxa"/>
            </w:tcMar>
            <w:vAlign w:val="center"/>
          </w:tcPr>
          <w:p w14:paraId="2B5AC157"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5/19/22</w:t>
            </w:r>
          </w:p>
        </w:tc>
        <w:tc>
          <w:tcPr>
            <w:tcW w:w="2663" w:type="dxa"/>
            <w:shd w:val="clear" w:color="auto" w:fill="auto"/>
            <w:tcMar>
              <w:top w:w="72" w:type="dxa"/>
              <w:left w:w="115" w:type="dxa"/>
              <w:bottom w:w="72" w:type="dxa"/>
              <w:right w:w="115" w:type="dxa"/>
            </w:tcMar>
            <w:vAlign w:val="center"/>
          </w:tcPr>
          <w:p w14:paraId="53B7FD4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2.28</w:t>
            </w:r>
          </w:p>
          <w:p w14:paraId="547D2C8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6121B0F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DCA Underwriting Policies</w:t>
            </w:r>
          </w:p>
        </w:tc>
        <w:tc>
          <w:tcPr>
            <w:tcW w:w="9585" w:type="dxa"/>
            <w:shd w:val="clear" w:color="auto" w:fill="auto"/>
            <w:tcMar>
              <w:top w:w="72" w:type="dxa"/>
              <w:left w:w="115" w:type="dxa"/>
              <w:bottom w:w="72" w:type="dxa"/>
              <w:right w:w="115" w:type="dxa"/>
            </w:tcMar>
            <w:vAlign w:val="center"/>
          </w:tcPr>
          <w:p w14:paraId="648F254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Q22_0511_15 </w:t>
            </w:r>
          </w:p>
          <w:p w14:paraId="6297344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What does the following sentence mean regarding green building consultant fees and developer fee limits? Is this sentence a holdover from a prior QAP that no longer applies, since developer fees are now based on unit count, not costs?  </w:t>
            </w:r>
          </w:p>
          <w:p w14:paraId="5DBD1C7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3AFA2CE4" w14:textId="77777777" w:rsidR="00412798" w:rsidRPr="007424E0" w:rsidRDefault="00412798" w:rsidP="000F6D48">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i/>
                <w:iCs/>
                <w:color w:val="000000"/>
                <w:sz w:val="20"/>
                <w:szCs w:val="20"/>
              </w:rPr>
              <w:t xml:space="preserve">“The maximum allowable Developer fee includes Consultants' fees for each project. </w:t>
            </w:r>
            <w:r w:rsidRPr="007424E0">
              <w:rPr>
                <w:rFonts w:ascii="Times New Roman" w:eastAsia="Times New Roman" w:hAnsi="Times New Roman" w:cs="Times New Roman"/>
                <w:i/>
                <w:iCs/>
                <w:color w:val="000000"/>
                <w:sz w:val="20"/>
                <w:szCs w:val="20"/>
                <w:u w:val="single"/>
              </w:rPr>
              <w:t>DCA will allow a limited exception and not include Consultant fees for the purpose of obtaining green building certifications in the Developer fee calculation</w:t>
            </w:r>
            <w:r w:rsidRPr="007424E0">
              <w:rPr>
                <w:rFonts w:ascii="Times New Roman" w:eastAsia="Times New Roman" w:hAnsi="Times New Roman" w:cs="Times New Roman"/>
                <w:i/>
                <w:iCs/>
                <w:color w:val="000000"/>
                <w:sz w:val="20"/>
                <w:szCs w:val="20"/>
              </w:rPr>
              <w:t>.”</w:t>
            </w:r>
            <w:r w:rsidRPr="007424E0">
              <w:rPr>
                <w:rFonts w:ascii="Times New Roman" w:eastAsia="Times New Roman" w:hAnsi="Times New Roman" w:cs="Times New Roman"/>
                <w:color w:val="000000"/>
                <w:sz w:val="20"/>
                <w:szCs w:val="20"/>
              </w:rPr>
              <w:t> </w:t>
            </w:r>
          </w:p>
          <w:p w14:paraId="2A9905F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4B87889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2990B060"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above referenced policy, from </w:t>
            </w:r>
            <w:r w:rsidRPr="007424E0">
              <w:rPr>
                <w:rFonts w:ascii="Times New Roman" w:eastAsia="Times New Roman" w:hAnsi="Times New Roman" w:cs="Times New Roman"/>
                <w:b/>
                <w:bCs/>
                <w:sz w:val="20"/>
                <w:szCs w:val="20"/>
              </w:rPr>
              <w:t>(Threshold Criteria) DCA Underwriting Policies</w:t>
            </w:r>
            <w:r w:rsidRPr="007424E0">
              <w:rPr>
                <w:rFonts w:ascii="Times New Roman" w:eastAsia="Times New Roman" w:hAnsi="Times New Roman" w:cs="Times New Roman"/>
                <w:sz w:val="20"/>
                <w:szCs w:val="20"/>
              </w:rPr>
              <w:t xml:space="preserve">, still holds. It states that green building consultant fees can be disregarded for purposes of confirming that the sum of developer fees, consultant fees, etc. are under the </w:t>
            </w:r>
            <w:r w:rsidRPr="007424E0">
              <w:rPr>
                <w:rFonts w:ascii="Times New Roman" w:eastAsia="Times New Roman" w:hAnsi="Times New Roman" w:cs="Times New Roman"/>
                <w:b/>
                <w:bCs/>
                <w:sz w:val="20"/>
                <w:szCs w:val="20"/>
              </w:rPr>
              <w:t>Developer Fee Amounts</w:t>
            </w:r>
            <w:r w:rsidRPr="007424E0">
              <w:rPr>
                <w:rFonts w:ascii="Times New Roman" w:eastAsia="Times New Roman" w:hAnsi="Times New Roman" w:cs="Times New Roman"/>
                <w:sz w:val="20"/>
                <w:szCs w:val="20"/>
              </w:rPr>
              <w:t xml:space="preserve"> listed in this section. This is why in the Core Application, “Green Building Consultant Fees” is listed under “Professional Services,” not contained within the “Consultant’s fee” line item.  </w:t>
            </w:r>
          </w:p>
        </w:tc>
      </w:tr>
      <w:tr w:rsidR="00412798" w:rsidRPr="007424E0" w14:paraId="3EEED96A" w14:textId="77777777" w:rsidTr="64301FE8">
        <w:trPr>
          <w:jc w:val="center"/>
        </w:trPr>
        <w:tc>
          <w:tcPr>
            <w:tcW w:w="1697" w:type="dxa"/>
            <w:shd w:val="clear" w:color="auto" w:fill="auto"/>
            <w:tcMar>
              <w:top w:w="72" w:type="dxa"/>
              <w:left w:w="115" w:type="dxa"/>
              <w:bottom w:w="72" w:type="dxa"/>
              <w:right w:w="115" w:type="dxa"/>
            </w:tcMar>
            <w:vAlign w:val="center"/>
          </w:tcPr>
          <w:p w14:paraId="3FFE6281"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5/19/22</w:t>
            </w:r>
          </w:p>
        </w:tc>
        <w:tc>
          <w:tcPr>
            <w:tcW w:w="2663" w:type="dxa"/>
            <w:shd w:val="clear" w:color="auto" w:fill="auto"/>
            <w:tcMar>
              <w:top w:w="72" w:type="dxa"/>
              <w:left w:w="115" w:type="dxa"/>
              <w:bottom w:w="72" w:type="dxa"/>
              <w:right w:w="115" w:type="dxa"/>
            </w:tcMar>
            <w:vAlign w:val="center"/>
          </w:tcPr>
          <w:p w14:paraId="1D15B5A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3.04</w:t>
            </w:r>
          </w:p>
          <w:p w14:paraId="64E753E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198AF5F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Deeper Targeting</w:t>
            </w:r>
          </w:p>
        </w:tc>
        <w:tc>
          <w:tcPr>
            <w:tcW w:w="9585" w:type="dxa"/>
            <w:shd w:val="clear" w:color="auto" w:fill="auto"/>
            <w:tcMar>
              <w:top w:w="72" w:type="dxa"/>
              <w:left w:w="115" w:type="dxa"/>
              <w:bottom w:w="72" w:type="dxa"/>
              <w:right w:w="115" w:type="dxa"/>
            </w:tcMar>
            <w:vAlign w:val="center"/>
          </w:tcPr>
          <w:p w14:paraId="030B339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Q22_0413_15 </w:t>
            </w:r>
          </w:p>
          <w:p w14:paraId="5FC7E5E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Deeper Targeting - B. New PBRA: This section states the applicant must provide a Commitment for PBRA executed by authorized regulatory agency.  If the new PBRA is a HUD source administered by a Public Housing Authority, can DCA confirm if a commitment from the Public Housing Authority will suffice, even if final HUD approval will be provided after the application submission deadline? </w:t>
            </w:r>
          </w:p>
          <w:p w14:paraId="12CC916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4CF3519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color w:val="000000"/>
                <w:sz w:val="20"/>
                <w:szCs w:val="20"/>
              </w:rPr>
              <w:t>Answer</w:t>
            </w:r>
            <w:r w:rsidRPr="007424E0">
              <w:rPr>
                <w:rFonts w:ascii="Times New Roman" w:eastAsia="Times New Roman" w:hAnsi="Times New Roman" w:cs="Times New Roman"/>
                <w:color w:val="000000"/>
                <w:sz w:val="20"/>
                <w:szCs w:val="20"/>
              </w:rPr>
              <w:t>:  </w:t>
            </w:r>
          </w:p>
          <w:p w14:paraId="2D8E1600"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DCA requires evidence of HUD approval where HUD is the authorized regulatory agency for the PBRA. For purposes of RAD/Section 18 blends, applicants can request HUD’s signature for the template letter posted to the DCA website, approved by both HUD and DCA (see </w:t>
            </w:r>
            <w:r w:rsidRPr="007424E0">
              <w:rPr>
                <w:rFonts w:ascii="Times New Roman" w:eastAsia="Times New Roman" w:hAnsi="Times New Roman" w:cs="Times New Roman"/>
                <w:b/>
                <w:bCs/>
                <w:color w:val="000000"/>
                <w:sz w:val="20"/>
                <w:szCs w:val="20"/>
              </w:rPr>
              <w:t>Q22_0418_15</w:t>
            </w:r>
            <w:r w:rsidRPr="007424E0">
              <w:rPr>
                <w:rFonts w:ascii="Times New Roman" w:eastAsia="Times New Roman" w:hAnsi="Times New Roman" w:cs="Times New Roman"/>
                <w:color w:val="000000"/>
                <w:sz w:val="20"/>
                <w:szCs w:val="20"/>
              </w:rPr>
              <w:t>).   </w:t>
            </w:r>
          </w:p>
        </w:tc>
      </w:tr>
      <w:tr w:rsidR="00412798" w:rsidRPr="007424E0" w14:paraId="216A8E04" w14:textId="77777777" w:rsidTr="64301FE8">
        <w:trPr>
          <w:jc w:val="center"/>
        </w:trPr>
        <w:tc>
          <w:tcPr>
            <w:tcW w:w="1697" w:type="dxa"/>
            <w:shd w:val="clear" w:color="auto" w:fill="auto"/>
            <w:tcMar>
              <w:top w:w="72" w:type="dxa"/>
              <w:left w:w="115" w:type="dxa"/>
              <w:bottom w:w="72" w:type="dxa"/>
              <w:right w:w="115" w:type="dxa"/>
            </w:tcMar>
            <w:vAlign w:val="center"/>
          </w:tcPr>
          <w:p w14:paraId="6C17820F"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5/19/22</w:t>
            </w:r>
          </w:p>
        </w:tc>
        <w:tc>
          <w:tcPr>
            <w:tcW w:w="2663" w:type="dxa"/>
            <w:shd w:val="clear" w:color="auto" w:fill="auto"/>
            <w:tcMar>
              <w:top w:w="72" w:type="dxa"/>
              <w:left w:w="115" w:type="dxa"/>
              <w:bottom w:w="72" w:type="dxa"/>
              <w:right w:w="115" w:type="dxa"/>
            </w:tcMar>
            <w:vAlign w:val="center"/>
          </w:tcPr>
          <w:p w14:paraId="5CE56F6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3.05</w:t>
            </w:r>
          </w:p>
          <w:p w14:paraId="68EEFF3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33C170B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Desirable/Undesirable Activities</w:t>
            </w:r>
          </w:p>
        </w:tc>
        <w:tc>
          <w:tcPr>
            <w:tcW w:w="9585" w:type="dxa"/>
            <w:shd w:val="clear" w:color="auto" w:fill="auto"/>
            <w:tcMar>
              <w:top w:w="72" w:type="dxa"/>
              <w:left w:w="115" w:type="dxa"/>
              <w:bottom w:w="72" w:type="dxa"/>
              <w:right w:w="115" w:type="dxa"/>
            </w:tcMar>
            <w:vAlign w:val="center"/>
          </w:tcPr>
          <w:p w14:paraId="1F0DFBD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Q22_0503_01b </w:t>
            </w:r>
          </w:p>
          <w:p w14:paraId="76842FE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Does a chiropractic clinic qualify as a medical care provider? Our site is serving seniors and we believe the clinic will certainly address some of their medical needs, but we wanted to confirm. </w:t>
            </w:r>
          </w:p>
          <w:p w14:paraId="482E192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2B884A4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lastRenderedPageBreak/>
              <w:t>Answer</w:t>
            </w:r>
            <w:r w:rsidRPr="007424E0">
              <w:rPr>
                <w:rFonts w:ascii="Times New Roman" w:eastAsia="Times New Roman" w:hAnsi="Times New Roman" w:cs="Times New Roman"/>
                <w:sz w:val="20"/>
                <w:szCs w:val="20"/>
              </w:rPr>
              <w:t>:  </w:t>
            </w:r>
          </w:p>
          <w:p w14:paraId="269686D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This question pertains to where</w:t>
            </w:r>
            <w:r w:rsidRPr="007424E0">
              <w:rPr>
                <w:rFonts w:ascii="Times New Roman" w:eastAsia="Times New Roman" w:hAnsi="Times New Roman" w:cs="Times New Roman"/>
                <w:b/>
                <w:bCs/>
                <w:sz w:val="20"/>
                <w:szCs w:val="20"/>
              </w:rPr>
              <w:t xml:space="preserve"> (Scoring Criteria) Desirable/Undesirable Activities</w:t>
            </w:r>
            <w:r w:rsidRPr="007424E0">
              <w:rPr>
                <w:rFonts w:ascii="Times New Roman" w:eastAsia="Times New Roman" w:hAnsi="Times New Roman" w:cs="Times New Roman"/>
                <w:sz w:val="20"/>
                <w:szCs w:val="20"/>
              </w:rPr>
              <w:t xml:space="preserve">, subsection </w:t>
            </w:r>
            <w:r w:rsidRPr="007424E0">
              <w:rPr>
                <w:rFonts w:ascii="Times New Roman" w:eastAsia="Times New Roman" w:hAnsi="Times New Roman" w:cs="Times New Roman"/>
                <w:b/>
                <w:bCs/>
                <w:sz w:val="20"/>
                <w:szCs w:val="20"/>
              </w:rPr>
              <w:t>A. Desirable Activities</w:t>
            </w:r>
            <w:r w:rsidRPr="007424E0">
              <w:rPr>
                <w:rFonts w:ascii="Times New Roman" w:eastAsia="Times New Roman" w:hAnsi="Times New Roman" w:cs="Times New Roman"/>
                <w:sz w:val="20"/>
                <w:szCs w:val="20"/>
              </w:rPr>
              <w:t xml:space="preserve"> lists “Medical care provider (e.g. clinic, physician/dental office)” as an option under “Medical Care.” </w:t>
            </w:r>
          </w:p>
          <w:p w14:paraId="77BEF7E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Health care professions that are licensed under the Georgia Medical Board or a board associated with the Secretary of State will qualify (</w:t>
            </w:r>
            <w:hyperlink r:id="rId36" w:tgtFrame="_blank" w:history="1">
              <w:r w:rsidRPr="007424E0">
                <w:rPr>
                  <w:rFonts w:ascii="Times New Roman" w:eastAsia="Times New Roman" w:hAnsi="Times New Roman" w:cs="Times New Roman"/>
                  <w:color w:val="0563C1"/>
                  <w:sz w:val="20"/>
                  <w:szCs w:val="20"/>
                  <w:u w:val="single"/>
                </w:rPr>
                <w:t>click here</w:t>
              </w:r>
            </w:hyperlink>
            <w:r w:rsidRPr="007424E0">
              <w:rPr>
                <w:rFonts w:ascii="Times New Roman" w:eastAsia="Times New Roman" w:hAnsi="Times New Roman" w:cs="Times New Roman"/>
                <w:sz w:val="20"/>
                <w:szCs w:val="20"/>
              </w:rPr>
              <w:t xml:space="preserve"> to view health care professions licensed under each). This list is intended to be a safe harbor, not all encompassing, for purposes of this Desirable Activities option.  </w:t>
            </w:r>
            <w:r w:rsidRPr="007424E0">
              <w:rPr>
                <w:rFonts w:ascii="Times New Roman" w:eastAsia="Times New Roman" w:hAnsi="Times New Roman" w:cs="Times New Roman"/>
                <w:sz w:val="20"/>
                <w:szCs w:val="20"/>
              </w:rPr>
              <w:br/>
            </w:r>
          </w:p>
          <w:p w14:paraId="743891E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“Chiropractors” is on the Secretary of State list, so a chiropractic clinic would qualify.  </w:t>
            </w:r>
            <w:r w:rsidRPr="007424E0">
              <w:rPr>
                <w:rFonts w:ascii="Times New Roman" w:eastAsia="Times New Roman" w:hAnsi="Times New Roman" w:cs="Times New Roman"/>
                <w:sz w:val="20"/>
                <w:szCs w:val="20"/>
              </w:rPr>
              <w:br/>
            </w:r>
          </w:p>
          <w:p w14:paraId="394183D0"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Please note that the QAP uses the term “clinic” under this option, and thus an establishment associated with a profession on the above lists would only qualify if it is accessible by residents directly for health care services. For example, an emergency medical technicians training facility would not qualify, even though the profession is on the above-referenced list.</w:t>
            </w:r>
          </w:p>
        </w:tc>
      </w:tr>
      <w:tr w:rsidR="00412798" w:rsidRPr="007424E0" w14:paraId="32C6DC13" w14:textId="77777777" w:rsidTr="64301FE8">
        <w:trPr>
          <w:jc w:val="center"/>
        </w:trPr>
        <w:tc>
          <w:tcPr>
            <w:tcW w:w="1697" w:type="dxa"/>
            <w:shd w:val="clear" w:color="auto" w:fill="auto"/>
            <w:tcMar>
              <w:top w:w="72" w:type="dxa"/>
              <w:left w:w="115" w:type="dxa"/>
              <w:bottom w:w="72" w:type="dxa"/>
              <w:right w:w="115" w:type="dxa"/>
            </w:tcMar>
            <w:vAlign w:val="center"/>
          </w:tcPr>
          <w:p w14:paraId="0FD705EC"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5/19/22</w:t>
            </w:r>
          </w:p>
        </w:tc>
        <w:tc>
          <w:tcPr>
            <w:tcW w:w="2663" w:type="dxa"/>
            <w:shd w:val="clear" w:color="auto" w:fill="auto"/>
            <w:tcMar>
              <w:top w:w="72" w:type="dxa"/>
              <w:left w:w="115" w:type="dxa"/>
              <w:bottom w:w="72" w:type="dxa"/>
              <w:right w:w="115" w:type="dxa"/>
            </w:tcMar>
            <w:vAlign w:val="center"/>
          </w:tcPr>
          <w:p w14:paraId="470AF9B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3.16</w:t>
            </w:r>
          </w:p>
          <w:p w14:paraId="0B1B9AA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3D09E8F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Internet Access</w:t>
            </w:r>
          </w:p>
        </w:tc>
        <w:tc>
          <w:tcPr>
            <w:tcW w:w="9585" w:type="dxa"/>
            <w:shd w:val="clear" w:color="auto" w:fill="auto"/>
            <w:tcMar>
              <w:top w:w="72" w:type="dxa"/>
              <w:left w:w="115" w:type="dxa"/>
              <w:bottom w:w="72" w:type="dxa"/>
              <w:right w:w="115" w:type="dxa"/>
            </w:tcMar>
            <w:vAlign w:val="center"/>
          </w:tcPr>
          <w:p w14:paraId="403A3653"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Q22_0317_01 </w:t>
            </w:r>
            <w:r w:rsidRPr="007424E0">
              <w:rPr>
                <w:rStyle w:val="eop"/>
                <w:sz w:val="20"/>
                <w:szCs w:val="20"/>
              </w:rPr>
              <w:t> </w:t>
            </w:r>
          </w:p>
          <w:p w14:paraId="1442E0A7"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t xml:space="preserve">In the section </w:t>
            </w:r>
            <w:r w:rsidRPr="007424E0">
              <w:rPr>
                <w:rStyle w:val="normaltextrun"/>
                <w:b/>
                <w:bCs/>
                <w:color w:val="000000"/>
                <w:sz w:val="20"/>
                <w:szCs w:val="20"/>
              </w:rPr>
              <w:t>(Scoring) Internet Access</w:t>
            </w:r>
            <w:r w:rsidRPr="007424E0">
              <w:rPr>
                <w:rStyle w:val="normaltextrun"/>
                <w:color w:val="000000"/>
                <w:sz w:val="20"/>
                <w:szCs w:val="20"/>
              </w:rPr>
              <w:t xml:space="preserve">, it states that 1 point could be awarded for high-speed internet/broadband service for each unit or 2 points for high-speed internet/broadband service for each unit if the service will be Wi-Fi. Does this mean that each unit </w:t>
            </w:r>
            <w:r w:rsidRPr="007424E0">
              <w:rPr>
                <w:rStyle w:val="advancedproofingissue"/>
                <w:rFonts w:eastAsiaTheme="majorEastAsia"/>
                <w:color w:val="000000"/>
                <w:sz w:val="20"/>
                <w:szCs w:val="20"/>
              </w:rPr>
              <w:t>has to</w:t>
            </w:r>
            <w:r w:rsidRPr="007424E0">
              <w:rPr>
                <w:rStyle w:val="normaltextrun"/>
                <w:color w:val="000000"/>
                <w:sz w:val="20"/>
                <w:szCs w:val="20"/>
              </w:rPr>
              <w:t xml:space="preserve"> be wired for the capability to access free high-speed internet/broadband or </w:t>
            </w:r>
            <w:proofErr w:type="spellStart"/>
            <w:r w:rsidRPr="007424E0">
              <w:rPr>
                <w:rStyle w:val="spellingerror"/>
                <w:rFonts w:eastAsiaTheme="majorEastAsia"/>
                <w:color w:val="000000"/>
                <w:sz w:val="20"/>
                <w:szCs w:val="20"/>
              </w:rPr>
              <w:t>WiFi</w:t>
            </w:r>
            <w:proofErr w:type="spellEnd"/>
            <w:r w:rsidRPr="007424E0">
              <w:rPr>
                <w:rStyle w:val="normaltextrun"/>
                <w:color w:val="000000"/>
                <w:sz w:val="20"/>
                <w:szCs w:val="20"/>
              </w:rPr>
              <w:t>? Please provide the specifications for what is expected out of this scoring item. </w:t>
            </w:r>
            <w:r w:rsidRPr="007424E0">
              <w:rPr>
                <w:rStyle w:val="eop"/>
                <w:color w:val="000000"/>
                <w:sz w:val="20"/>
                <w:szCs w:val="20"/>
              </w:rPr>
              <w:t> </w:t>
            </w:r>
          </w:p>
          <w:p w14:paraId="64B1199E"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7930B00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5BDD7FB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Applicants claiming points in this section are making a commitment to fully subsidize the cost of high-speed internet/broadband service for residents in all units, which is defined in </w:t>
            </w:r>
            <w:r w:rsidRPr="007424E0">
              <w:rPr>
                <w:rStyle w:val="normaltextrun"/>
                <w:b/>
                <w:bCs/>
                <w:sz w:val="20"/>
                <w:szCs w:val="20"/>
              </w:rPr>
              <w:t>(Threshold) Architectural Design and Quality Standards</w:t>
            </w:r>
            <w:r w:rsidRPr="007424E0">
              <w:rPr>
                <w:rStyle w:val="normaltextrun"/>
                <w:sz w:val="20"/>
                <w:szCs w:val="20"/>
              </w:rPr>
              <w:t xml:space="preserve"> as having “the capability to transmit at a rate of not less than 25 megabits per second in the downstream direction and at least 3 megabits per second in the upstream direction to end users.” </w:t>
            </w:r>
            <w:r w:rsidRPr="007424E0">
              <w:rPr>
                <w:rStyle w:val="scxw158413129"/>
                <w:sz w:val="20"/>
                <w:szCs w:val="20"/>
              </w:rPr>
              <w:t> </w:t>
            </w:r>
            <w:r w:rsidRPr="007424E0">
              <w:rPr>
                <w:sz w:val="20"/>
                <w:szCs w:val="20"/>
              </w:rPr>
              <w:br/>
            </w:r>
            <w:r w:rsidRPr="007424E0">
              <w:rPr>
                <w:rStyle w:val="eop"/>
                <w:sz w:val="20"/>
                <w:szCs w:val="20"/>
              </w:rPr>
              <w:t> </w:t>
            </w:r>
          </w:p>
          <w:p w14:paraId="5B78750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This requires applicants to:</w:t>
            </w:r>
            <w:r w:rsidRPr="007424E0">
              <w:rPr>
                <w:rStyle w:val="scxw158413129"/>
                <w:sz w:val="20"/>
                <w:szCs w:val="20"/>
              </w:rPr>
              <w:t> </w:t>
            </w:r>
            <w:r w:rsidRPr="007424E0">
              <w:rPr>
                <w:sz w:val="20"/>
                <w:szCs w:val="20"/>
              </w:rPr>
              <w:br/>
            </w:r>
            <w:r w:rsidRPr="007424E0">
              <w:rPr>
                <w:rStyle w:val="eop"/>
                <w:sz w:val="20"/>
                <w:szCs w:val="20"/>
              </w:rPr>
              <w:t> </w:t>
            </w:r>
          </w:p>
          <w:p w14:paraId="372F6610" w14:textId="77777777" w:rsidR="00412798" w:rsidRPr="007424E0" w:rsidRDefault="00412798" w:rsidP="000F6D48">
            <w:pPr>
              <w:pStyle w:val="paragraph"/>
              <w:numPr>
                <w:ilvl w:val="0"/>
                <w:numId w:val="34"/>
              </w:numPr>
              <w:spacing w:before="0" w:beforeAutospacing="0" w:after="0" w:afterAutospacing="0"/>
              <w:ind w:left="1080" w:firstLine="0"/>
              <w:textAlignment w:val="baseline"/>
              <w:rPr>
                <w:rFonts w:eastAsia="MS Mincho"/>
                <w:sz w:val="20"/>
                <w:szCs w:val="20"/>
              </w:rPr>
            </w:pPr>
            <w:r w:rsidRPr="007424E0">
              <w:rPr>
                <w:rStyle w:val="normaltextrun"/>
                <w:rFonts w:eastAsia="MS Mincho"/>
                <w:sz w:val="20"/>
                <w:szCs w:val="20"/>
              </w:rPr>
              <w:t>Ensure each unit has the capability to access high-speed internet/broadband service (Wi-Fi if claiming 2 points); and </w:t>
            </w:r>
            <w:r w:rsidRPr="007424E0">
              <w:rPr>
                <w:rStyle w:val="eop"/>
                <w:rFonts w:eastAsia="MS Mincho"/>
                <w:sz w:val="20"/>
                <w:szCs w:val="20"/>
              </w:rPr>
              <w:t> </w:t>
            </w:r>
          </w:p>
          <w:p w14:paraId="306B54B2" w14:textId="77777777" w:rsidR="00412798" w:rsidRPr="007424E0" w:rsidRDefault="00412798" w:rsidP="000F6D48">
            <w:pPr>
              <w:pStyle w:val="paragraph"/>
              <w:numPr>
                <w:ilvl w:val="0"/>
                <w:numId w:val="35"/>
              </w:numPr>
              <w:spacing w:before="0" w:beforeAutospacing="0" w:after="0" w:afterAutospacing="0"/>
              <w:ind w:left="1080" w:firstLine="0"/>
              <w:textAlignment w:val="baseline"/>
              <w:rPr>
                <w:sz w:val="20"/>
                <w:szCs w:val="20"/>
              </w:rPr>
            </w:pPr>
            <w:r w:rsidRPr="007424E0">
              <w:rPr>
                <w:rStyle w:val="normaltextrun"/>
                <w:sz w:val="20"/>
                <w:szCs w:val="20"/>
              </w:rPr>
              <w:t>Pay for the operating costs of residents having free access to high-speed internet/broadband service in each unit.</w:t>
            </w:r>
            <w:r w:rsidRPr="007424E0">
              <w:rPr>
                <w:rStyle w:val="eop"/>
                <w:sz w:val="20"/>
                <w:szCs w:val="20"/>
              </w:rPr>
              <w:t> </w:t>
            </w:r>
          </w:p>
          <w:p w14:paraId="209D052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42DCB1B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The Core Application prompts applicants claiming points in this section as follows: </w:t>
            </w:r>
            <w:r w:rsidRPr="007424E0">
              <w:rPr>
                <w:rStyle w:val="eop"/>
                <w:sz w:val="20"/>
                <w:szCs w:val="20"/>
              </w:rPr>
              <w:t> </w:t>
            </w:r>
          </w:p>
          <w:p w14:paraId="279AAAE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739BF9B8" w14:textId="77777777" w:rsidR="00412798" w:rsidRPr="007424E0" w:rsidRDefault="00412798" w:rsidP="000F6D48">
            <w:pPr>
              <w:pStyle w:val="paragraph"/>
              <w:numPr>
                <w:ilvl w:val="0"/>
                <w:numId w:val="36"/>
              </w:numPr>
              <w:spacing w:before="0" w:beforeAutospacing="0" w:after="0" w:afterAutospacing="0"/>
              <w:ind w:left="1080" w:firstLine="0"/>
              <w:textAlignment w:val="baseline"/>
              <w:rPr>
                <w:sz w:val="20"/>
                <w:szCs w:val="20"/>
              </w:rPr>
            </w:pPr>
            <w:r w:rsidRPr="007424E0">
              <w:rPr>
                <w:rStyle w:val="normaltextrun"/>
                <w:sz w:val="20"/>
                <w:szCs w:val="20"/>
              </w:rPr>
              <w:t>Revenues &amp; Expenses tab: input the projected expenses of paying for internet </w:t>
            </w:r>
            <w:r w:rsidRPr="007424E0">
              <w:rPr>
                <w:rStyle w:val="eop"/>
                <w:sz w:val="20"/>
                <w:szCs w:val="20"/>
              </w:rPr>
              <w:t> </w:t>
            </w:r>
          </w:p>
          <w:p w14:paraId="41C80DD1" w14:textId="77777777" w:rsidR="00412798" w:rsidRPr="007424E0" w:rsidRDefault="00412798" w:rsidP="000F6D48">
            <w:pPr>
              <w:pStyle w:val="paragraph"/>
              <w:numPr>
                <w:ilvl w:val="0"/>
                <w:numId w:val="37"/>
              </w:numPr>
              <w:spacing w:before="0" w:beforeAutospacing="0" w:after="0" w:afterAutospacing="0"/>
              <w:ind w:left="1080" w:firstLine="0"/>
              <w:textAlignment w:val="baseline"/>
              <w:rPr>
                <w:rStyle w:val="normaltextrun"/>
                <w:sz w:val="20"/>
                <w:szCs w:val="20"/>
              </w:rPr>
            </w:pPr>
            <w:r w:rsidRPr="007424E0">
              <w:rPr>
                <w:rStyle w:val="normaltextrun"/>
                <w:sz w:val="20"/>
                <w:szCs w:val="20"/>
              </w:rPr>
              <w:lastRenderedPageBreak/>
              <w:t>Scoring Criteria tab: Describe how the estimate was derived and reference any supporting documentation</w:t>
            </w:r>
            <w:r w:rsidRPr="007424E0">
              <w:rPr>
                <w:rStyle w:val="eop"/>
                <w:sz w:val="20"/>
                <w:szCs w:val="20"/>
              </w:rPr>
              <w:t> </w:t>
            </w:r>
          </w:p>
        </w:tc>
      </w:tr>
      <w:tr w:rsidR="00412798" w:rsidRPr="007424E0" w14:paraId="2C6581CF" w14:textId="77777777" w:rsidTr="64301FE8">
        <w:trPr>
          <w:jc w:val="center"/>
        </w:trPr>
        <w:tc>
          <w:tcPr>
            <w:tcW w:w="1697" w:type="dxa"/>
            <w:shd w:val="clear" w:color="auto" w:fill="auto"/>
            <w:tcMar>
              <w:top w:w="72" w:type="dxa"/>
              <w:left w:w="115" w:type="dxa"/>
              <w:bottom w:w="72" w:type="dxa"/>
              <w:right w:w="115" w:type="dxa"/>
            </w:tcMar>
            <w:vAlign w:val="center"/>
          </w:tcPr>
          <w:p w14:paraId="11F593E1"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5/16/22</w:t>
            </w:r>
          </w:p>
        </w:tc>
        <w:tc>
          <w:tcPr>
            <w:tcW w:w="2663" w:type="dxa"/>
            <w:shd w:val="clear" w:color="auto" w:fill="auto"/>
            <w:tcMar>
              <w:top w:w="72" w:type="dxa"/>
              <w:left w:w="115" w:type="dxa"/>
              <w:bottom w:w="72" w:type="dxa"/>
              <w:right w:w="115" w:type="dxa"/>
            </w:tcMar>
            <w:vAlign w:val="center"/>
          </w:tcPr>
          <w:p w14:paraId="1536E37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2.17</w:t>
            </w:r>
          </w:p>
          <w:p w14:paraId="75C07BE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745E57E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Building Sustainability</w:t>
            </w:r>
          </w:p>
        </w:tc>
        <w:tc>
          <w:tcPr>
            <w:tcW w:w="9585" w:type="dxa"/>
            <w:shd w:val="clear" w:color="auto" w:fill="auto"/>
            <w:tcMar>
              <w:top w:w="72" w:type="dxa"/>
              <w:left w:w="115" w:type="dxa"/>
              <w:bottom w:w="72" w:type="dxa"/>
              <w:right w:w="115" w:type="dxa"/>
            </w:tcMar>
            <w:vAlign w:val="center"/>
          </w:tcPr>
          <w:p w14:paraId="625F5D6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Q22_0510_02</w:t>
            </w:r>
            <w:r w:rsidRPr="007424E0">
              <w:rPr>
                <w:rStyle w:val="eop"/>
                <w:sz w:val="20"/>
                <w:szCs w:val="20"/>
              </w:rPr>
              <w:t> </w:t>
            </w:r>
          </w:p>
          <w:p w14:paraId="7F8E6D6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color w:val="000000"/>
                <w:sz w:val="20"/>
                <w:szCs w:val="20"/>
              </w:rPr>
              <w:t>Can you confirm that the minimum standards listed below are applicable for both new construction and rehabilitation projects? </w:t>
            </w:r>
            <w:r w:rsidRPr="007424E0">
              <w:rPr>
                <w:rStyle w:val="eop"/>
                <w:color w:val="000000"/>
                <w:sz w:val="20"/>
                <w:szCs w:val="20"/>
              </w:rPr>
              <w:t> </w:t>
            </w:r>
          </w:p>
          <w:p w14:paraId="16085C2B" w14:textId="77777777" w:rsidR="00412798" w:rsidRPr="007424E0" w:rsidRDefault="00412798" w:rsidP="000F6D48">
            <w:pPr>
              <w:pStyle w:val="paragraph"/>
              <w:numPr>
                <w:ilvl w:val="0"/>
                <w:numId w:val="32"/>
              </w:numPr>
              <w:spacing w:before="0" w:beforeAutospacing="0" w:after="0" w:afterAutospacing="0"/>
              <w:ind w:left="1080" w:firstLine="0"/>
              <w:textAlignment w:val="baseline"/>
              <w:rPr>
                <w:sz w:val="20"/>
                <w:szCs w:val="20"/>
              </w:rPr>
            </w:pPr>
            <w:r w:rsidRPr="007424E0">
              <w:rPr>
                <w:rStyle w:val="normaltextrun"/>
                <w:color w:val="000000"/>
                <w:sz w:val="20"/>
                <w:szCs w:val="20"/>
              </w:rPr>
              <w:t>Obtain a sustainable building certification</w:t>
            </w:r>
            <w:r w:rsidRPr="007424E0">
              <w:rPr>
                <w:rStyle w:val="eop"/>
                <w:color w:val="000000"/>
                <w:sz w:val="20"/>
                <w:szCs w:val="20"/>
              </w:rPr>
              <w:t> </w:t>
            </w:r>
          </w:p>
          <w:p w14:paraId="59C49D62" w14:textId="77777777" w:rsidR="00412798" w:rsidRPr="007424E0" w:rsidRDefault="00412798" w:rsidP="000F6D48">
            <w:pPr>
              <w:pStyle w:val="paragraph"/>
              <w:numPr>
                <w:ilvl w:val="0"/>
                <w:numId w:val="32"/>
              </w:numPr>
              <w:spacing w:before="0" w:beforeAutospacing="0" w:after="0" w:afterAutospacing="0"/>
              <w:ind w:left="1080" w:firstLine="0"/>
              <w:textAlignment w:val="baseline"/>
              <w:rPr>
                <w:sz w:val="20"/>
                <w:szCs w:val="20"/>
              </w:rPr>
            </w:pPr>
            <w:r w:rsidRPr="007424E0">
              <w:rPr>
                <w:rStyle w:val="normaltextrun"/>
                <w:color w:val="000000"/>
                <w:sz w:val="20"/>
                <w:szCs w:val="20"/>
              </w:rPr>
              <w:t>Low VOC interior wall/ceiling/finishing</w:t>
            </w:r>
            <w:r w:rsidRPr="007424E0">
              <w:rPr>
                <w:rStyle w:val="eop"/>
                <w:color w:val="000000"/>
                <w:sz w:val="20"/>
                <w:szCs w:val="20"/>
              </w:rPr>
              <w:t> </w:t>
            </w:r>
          </w:p>
          <w:p w14:paraId="66D6A88B" w14:textId="77777777" w:rsidR="00412798" w:rsidRPr="007424E0" w:rsidRDefault="00412798" w:rsidP="000F6D48">
            <w:pPr>
              <w:pStyle w:val="paragraph"/>
              <w:numPr>
                <w:ilvl w:val="0"/>
                <w:numId w:val="33"/>
              </w:numPr>
              <w:spacing w:before="0" w:beforeAutospacing="0" w:after="0" w:afterAutospacing="0"/>
              <w:ind w:left="1080" w:firstLine="0"/>
              <w:textAlignment w:val="baseline"/>
              <w:rPr>
                <w:sz w:val="20"/>
                <w:szCs w:val="20"/>
              </w:rPr>
            </w:pPr>
            <w:r w:rsidRPr="007424E0">
              <w:rPr>
                <w:rStyle w:val="normaltextrun"/>
                <w:color w:val="000000"/>
                <w:sz w:val="20"/>
                <w:szCs w:val="20"/>
              </w:rPr>
              <w:t>Energy STAR certified appliances</w:t>
            </w:r>
            <w:r w:rsidRPr="007424E0">
              <w:rPr>
                <w:rStyle w:val="eop"/>
                <w:color w:val="000000"/>
                <w:sz w:val="20"/>
                <w:szCs w:val="20"/>
              </w:rPr>
              <w:t> </w:t>
            </w:r>
          </w:p>
          <w:p w14:paraId="540CC49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8DDFA5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46D9CBA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(Threshold) Building Sustainability, Sustainability Standards</w:t>
            </w:r>
            <w:r w:rsidRPr="007424E0">
              <w:rPr>
                <w:rStyle w:val="normaltextrun"/>
                <w:sz w:val="20"/>
                <w:szCs w:val="20"/>
              </w:rPr>
              <w:t xml:space="preserve"> states that “all dwelling units at all projects must comply with the requirements of this section. Historic properties may apply for a waiver when compliance means loss of historic character-defining features and finishes.”</w:t>
            </w:r>
            <w:r w:rsidRPr="007424E0">
              <w:rPr>
                <w:rStyle w:val="eop"/>
                <w:sz w:val="20"/>
                <w:szCs w:val="20"/>
              </w:rPr>
              <w:t> </w:t>
            </w:r>
          </w:p>
        </w:tc>
      </w:tr>
      <w:tr w:rsidR="00412798" w:rsidRPr="007424E0" w14:paraId="3A532A63" w14:textId="77777777" w:rsidTr="64301FE8">
        <w:trPr>
          <w:jc w:val="center"/>
        </w:trPr>
        <w:tc>
          <w:tcPr>
            <w:tcW w:w="1697" w:type="dxa"/>
            <w:shd w:val="clear" w:color="auto" w:fill="auto"/>
            <w:tcMar>
              <w:top w:w="72" w:type="dxa"/>
              <w:left w:w="115" w:type="dxa"/>
              <w:bottom w:w="72" w:type="dxa"/>
              <w:right w:w="115" w:type="dxa"/>
            </w:tcMar>
            <w:vAlign w:val="center"/>
          </w:tcPr>
          <w:p w14:paraId="4D319D04"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5/16/22</w:t>
            </w:r>
          </w:p>
        </w:tc>
        <w:tc>
          <w:tcPr>
            <w:tcW w:w="2663" w:type="dxa"/>
            <w:shd w:val="clear" w:color="auto" w:fill="auto"/>
            <w:tcMar>
              <w:top w:w="72" w:type="dxa"/>
              <w:left w:w="115" w:type="dxa"/>
              <w:bottom w:w="72" w:type="dxa"/>
              <w:right w:w="115" w:type="dxa"/>
            </w:tcMar>
            <w:vAlign w:val="center"/>
          </w:tcPr>
          <w:p w14:paraId="036192D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3.05</w:t>
            </w:r>
          </w:p>
          <w:p w14:paraId="514B53F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51E203D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Desirable/Undesirable Activities</w:t>
            </w:r>
          </w:p>
        </w:tc>
        <w:tc>
          <w:tcPr>
            <w:tcW w:w="9585" w:type="dxa"/>
            <w:shd w:val="clear" w:color="auto" w:fill="auto"/>
            <w:tcMar>
              <w:top w:w="72" w:type="dxa"/>
              <w:left w:w="115" w:type="dxa"/>
              <w:bottom w:w="72" w:type="dxa"/>
              <w:right w:w="115" w:type="dxa"/>
            </w:tcMar>
            <w:vAlign w:val="center"/>
          </w:tcPr>
          <w:p w14:paraId="66BA8E18" w14:textId="77777777" w:rsidR="00412798" w:rsidRPr="007424E0" w:rsidRDefault="00412798" w:rsidP="000F6D48">
            <w:pPr>
              <w:jc w:val="center"/>
              <w:rPr>
                <w:rFonts w:ascii="Times New Roman" w:hAnsi="Times New Roman" w:cs="Times New Roman"/>
                <w:sz w:val="20"/>
                <w:szCs w:val="20"/>
              </w:rPr>
            </w:pPr>
            <w:r w:rsidRPr="007424E0">
              <w:rPr>
                <w:rStyle w:val="normaltextrun"/>
                <w:rFonts w:ascii="Times New Roman" w:hAnsi="Times New Roman" w:cs="Times New Roman"/>
                <w:b/>
                <w:bCs/>
                <w:i/>
                <w:iCs/>
                <w:color w:val="FF0000"/>
                <w:sz w:val="20"/>
                <w:szCs w:val="20"/>
              </w:rPr>
              <w:t>This Q&amp;A references the 9% Round but includes information relevant to 4%/Bonds applications.</w:t>
            </w:r>
          </w:p>
          <w:p w14:paraId="1DEA2F00" w14:textId="77777777" w:rsidR="00412798" w:rsidRPr="007424E0" w:rsidRDefault="00412798" w:rsidP="000F6D48">
            <w:pPr>
              <w:contextualSpacing/>
              <w:rPr>
                <w:rFonts w:ascii="Times New Roman" w:hAnsi="Times New Roman" w:cs="Times New Roman"/>
                <w:b/>
                <w:bCs/>
                <w:sz w:val="20"/>
                <w:szCs w:val="20"/>
              </w:rPr>
            </w:pPr>
          </w:p>
          <w:p w14:paraId="3C19C547"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Q22_0503_01a</w:t>
            </w:r>
          </w:p>
          <w:p w14:paraId="43B20A10" w14:textId="77777777" w:rsidR="00412798" w:rsidRPr="007424E0" w:rsidRDefault="00412798" w:rsidP="000F6D48">
            <w:pPr>
              <w:rPr>
                <w:rFonts w:ascii="Times New Roman" w:eastAsia="Times New Roman" w:hAnsi="Times New Roman" w:cs="Times New Roman"/>
                <w:color w:val="000000"/>
                <w:sz w:val="20"/>
                <w:szCs w:val="20"/>
              </w:rPr>
            </w:pPr>
            <w:r w:rsidRPr="007424E0">
              <w:rPr>
                <w:rFonts w:ascii="Times New Roman" w:eastAsia="Times New Roman" w:hAnsi="Times New Roman" w:cs="Times New Roman"/>
                <w:color w:val="000000"/>
                <w:sz w:val="20"/>
                <w:szCs w:val="20"/>
              </w:rPr>
              <w:t>Can applicants submit evidence of more than one business that would qualify for points in a particular category? For example, if there are two restaurants within a similar radius of our site, can we submit information for each? We realize only one could ultimately be counted, but in this current environment we are concerned about the possibility that one would have to shut its doors by the time DCA conducted its review.</w:t>
            </w:r>
          </w:p>
          <w:p w14:paraId="2038D66A" w14:textId="77777777" w:rsidR="00412798" w:rsidRPr="007424E0" w:rsidRDefault="00412798" w:rsidP="000F6D48">
            <w:pPr>
              <w:rPr>
                <w:rFonts w:ascii="Times New Roman" w:eastAsia="Times New Roman" w:hAnsi="Times New Roman" w:cs="Times New Roman"/>
                <w:color w:val="000000"/>
                <w:sz w:val="20"/>
                <w:szCs w:val="20"/>
              </w:rPr>
            </w:pPr>
          </w:p>
          <w:p w14:paraId="3F8668BD"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226CF866" w14:textId="77777777" w:rsidR="00412798" w:rsidRPr="007424E0" w:rsidRDefault="00412798" w:rsidP="000F6D48">
            <w:pPr>
              <w:contextualSpacing/>
              <w:rPr>
                <w:rFonts w:ascii="Times New Roman" w:hAnsi="Times New Roman" w:cs="Times New Roman"/>
                <w:b/>
                <w:bCs/>
                <w:sz w:val="20"/>
                <w:szCs w:val="20"/>
              </w:rPr>
            </w:pPr>
            <w:r w:rsidRPr="007424E0">
              <w:rPr>
                <w:rFonts w:ascii="Times New Roman" w:hAnsi="Times New Roman" w:cs="Times New Roman"/>
                <w:sz w:val="20"/>
                <w:szCs w:val="20"/>
              </w:rPr>
              <w:t xml:space="preserve">DCA provided the following guidance for a similar question during the 2021 9% Competitive Round (see 2021 Q&amp;A </w:t>
            </w:r>
            <w:r w:rsidRPr="007424E0">
              <w:rPr>
                <w:rFonts w:ascii="Times New Roman" w:hAnsi="Times New Roman" w:cs="Times New Roman"/>
                <w:b/>
                <w:bCs/>
                <w:sz w:val="20"/>
                <w:szCs w:val="20"/>
              </w:rPr>
              <w:t>Q0201_06</w:t>
            </w:r>
            <w:r w:rsidRPr="007424E0">
              <w:rPr>
                <w:rFonts w:ascii="Times New Roman" w:hAnsi="Times New Roman" w:cs="Times New Roman"/>
                <w:sz w:val="20"/>
                <w:szCs w:val="20"/>
              </w:rPr>
              <w:t>). This guidance still holds for purposes of the 2022 9% Competitive Round:</w:t>
            </w:r>
          </w:p>
          <w:p w14:paraId="49821D72" w14:textId="77777777" w:rsidR="00412798" w:rsidRPr="007424E0" w:rsidRDefault="00412798" w:rsidP="000F6D48">
            <w:pPr>
              <w:contextualSpacing/>
              <w:rPr>
                <w:rFonts w:ascii="Times New Roman" w:hAnsi="Times New Roman" w:cs="Times New Roman"/>
                <w:b/>
                <w:bCs/>
                <w:sz w:val="20"/>
                <w:szCs w:val="20"/>
              </w:rPr>
            </w:pPr>
          </w:p>
          <w:p w14:paraId="1FB087B1" w14:textId="77777777" w:rsidR="00412798" w:rsidRPr="007424E0" w:rsidRDefault="00412798" w:rsidP="000F6D48">
            <w:pPr>
              <w:ind w:left="720"/>
              <w:rPr>
                <w:rFonts w:ascii="Times New Roman" w:hAnsi="Times New Roman" w:cs="Times New Roman"/>
                <w:sz w:val="20"/>
                <w:szCs w:val="20"/>
              </w:rPr>
            </w:pPr>
            <w:r w:rsidRPr="007424E0">
              <w:rPr>
                <w:rFonts w:ascii="Times New Roman" w:hAnsi="Times New Roman" w:cs="Times New Roman"/>
                <w:sz w:val="20"/>
                <w:szCs w:val="20"/>
              </w:rPr>
              <w:t>“An establishment that an applicant certifies is operational as of the Application Submission deadline...will qualify for points under this section. This certification is covered by the relevant clauses in the “Applicant Certification Letter” required for all applications and requires no separate actions specific to this section. Relevant clauses are below:</w:t>
            </w:r>
          </w:p>
          <w:p w14:paraId="52524CA5" w14:textId="77777777" w:rsidR="00412798" w:rsidRPr="007424E0" w:rsidRDefault="00412798" w:rsidP="000F6D48">
            <w:pPr>
              <w:ind w:left="720"/>
              <w:rPr>
                <w:rFonts w:ascii="Times New Roman" w:hAnsi="Times New Roman" w:cs="Times New Roman"/>
                <w:i/>
                <w:sz w:val="20"/>
                <w:szCs w:val="20"/>
              </w:rPr>
            </w:pPr>
            <w:r w:rsidRPr="007424E0">
              <w:rPr>
                <w:rFonts w:ascii="Times New Roman" w:hAnsi="Times New Roman" w:cs="Times New Roman"/>
                <w:i/>
                <w:iCs/>
                <w:sz w:val="20"/>
                <w:szCs w:val="20"/>
              </w:rPr>
              <w:br/>
              <w:t xml:space="preserve">‘I understand that, in the event an allocation (or an allowance) for LIHTCs was obtained with false information supplied to the Georgia Department of Community Affairs ("DCA"), DCA will recapture the LIHTCs or request that the IRS deny tax credits to the Applicant entity.   Also, a supplier, including the developer or owner, who knowingly provides false information will be barred by DCA from program participation for a period of five (5) years from the date the false information was discovered, in </w:t>
            </w:r>
            <w:r w:rsidRPr="007424E0">
              <w:rPr>
                <w:rFonts w:ascii="Times New Roman" w:hAnsi="Times New Roman" w:cs="Times New Roman"/>
                <w:i/>
                <w:iCs/>
                <w:sz w:val="20"/>
                <w:szCs w:val="20"/>
              </w:rPr>
              <w:lastRenderedPageBreak/>
              <w:t>accordance with a Memorandum of Understanding between the Internal Revenue Service and the Georgia Housing and Finance Authority.’</w:t>
            </w:r>
            <w:r w:rsidRPr="007424E0">
              <w:rPr>
                <w:rFonts w:ascii="Times New Roman" w:hAnsi="Times New Roman" w:cs="Times New Roman"/>
                <w:i/>
                <w:iCs/>
                <w:sz w:val="20"/>
                <w:szCs w:val="20"/>
              </w:rPr>
              <w:br/>
            </w:r>
            <w:r w:rsidRPr="007424E0">
              <w:rPr>
                <w:rFonts w:ascii="Times New Roman" w:hAnsi="Times New Roman" w:cs="Times New Roman"/>
                <w:i/>
                <w:iCs/>
                <w:sz w:val="20"/>
                <w:szCs w:val="20"/>
              </w:rPr>
              <w:br/>
              <w:t>‘I understand that any misrepresentations, which includes fraudulent, negligent, and/or innocent, in this Application or supporting documentation may result in a withdrawal of tax credits and/or HOME loan by DCA, my (and related parties) being barred from future program participation, and notification of the Internal Revenue Service and/or HUD.’</w:t>
            </w:r>
          </w:p>
        </w:tc>
      </w:tr>
      <w:tr w:rsidR="00412798" w:rsidRPr="007424E0" w14:paraId="1CAD622B" w14:textId="77777777" w:rsidTr="64301FE8">
        <w:trPr>
          <w:jc w:val="center"/>
        </w:trPr>
        <w:tc>
          <w:tcPr>
            <w:tcW w:w="1697" w:type="dxa"/>
            <w:shd w:val="clear" w:color="auto" w:fill="auto"/>
            <w:tcMar>
              <w:top w:w="72" w:type="dxa"/>
              <w:left w:w="115" w:type="dxa"/>
              <w:bottom w:w="72" w:type="dxa"/>
              <w:right w:w="115" w:type="dxa"/>
            </w:tcMar>
            <w:vAlign w:val="center"/>
          </w:tcPr>
          <w:p w14:paraId="238DE6A4"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5/16/22</w:t>
            </w:r>
          </w:p>
        </w:tc>
        <w:tc>
          <w:tcPr>
            <w:tcW w:w="2663" w:type="dxa"/>
            <w:shd w:val="clear" w:color="auto" w:fill="auto"/>
            <w:tcMar>
              <w:top w:w="72" w:type="dxa"/>
              <w:left w:w="115" w:type="dxa"/>
              <w:bottom w:w="72" w:type="dxa"/>
              <w:right w:w="115" w:type="dxa"/>
            </w:tcMar>
            <w:vAlign w:val="center"/>
          </w:tcPr>
          <w:p w14:paraId="15D5F0C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3.10</w:t>
            </w:r>
          </w:p>
          <w:p w14:paraId="4B82DBE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763B366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Stable Communities</w:t>
            </w:r>
          </w:p>
        </w:tc>
        <w:tc>
          <w:tcPr>
            <w:tcW w:w="9585" w:type="dxa"/>
            <w:shd w:val="clear" w:color="auto" w:fill="auto"/>
            <w:tcMar>
              <w:top w:w="72" w:type="dxa"/>
              <w:left w:w="115" w:type="dxa"/>
              <w:bottom w:w="72" w:type="dxa"/>
              <w:right w:w="115" w:type="dxa"/>
            </w:tcMar>
            <w:vAlign w:val="center"/>
          </w:tcPr>
          <w:p w14:paraId="58A33FE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xml:space="preserve">: </w:t>
            </w:r>
            <w:r w:rsidRPr="007424E0">
              <w:rPr>
                <w:rFonts w:ascii="Times New Roman" w:eastAsia="Times New Roman" w:hAnsi="Times New Roman" w:cs="Times New Roman"/>
                <w:b/>
                <w:bCs/>
                <w:sz w:val="20"/>
                <w:szCs w:val="20"/>
              </w:rPr>
              <w:t>Q22_0510_15</w:t>
            </w:r>
            <w:r w:rsidRPr="007424E0">
              <w:rPr>
                <w:rFonts w:ascii="Times New Roman" w:eastAsia="Times New Roman" w:hAnsi="Times New Roman" w:cs="Times New Roman"/>
                <w:sz w:val="20"/>
                <w:szCs w:val="20"/>
              </w:rPr>
              <w:t> </w:t>
            </w:r>
          </w:p>
          <w:p w14:paraId="09D727C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242424"/>
                <w:sz w:val="20"/>
                <w:szCs w:val="20"/>
                <w:shd w:val="clear" w:color="auto" w:fill="FFFFFF"/>
              </w:rPr>
              <w:t>I am having trouble figuring out how to get scoring information for a specific census tract. How can I get assistance for this? </w:t>
            </w:r>
            <w:r w:rsidRPr="007424E0">
              <w:rPr>
                <w:rFonts w:ascii="Times New Roman" w:eastAsia="Times New Roman" w:hAnsi="Times New Roman" w:cs="Times New Roman"/>
                <w:color w:val="242424"/>
                <w:sz w:val="20"/>
                <w:szCs w:val="20"/>
              </w:rPr>
              <w:t> </w:t>
            </w:r>
          </w:p>
          <w:p w14:paraId="1E1EEE1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3A0C38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97A878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242424"/>
                <w:sz w:val="20"/>
                <w:szCs w:val="20"/>
                <w:shd w:val="clear" w:color="auto" w:fill="FFFFFF"/>
              </w:rPr>
              <w:t>Please review </w:t>
            </w:r>
            <w:r w:rsidRPr="007424E0">
              <w:rPr>
                <w:rFonts w:ascii="Times New Roman" w:eastAsia="Times New Roman" w:hAnsi="Times New Roman" w:cs="Times New Roman"/>
                <w:b/>
                <w:bCs/>
                <w:color w:val="242424"/>
                <w:sz w:val="20"/>
                <w:szCs w:val="20"/>
                <w:shd w:val="clear" w:color="auto" w:fill="FFFFFF"/>
              </w:rPr>
              <w:t>Q22_0419_03</w:t>
            </w:r>
            <w:r w:rsidRPr="007424E0">
              <w:rPr>
                <w:rFonts w:ascii="Times New Roman" w:eastAsia="Times New Roman" w:hAnsi="Times New Roman" w:cs="Times New Roman"/>
                <w:color w:val="242424"/>
                <w:sz w:val="20"/>
                <w:szCs w:val="20"/>
                <w:shd w:val="clear" w:color="auto" w:fill="FFFFFF"/>
              </w:rPr>
              <w:t>. If you still are unable to confirm the information you're seeking for a specific census tract, please feel free to submit the census tract through our Q&amp;A survey (</w:t>
            </w:r>
            <w:hyperlink r:id="rId37" w:tgtFrame="_blank" w:history="1">
              <w:r w:rsidRPr="007424E0">
                <w:rPr>
                  <w:rFonts w:ascii="Times New Roman" w:eastAsia="Times New Roman" w:hAnsi="Times New Roman" w:cs="Times New Roman"/>
                  <w:color w:val="0563C1"/>
                  <w:sz w:val="20"/>
                  <w:szCs w:val="20"/>
                  <w:u w:val="single"/>
                  <w:shd w:val="clear" w:color="auto" w:fill="FFFFFF"/>
                </w:rPr>
                <w:t>click here</w:t>
              </w:r>
            </w:hyperlink>
            <w:r w:rsidRPr="007424E0">
              <w:rPr>
                <w:rFonts w:ascii="Times New Roman" w:eastAsia="Times New Roman" w:hAnsi="Times New Roman" w:cs="Times New Roman"/>
                <w:color w:val="242424"/>
                <w:sz w:val="20"/>
                <w:szCs w:val="20"/>
                <w:shd w:val="clear" w:color="auto" w:fill="FFFFFF"/>
              </w:rPr>
              <w:t>) with the issue you're having.</w:t>
            </w:r>
            <w:r w:rsidRPr="007424E0">
              <w:rPr>
                <w:rFonts w:ascii="Times New Roman" w:eastAsia="Times New Roman" w:hAnsi="Times New Roman" w:cs="Times New Roman"/>
                <w:color w:val="242424"/>
                <w:sz w:val="20"/>
                <w:szCs w:val="20"/>
              </w:rPr>
              <w:t> </w:t>
            </w:r>
          </w:p>
        </w:tc>
      </w:tr>
      <w:tr w:rsidR="00412798" w:rsidRPr="007424E0" w14:paraId="212BAD33" w14:textId="77777777" w:rsidTr="64301FE8">
        <w:trPr>
          <w:jc w:val="center"/>
        </w:trPr>
        <w:tc>
          <w:tcPr>
            <w:tcW w:w="1697" w:type="dxa"/>
            <w:shd w:val="clear" w:color="auto" w:fill="auto"/>
            <w:tcMar>
              <w:top w:w="72" w:type="dxa"/>
              <w:left w:w="115" w:type="dxa"/>
              <w:bottom w:w="72" w:type="dxa"/>
              <w:right w:w="115" w:type="dxa"/>
            </w:tcMar>
            <w:vAlign w:val="center"/>
          </w:tcPr>
          <w:p w14:paraId="429BBA3A"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5/16/22</w:t>
            </w:r>
          </w:p>
        </w:tc>
        <w:tc>
          <w:tcPr>
            <w:tcW w:w="2663" w:type="dxa"/>
            <w:shd w:val="clear" w:color="auto" w:fill="auto"/>
            <w:tcMar>
              <w:top w:w="72" w:type="dxa"/>
              <w:left w:w="115" w:type="dxa"/>
              <w:bottom w:w="72" w:type="dxa"/>
              <w:right w:w="115" w:type="dxa"/>
            </w:tcMar>
            <w:vAlign w:val="center"/>
          </w:tcPr>
          <w:p w14:paraId="6B441C2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3.10</w:t>
            </w:r>
          </w:p>
          <w:p w14:paraId="2EF9299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27BE21E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Stable Communities</w:t>
            </w:r>
          </w:p>
        </w:tc>
        <w:tc>
          <w:tcPr>
            <w:tcW w:w="9585" w:type="dxa"/>
            <w:shd w:val="clear" w:color="auto" w:fill="auto"/>
            <w:tcMar>
              <w:top w:w="72" w:type="dxa"/>
              <w:left w:w="115" w:type="dxa"/>
              <w:bottom w:w="72" w:type="dxa"/>
              <w:right w:w="115" w:type="dxa"/>
            </w:tcMar>
            <w:vAlign w:val="center"/>
          </w:tcPr>
          <w:p w14:paraId="4427B22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Q22_0429_02 </w:t>
            </w:r>
          </w:p>
          <w:p w14:paraId="41E93E3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If my application’s 2010 Census Tract is associated with multiple 2020 Census Tracts according to the </w:t>
            </w:r>
            <w:r w:rsidRPr="007424E0">
              <w:rPr>
                <w:rFonts w:ascii="Times New Roman" w:eastAsia="Times New Roman" w:hAnsi="Times New Roman" w:cs="Times New Roman"/>
                <w:i/>
                <w:iCs/>
                <w:color w:val="000000"/>
                <w:sz w:val="20"/>
                <w:szCs w:val="20"/>
              </w:rPr>
              <w:t>2010 to 2020 Census Tract Relationship File</w:t>
            </w:r>
            <w:r w:rsidRPr="007424E0">
              <w:rPr>
                <w:rFonts w:ascii="Times New Roman" w:eastAsia="Times New Roman" w:hAnsi="Times New Roman" w:cs="Times New Roman"/>
                <w:color w:val="000000"/>
                <w:sz w:val="20"/>
                <w:szCs w:val="20"/>
              </w:rPr>
              <w:t xml:space="preserve"> posted to the DCA website on 4/20/22, may I claim points using any of the associated 2020 Census Tracts? </w:t>
            </w:r>
          </w:p>
          <w:p w14:paraId="2C0537A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5F34A97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0255B24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No, applicants will not receive points related to a Census Tract that does not include the proposed development. Applicants are responsible for identifying their proposed development’s 2010 Census Tracts (where applicant is using 2018 or 2019 data) and 2020 Census Tracts (where applicable is using 2020 data). </w:t>
            </w:r>
          </w:p>
          <w:p w14:paraId="2CA590F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66B7CDB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A 2010 Tract may be associated with multiple 2020 Tracts, and vice versa, as some 2010 Tracts were split into multiple 2020 Tracts, and other 2010 Tracts were combined into one 2020 Tract. The </w:t>
            </w:r>
            <w:r w:rsidRPr="007424E0">
              <w:rPr>
                <w:rFonts w:ascii="Times New Roman" w:eastAsia="Times New Roman" w:hAnsi="Times New Roman" w:cs="Times New Roman"/>
                <w:i/>
                <w:iCs/>
                <w:color w:val="000000"/>
                <w:sz w:val="20"/>
                <w:szCs w:val="20"/>
              </w:rPr>
              <w:t>2010 to 2020 Census Tract Relationship File</w:t>
            </w:r>
            <w:r w:rsidRPr="007424E0">
              <w:rPr>
                <w:rFonts w:ascii="Times New Roman" w:eastAsia="Times New Roman" w:hAnsi="Times New Roman" w:cs="Times New Roman"/>
                <w:color w:val="000000"/>
                <w:sz w:val="20"/>
                <w:szCs w:val="20"/>
              </w:rPr>
              <w:t xml:space="preserve"> is solely intended to assist applicants in understanding how Census Tracts have changed from 2010 to 2020 and may not be used to claim points for a Census Tract which does not include the proposed development. </w:t>
            </w:r>
          </w:p>
          <w:p w14:paraId="345AEE5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w:t>
            </w:r>
          </w:p>
          <w:p w14:paraId="1F76872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color w:val="000000"/>
                <w:sz w:val="20"/>
                <w:szCs w:val="20"/>
              </w:rPr>
              <w:t xml:space="preserve">DCA has also added “2010 Census Tracts” and “2020 Census Tracts” layers to the </w:t>
            </w:r>
            <w:r w:rsidRPr="007424E0">
              <w:rPr>
                <w:rFonts w:ascii="Times New Roman" w:eastAsia="Times New Roman" w:hAnsi="Times New Roman" w:cs="Times New Roman"/>
                <w:i/>
                <w:iCs/>
                <w:color w:val="000000"/>
                <w:sz w:val="20"/>
                <w:szCs w:val="20"/>
              </w:rPr>
              <w:t xml:space="preserve">Housing Tax Credit Properties Map </w:t>
            </w:r>
            <w:r w:rsidRPr="007424E0">
              <w:rPr>
                <w:rFonts w:ascii="Times New Roman" w:eastAsia="Times New Roman" w:hAnsi="Times New Roman" w:cs="Times New Roman"/>
                <w:color w:val="000000"/>
                <w:sz w:val="20"/>
                <w:szCs w:val="20"/>
              </w:rPr>
              <w:t>posted to the 2022 QAP Scoring Documents and Data page of the DCA website (</w:t>
            </w:r>
            <w:hyperlink r:id="rId38" w:tgtFrame="_blank" w:history="1">
              <w:r w:rsidRPr="007424E0">
                <w:rPr>
                  <w:rFonts w:ascii="Times New Roman" w:eastAsia="Times New Roman" w:hAnsi="Times New Roman" w:cs="Times New Roman"/>
                  <w:color w:val="0563C1"/>
                  <w:sz w:val="20"/>
                  <w:szCs w:val="20"/>
                  <w:u w:val="single"/>
                </w:rPr>
                <w:t>click here</w:t>
              </w:r>
            </w:hyperlink>
            <w:r w:rsidRPr="007424E0">
              <w:rPr>
                <w:rFonts w:ascii="Times New Roman" w:eastAsia="Times New Roman" w:hAnsi="Times New Roman" w:cs="Times New Roman"/>
                <w:color w:val="000000"/>
                <w:sz w:val="20"/>
                <w:szCs w:val="20"/>
              </w:rPr>
              <w:t xml:space="preserve">), allowing applicants to identify their proposed development’s Census Tract by entering the property location in the search bar. See the response to question </w:t>
            </w:r>
            <w:r w:rsidRPr="007424E0">
              <w:rPr>
                <w:rFonts w:ascii="Times New Roman" w:eastAsia="Times New Roman" w:hAnsi="Times New Roman" w:cs="Times New Roman"/>
                <w:b/>
                <w:bCs/>
                <w:color w:val="000000"/>
                <w:sz w:val="20"/>
                <w:szCs w:val="20"/>
              </w:rPr>
              <w:t>Q22_0419_03</w:t>
            </w:r>
            <w:r w:rsidRPr="007424E0">
              <w:rPr>
                <w:rFonts w:ascii="Times New Roman" w:eastAsia="Times New Roman" w:hAnsi="Times New Roman" w:cs="Times New Roman"/>
                <w:color w:val="000000"/>
                <w:sz w:val="20"/>
                <w:szCs w:val="20"/>
              </w:rPr>
              <w:t xml:space="preserve"> added to the </w:t>
            </w:r>
            <w:r w:rsidRPr="007424E0">
              <w:rPr>
                <w:rFonts w:ascii="Times New Roman" w:eastAsia="Times New Roman" w:hAnsi="Times New Roman" w:cs="Times New Roman"/>
                <w:i/>
                <w:iCs/>
                <w:color w:val="000000"/>
                <w:sz w:val="20"/>
                <w:szCs w:val="20"/>
              </w:rPr>
              <w:t>Q&amp;A Instructions and DCA Responses</w:t>
            </w:r>
            <w:r w:rsidRPr="007424E0">
              <w:rPr>
                <w:rFonts w:ascii="Times New Roman" w:eastAsia="Times New Roman" w:hAnsi="Times New Roman" w:cs="Times New Roman"/>
                <w:color w:val="000000"/>
                <w:sz w:val="20"/>
                <w:szCs w:val="20"/>
              </w:rPr>
              <w:t xml:space="preserve"> document on 4/21/22 for detailed instructions. </w:t>
            </w:r>
          </w:p>
        </w:tc>
      </w:tr>
      <w:tr w:rsidR="00412798" w:rsidRPr="007424E0" w14:paraId="2BF5682F" w14:textId="77777777" w:rsidTr="64301FE8">
        <w:trPr>
          <w:jc w:val="center"/>
        </w:trPr>
        <w:tc>
          <w:tcPr>
            <w:tcW w:w="1697" w:type="dxa"/>
            <w:shd w:val="clear" w:color="auto" w:fill="auto"/>
            <w:tcMar>
              <w:top w:w="72" w:type="dxa"/>
              <w:left w:w="115" w:type="dxa"/>
              <w:bottom w:w="72" w:type="dxa"/>
              <w:right w:w="115" w:type="dxa"/>
            </w:tcMar>
            <w:vAlign w:val="center"/>
          </w:tcPr>
          <w:p w14:paraId="23A042B0"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5/11/22</w:t>
            </w:r>
          </w:p>
        </w:tc>
        <w:tc>
          <w:tcPr>
            <w:tcW w:w="2663" w:type="dxa"/>
            <w:shd w:val="clear" w:color="auto" w:fill="auto"/>
            <w:tcMar>
              <w:top w:w="72" w:type="dxa"/>
              <w:left w:w="115" w:type="dxa"/>
              <w:bottom w:w="72" w:type="dxa"/>
              <w:right w:w="115" w:type="dxa"/>
            </w:tcMar>
            <w:vAlign w:val="center"/>
          </w:tcPr>
          <w:p w14:paraId="562B268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2.02</w:t>
            </w:r>
          </w:p>
          <w:p w14:paraId="507161D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28C3E87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Project Feasibility, Viability Analysis &amp; Conformance with Plan</w:t>
            </w:r>
          </w:p>
        </w:tc>
        <w:tc>
          <w:tcPr>
            <w:tcW w:w="9585" w:type="dxa"/>
            <w:shd w:val="clear" w:color="auto" w:fill="auto"/>
            <w:tcMar>
              <w:top w:w="72" w:type="dxa"/>
              <w:left w:w="115" w:type="dxa"/>
              <w:bottom w:w="72" w:type="dxa"/>
              <w:right w:w="115" w:type="dxa"/>
            </w:tcMar>
            <w:vAlign w:val="center"/>
          </w:tcPr>
          <w:p w14:paraId="7EBA429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Q22_0426_03</w:t>
            </w:r>
            <w:r w:rsidRPr="007424E0">
              <w:rPr>
                <w:rStyle w:val="eop"/>
                <w:sz w:val="20"/>
                <w:szCs w:val="20"/>
              </w:rPr>
              <w:t> </w:t>
            </w:r>
          </w:p>
          <w:p w14:paraId="4A99BCD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How/where do we find the DCA published utility allowances that should be used in the 2022 applications? </w:t>
            </w:r>
            <w:r w:rsidRPr="007424E0">
              <w:rPr>
                <w:rStyle w:val="eop"/>
                <w:sz w:val="20"/>
                <w:szCs w:val="20"/>
              </w:rPr>
              <w:t> </w:t>
            </w:r>
          </w:p>
          <w:p w14:paraId="06EEC5F3"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12CAB1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79AC1A1E"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See </w:t>
            </w:r>
            <w:r w:rsidRPr="007424E0">
              <w:rPr>
                <w:rStyle w:val="normaltextrun"/>
                <w:b/>
                <w:bCs/>
                <w:sz w:val="20"/>
                <w:szCs w:val="20"/>
              </w:rPr>
              <w:t xml:space="preserve">(Threshold) Project Feasibility, Viability Analysis &amp; Conformance with Plan, Operating Utility Allowance (UA) </w:t>
            </w:r>
            <w:r w:rsidRPr="007424E0">
              <w:rPr>
                <w:rStyle w:val="normaltextrun"/>
                <w:sz w:val="20"/>
                <w:szCs w:val="20"/>
              </w:rPr>
              <w:t xml:space="preserve">and the </w:t>
            </w:r>
            <w:r w:rsidRPr="007424E0">
              <w:rPr>
                <w:rStyle w:val="normaltextrun"/>
                <w:i/>
                <w:iCs/>
                <w:sz w:val="20"/>
                <w:szCs w:val="20"/>
              </w:rPr>
              <w:t>DCA Utility Allowance Map</w:t>
            </w:r>
            <w:r w:rsidRPr="007424E0">
              <w:rPr>
                <w:rStyle w:val="normaltextrun"/>
                <w:sz w:val="20"/>
                <w:szCs w:val="20"/>
              </w:rPr>
              <w:t xml:space="preserve"> to determine which method(s) and Utility Allowance schedule(s) applies to your application. </w:t>
            </w:r>
            <w:r w:rsidRPr="007424E0">
              <w:rPr>
                <w:rStyle w:val="eop"/>
                <w:sz w:val="20"/>
                <w:szCs w:val="20"/>
              </w:rPr>
              <w:t> </w:t>
            </w:r>
          </w:p>
          <w:p w14:paraId="5A72FAC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80B1370"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sz w:val="20"/>
                <w:szCs w:val="20"/>
              </w:rPr>
              <w:t xml:space="preserve">The </w:t>
            </w:r>
            <w:r w:rsidRPr="007424E0">
              <w:rPr>
                <w:rStyle w:val="normaltextrun"/>
                <w:i/>
                <w:iCs/>
                <w:sz w:val="20"/>
                <w:szCs w:val="20"/>
              </w:rPr>
              <w:t>DCA Utility Allowance Map</w:t>
            </w:r>
            <w:r w:rsidRPr="007424E0">
              <w:rPr>
                <w:rStyle w:val="normaltextrun"/>
                <w:sz w:val="20"/>
                <w:szCs w:val="20"/>
              </w:rPr>
              <w:t xml:space="preserve"> and </w:t>
            </w:r>
            <w:r w:rsidRPr="007424E0">
              <w:rPr>
                <w:rStyle w:val="normaltextrun"/>
                <w:i/>
                <w:iCs/>
                <w:sz w:val="20"/>
                <w:szCs w:val="20"/>
              </w:rPr>
              <w:t>DCA Utility Allowance Schedule</w:t>
            </w:r>
            <w:r w:rsidRPr="007424E0">
              <w:rPr>
                <w:rStyle w:val="normaltextrun"/>
                <w:sz w:val="20"/>
                <w:szCs w:val="20"/>
              </w:rPr>
              <w:t xml:space="preserve"> are posted to the Rental Housing Development – Compliance Monitoring page of the DCA website (</w:t>
            </w:r>
            <w:hyperlink r:id="rId39" w:history="1">
              <w:r w:rsidRPr="007424E0">
                <w:rPr>
                  <w:rStyle w:val="Hyperlink"/>
                  <w:sz w:val="20"/>
                  <w:szCs w:val="20"/>
                </w:rPr>
                <w:t>click here</w:t>
              </w:r>
            </w:hyperlink>
            <w:r w:rsidRPr="007424E0">
              <w:rPr>
                <w:rStyle w:val="normaltextrun"/>
                <w:sz w:val="20"/>
                <w:szCs w:val="20"/>
              </w:rPr>
              <w:t>).</w:t>
            </w:r>
          </w:p>
        </w:tc>
      </w:tr>
      <w:tr w:rsidR="00412798" w:rsidRPr="007424E0" w14:paraId="2B71C3BC" w14:textId="77777777" w:rsidTr="64301FE8">
        <w:trPr>
          <w:jc w:val="center"/>
        </w:trPr>
        <w:tc>
          <w:tcPr>
            <w:tcW w:w="1697" w:type="dxa"/>
            <w:shd w:val="clear" w:color="auto" w:fill="auto"/>
            <w:tcMar>
              <w:top w:w="72" w:type="dxa"/>
              <w:left w:w="115" w:type="dxa"/>
              <w:bottom w:w="72" w:type="dxa"/>
              <w:right w:w="115" w:type="dxa"/>
            </w:tcMar>
            <w:vAlign w:val="center"/>
          </w:tcPr>
          <w:p w14:paraId="00AAAB45"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5/11/22</w:t>
            </w:r>
          </w:p>
        </w:tc>
        <w:tc>
          <w:tcPr>
            <w:tcW w:w="2663" w:type="dxa"/>
            <w:shd w:val="clear" w:color="auto" w:fill="auto"/>
            <w:tcMar>
              <w:top w:w="72" w:type="dxa"/>
              <w:left w:w="115" w:type="dxa"/>
              <w:bottom w:w="72" w:type="dxa"/>
              <w:right w:w="115" w:type="dxa"/>
            </w:tcMar>
            <w:vAlign w:val="center"/>
          </w:tcPr>
          <w:p w14:paraId="2E79218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2.02</w:t>
            </w:r>
          </w:p>
          <w:p w14:paraId="7807F90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64E8933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Project Feasibility, Viability Analysis &amp; Conformance with Plan</w:t>
            </w:r>
          </w:p>
          <w:p w14:paraId="496459CE" w14:textId="77777777" w:rsidR="00412798" w:rsidRPr="007424E0" w:rsidRDefault="00412798" w:rsidP="000F6D48">
            <w:pPr>
              <w:rPr>
                <w:rFonts w:ascii="Times New Roman" w:hAnsi="Times New Roman" w:cs="Times New Roman"/>
                <w:sz w:val="20"/>
                <w:szCs w:val="20"/>
              </w:rPr>
            </w:pPr>
          </w:p>
          <w:p w14:paraId="29D60FD9" w14:textId="77777777" w:rsidR="00412798" w:rsidRPr="007424E0" w:rsidRDefault="00412798" w:rsidP="000F6D48">
            <w:pPr>
              <w:rPr>
                <w:rFonts w:ascii="Times New Roman" w:hAnsi="Times New Roman" w:cs="Times New Roman"/>
                <w:sz w:val="20"/>
                <w:szCs w:val="20"/>
              </w:rPr>
            </w:pPr>
          </w:p>
          <w:p w14:paraId="142AD3C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(also 3.04 Scoring; Deeper Targeting)</w:t>
            </w:r>
          </w:p>
        </w:tc>
        <w:tc>
          <w:tcPr>
            <w:tcW w:w="9585" w:type="dxa"/>
            <w:shd w:val="clear" w:color="auto" w:fill="auto"/>
            <w:tcMar>
              <w:top w:w="72" w:type="dxa"/>
              <w:left w:w="115" w:type="dxa"/>
              <w:bottom w:w="72" w:type="dxa"/>
              <w:right w:w="115" w:type="dxa"/>
            </w:tcMar>
            <w:vAlign w:val="center"/>
          </w:tcPr>
          <w:p w14:paraId="4A0B0189" w14:textId="77777777" w:rsidR="00412798" w:rsidRPr="007424E0" w:rsidRDefault="00412798" w:rsidP="000F6D48">
            <w:pPr>
              <w:pStyle w:val="paragraph"/>
              <w:spacing w:before="0" w:beforeAutospacing="0" w:after="0" w:afterAutospacing="0"/>
              <w:textAlignment w:val="baseline"/>
              <w:rPr>
                <w:rFonts w:eastAsia="MS Mincho"/>
                <w:sz w:val="20"/>
                <w:szCs w:val="20"/>
              </w:rPr>
            </w:pPr>
            <w:r w:rsidRPr="007424E0">
              <w:rPr>
                <w:rStyle w:val="normaltextrun"/>
                <w:rFonts w:eastAsia="MS Mincho"/>
                <w:b/>
                <w:bCs/>
                <w:sz w:val="20"/>
                <w:szCs w:val="20"/>
              </w:rPr>
              <w:t>Question</w:t>
            </w:r>
            <w:r w:rsidRPr="007424E0">
              <w:rPr>
                <w:rStyle w:val="normaltextrun"/>
                <w:rFonts w:eastAsia="MS Mincho"/>
                <w:sz w:val="20"/>
                <w:szCs w:val="20"/>
              </w:rPr>
              <w:t xml:space="preserve">: </w:t>
            </w:r>
            <w:r w:rsidRPr="007424E0">
              <w:rPr>
                <w:rStyle w:val="normaltextrun"/>
                <w:rFonts w:eastAsia="MS Mincho"/>
                <w:b/>
                <w:bCs/>
                <w:sz w:val="20"/>
                <w:szCs w:val="20"/>
              </w:rPr>
              <w:t>Q22_0418_15</w:t>
            </w:r>
            <w:r w:rsidRPr="007424E0">
              <w:rPr>
                <w:rStyle w:val="eop"/>
                <w:rFonts w:eastAsia="MS Mincho"/>
                <w:sz w:val="20"/>
                <w:szCs w:val="20"/>
              </w:rPr>
              <w:t> </w:t>
            </w:r>
          </w:p>
          <w:p w14:paraId="2346BDDD" w14:textId="77777777" w:rsidR="00412798" w:rsidRPr="007424E0" w:rsidRDefault="00412798" w:rsidP="000F6D48">
            <w:pPr>
              <w:pStyle w:val="paragraph"/>
              <w:spacing w:before="0" w:beforeAutospacing="0" w:after="0" w:afterAutospacing="0"/>
              <w:textAlignment w:val="baseline"/>
              <w:rPr>
                <w:rFonts w:eastAsia="MS Mincho"/>
                <w:sz w:val="20"/>
                <w:szCs w:val="20"/>
              </w:rPr>
            </w:pPr>
            <w:r w:rsidRPr="007424E0">
              <w:rPr>
                <w:rStyle w:val="normaltextrun"/>
                <w:rFonts w:eastAsia="MS Mincho"/>
                <w:sz w:val="20"/>
                <w:szCs w:val="20"/>
              </w:rPr>
              <w:t>Our proposed development plans to utilize the RAD/Section 18 blends opportunity for our rent structure. HUD does not provide a commitment for the non-RAD PBV HAP contract until all other financing is in place, including the tax credit award.</w:t>
            </w:r>
            <w:r w:rsidRPr="007424E0">
              <w:rPr>
                <w:rStyle w:val="eop"/>
                <w:rFonts w:eastAsia="MS Mincho"/>
                <w:sz w:val="20"/>
                <w:szCs w:val="20"/>
              </w:rPr>
              <w:t> </w:t>
            </w:r>
          </w:p>
          <w:p w14:paraId="6BEE79A2" w14:textId="77777777" w:rsidR="00412798" w:rsidRPr="007424E0" w:rsidRDefault="00412798" w:rsidP="000F6D48">
            <w:pPr>
              <w:pStyle w:val="paragraph"/>
              <w:spacing w:before="0" w:beforeAutospacing="0" w:after="0" w:afterAutospacing="0"/>
              <w:textAlignment w:val="baseline"/>
              <w:rPr>
                <w:rFonts w:eastAsia="MS Mincho"/>
                <w:sz w:val="20"/>
                <w:szCs w:val="20"/>
              </w:rPr>
            </w:pPr>
            <w:r w:rsidRPr="007424E0">
              <w:rPr>
                <w:rStyle w:val="eop"/>
                <w:rFonts w:eastAsia="MS Mincho"/>
                <w:sz w:val="20"/>
                <w:szCs w:val="20"/>
              </w:rPr>
              <w:t> </w:t>
            </w:r>
          </w:p>
          <w:p w14:paraId="36BD3E74" w14:textId="77777777" w:rsidR="00412798" w:rsidRPr="007424E0" w:rsidRDefault="00412798" w:rsidP="000F6D48">
            <w:pPr>
              <w:pStyle w:val="paragraph"/>
              <w:spacing w:before="0" w:beforeAutospacing="0" w:after="0" w:afterAutospacing="0"/>
              <w:textAlignment w:val="baseline"/>
              <w:rPr>
                <w:rFonts w:eastAsia="MS Mincho"/>
                <w:sz w:val="20"/>
                <w:szCs w:val="20"/>
              </w:rPr>
            </w:pPr>
            <w:r w:rsidRPr="007424E0">
              <w:rPr>
                <w:rStyle w:val="normaltextrun"/>
                <w:rFonts w:eastAsia="MS Mincho"/>
                <w:sz w:val="20"/>
                <w:szCs w:val="20"/>
              </w:rPr>
              <w:t xml:space="preserve">How can applicants meet documentation requirements under the QAP for </w:t>
            </w:r>
            <w:r w:rsidRPr="007424E0">
              <w:rPr>
                <w:rStyle w:val="normaltextrun"/>
                <w:rFonts w:eastAsia="MS Mincho"/>
                <w:b/>
                <w:bCs/>
                <w:sz w:val="20"/>
                <w:szCs w:val="20"/>
              </w:rPr>
              <w:t>(Threshold Criteria) Project Feasibility</w:t>
            </w:r>
            <w:r w:rsidRPr="007424E0">
              <w:rPr>
                <w:rStyle w:val="normaltextrun"/>
                <w:rFonts w:eastAsia="MS Mincho"/>
                <w:sz w:val="20"/>
                <w:szCs w:val="20"/>
              </w:rPr>
              <w:t xml:space="preserve"> and </w:t>
            </w:r>
            <w:r w:rsidRPr="007424E0">
              <w:rPr>
                <w:rStyle w:val="normaltextrun"/>
                <w:rFonts w:eastAsia="MS Mincho"/>
                <w:b/>
                <w:bCs/>
                <w:sz w:val="20"/>
                <w:szCs w:val="20"/>
              </w:rPr>
              <w:t>(Scoring Criteria) Deeper Targeting</w:t>
            </w:r>
            <w:r w:rsidRPr="007424E0">
              <w:rPr>
                <w:rStyle w:val="normaltextrun"/>
                <w:rFonts w:eastAsia="MS Mincho"/>
                <w:sz w:val="20"/>
                <w:szCs w:val="20"/>
              </w:rPr>
              <w:t xml:space="preserve"> in this circumstance?</w:t>
            </w:r>
            <w:r w:rsidRPr="007424E0">
              <w:rPr>
                <w:rStyle w:val="eop"/>
                <w:rFonts w:eastAsia="MS Mincho"/>
                <w:sz w:val="20"/>
                <w:szCs w:val="20"/>
              </w:rPr>
              <w:t> </w:t>
            </w:r>
          </w:p>
          <w:p w14:paraId="1511B2B2" w14:textId="77777777" w:rsidR="00412798" w:rsidRPr="007424E0" w:rsidRDefault="00412798" w:rsidP="000F6D48">
            <w:pPr>
              <w:pStyle w:val="paragraph"/>
              <w:spacing w:before="0" w:beforeAutospacing="0" w:after="0" w:afterAutospacing="0"/>
              <w:textAlignment w:val="baseline"/>
              <w:rPr>
                <w:rFonts w:eastAsia="MS Mincho"/>
                <w:sz w:val="20"/>
                <w:szCs w:val="20"/>
              </w:rPr>
            </w:pPr>
            <w:r w:rsidRPr="007424E0">
              <w:rPr>
                <w:rStyle w:val="eop"/>
                <w:rFonts w:eastAsia="MS Mincho"/>
                <w:sz w:val="20"/>
                <w:szCs w:val="20"/>
              </w:rPr>
              <w:t> </w:t>
            </w:r>
          </w:p>
          <w:p w14:paraId="6301263C" w14:textId="77777777" w:rsidR="00412798" w:rsidRPr="007424E0" w:rsidRDefault="00412798" w:rsidP="000F6D48">
            <w:pPr>
              <w:pStyle w:val="paragraph"/>
              <w:spacing w:before="0" w:beforeAutospacing="0" w:after="0" w:afterAutospacing="0"/>
              <w:textAlignment w:val="baseline"/>
              <w:rPr>
                <w:rFonts w:eastAsia="MS Mincho"/>
                <w:sz w:val="20"/>
                <w:szCs w:val="20"/>
              </w:rPr>
            </w:pPr>
            <w:r w:rsidRPr="007424E0">
              <w:rPr>
                <w:rStyle w:val="normaltextrun"/>
                <w:rFonts w:eastAsia="MS Mincho"/>
                <w:b/>
                <w:bCs/>
                <w:sz w:val="20"/>
                <w:szCs w:val="20"/>
              </w:rPr>
              <w:t>Answer</w:t>
            </w:r>
            <w:r w:rsidRPr="007424E0">
              <w:rPr>
                <w:rStyle w:val="normaltextrun"/>
                <w:rFonts w:eastAsia="MS Mincho"/>
                <w:sz w:val="20"/>
                <w:szCs w:val="20"/>
              </w:rPr>
              <w:t>: </w:t>
            </w:r>
            <w:r w:rsidRPr="007424E0">
              <w:rPr>
                <w:rStyle w:val="eop"/>
                <w:rFonts w:eastAsia="MS Mincho"/>
                <w:sz w:val="20"/>
                <w:szCs w:val="20"/>
              </w:rPr>
              <w:t> </w:t>
            </w:r>
          </w:p>
          <w:p w14:paraId="3E24C841" w14:textId="77777777" w:rsidR="00412798" w:rsidRPr="007424E0" w:rsidRDefault="00412798" w:rsidP="000F6D48">
            <w:pPr>
              <w:pStyle w:val="paragraph"/>
              <w:spacing w:before="0" w:beforeAutospacing="0" w:after="0" w:afterAutospacing="0"/>
              <w:textAlignment w:val="baseline"/>
              <w:rPr>
                <w:rFonts w:eastAsia="MS Mincho"/>
                <w:sz w:val="20"/>
                <w:szCs w:val="20"/>
              </w:rPr>
            </w:pPr>
            <w:r w:rsidRPr="007424E0">
              <w:rPr>
                <w:rStyle w:val="normaltextrun"/>
                <w:rFonts w:eastAsia="MS Mincho"/>
                <w:sz w:val="20"/>
                <w:szCs w:val="20"/>
              </w:rPr>
              <w:t xml:space="preserve">Applicants can submit the following documentation for purposes of both </w:t>
            </w:r>
            <w:r w:rsidRPr="007424E0">
              <w:rPr>
                <w:rStyle w:val="normaltextrun"/>
                <w:rFonts w:eastAsia="MS Mincho"/>
                <w:b/>
                <w:bCs/>
                <w:sz w:val="20"/>
                <w:szCs w:val="20"/>
              </w:rPr>
              <w:t>Threshold</w:t>
            </w:r>
            <w:r w:rsidRPr="007424E0">
              <w:rPr>
                <w:rStyle w:val="normaltextrun"/>
                <w:rFonts w:eastAsia="MS Mincho"/>
                <w:sz w:val="20"/>
                <w:szCs w:val="20"/>
              </w:rPr>
              <w:t xml:space="preserve"> and </w:t>
            </w:r>
            <w:r w:rsidRPr="007424E0">
              <w:rPr>
                <w:rStyle w:val="normaltextrun"/>
                <w:rFonts w:eastAsia="MS Mincho"/>
                <w:b/>
                <w:bCs/>
                <w:sz w:val="20"/>
                <w:szCs w:val="20"/>
              </w:rPr>
              <w:t>Scoring</w:t>
            </w:r>
            <w:r w:rsidRPr="007424E0">
              <w:rPr>
                <w:rStyle w:val="normaltextrun"/>
                <w:rFonts w:eastAsia="MS Mincho"/>
                <w:sz w:val="20"/>
                <w:szCs w:val="20"/>
              </w:rPr>
              <w:t>:</w:t>
            </w:r>
            <w:r w:rsidRPr="007424E0">
              <w:rPr>
                <w:rStyle w:val="scxw127031168"/>
                <w:rFonts w:eastAsia="MS Mincho"/>
                <w:sz w:val="20"/>
                <w:szCs w:val="20"/>
              </w:rPr>
              <w:t> </w:t>
            </w:r>
            <w:r w:rsidRPr="007424E0">
              <w:rPr>
                <w:rFonts w:eastAsia="MS Mincho"/>
                <w:sz w:val="20"/>
                <w:szCs w:val="20"/>
              </w:rPr>
              <w:br/>
            </w:r>
            <w:r w:rsidRPr="007424E0">
              <w:rPr>
                <w:rStyle w:val="eop"/>
                <w:rFonts w:eastAsia="MS Mincho"/>
                <w:sz w:val="20"/>
                <w:szCs w:val="20"/>
              </w:rPr>
              <w:t> </w:t>
            </w:r>
          </w:p>
          <w:p w14:paraId="24233424" w14:textId="77777777" w:rsidR="00412798" w:rsidRPr="007424E0" w:rsidRDefault="00412798" w:rsidP="000F6D48">
            <w:pPr>
              <w:pStyle w:val="paragraph"/>
              <w:numPr>
                <w:ilvl w:val="0"/>
                <w:numId w:val="28"/>
              </w:numPr>
              <w:spacing w:before="0" w:beforeAutospacing="0" w:after="0" w:afterAutospacing="0"/>
              <w:ind w:left="1080" w:firstLine="0"/>
              <w:textAlignment w:val="baseline"/>
              <w:rPr>
                <w:rFonts w:eastAsia="MS Mincho"/>
                <w:sz w:val="20"/>
                <w:szCs w:val="20"/>
              </w:rPr>
            </w:pPr>
            <w:r w:rsidRPr="007424E0">
              <w:rPr>
                <w:rStyle w:val="normaltextrun"/>
                <w:rFonts w:eastAsia="MS Mincho"/>
                <w:sz w:val="20"/>
                <w:szCs w:val="20"/>
              </w:rPr>
              <w:t>A signed letter from HUD confirming that the development will be eligible for the RAD/Section 18 blends rent structure, pending a review of the overall financing plan.</w:t>
            </w:r>
            <w:r w:rsidRPr="007424E0">
              <w:rPr>
                <w:rStyle w:val="eop"/>
                <w:rFonts w:eastAsia="MS Mincho"/>
                <w:sz w:val="20"/>
                <w:szCs w:val="20"/>
              </w:rPr>
              <w:t> </w:t>
            </w:r>
          </w:p>
          <w:p w14:paraId="75940A56" w14:textId="77777777" w:rsidR="00412798" w:rsidRPr="007424E0" w:rsidRDefault="00412798" w:rsidP="000F6D48">
            <w:pPr>
              <w:pStyle w:val="paragraph"/>
              <w:numPr>
                <w:ilvl w:val="0"/>
                <w:numId w:val="29"/>
              </w:numPr>
              <w:spacing w:before="0" w:beforeAutospacing="0" w:after="0" w:afterAutospacing="0"/>
              <w:ind w:left="1800" w:firstLine="0"/>
              <w:textAlignment w:val="baseline"/>
              <w:rPr>
                <w:rFonts w:eastAsia="MS Mincho"/>
                <w:sz w:val="20"/>
                <w:szCs w:val="20"/>
              </w:rPr>
            </w:pPr>
            <w:r w:rsidRPr="007424E0">
              <w:rPr>
                <w:rStyle w:val="normaltextrun"/>
                <w:rFonts w:eastAsia="MS Mincho"/>
                <w:sz w:val="20"/>
                <w:szCs w:val="20"/>
              </w:rPr>
              <w:t>HUD has provided to DCA a template letter that applicants can send to HUD for signature confirming HUD’s approval of the development, the PHA’s and Owner’s decision regarding how many years the anticipated PBV contract will last, etc. This letter can be submitted as documentation in the application. </w:t>
            </w:r>
            <w:r w:rsidRPr="007424E0">
              <w:rPr>
                <w:rStyle w:val="eop"/>
                <w:rFonts w:eastAsia="MS Mincho"/>
                <w:sz w:val="20"/>
                <w:szCs w:val="20"/>
              </w:rPr>
              <w:t> </w:t>
            </w:r>
          </w:p>
          <w:p w14:paraId="4B5D8D76" w14:textId="77777777" w:rsidR="00412798" w:rsidRPr="007424E0" w:rsidRDefault="00412798" w:rsidP="000F6D48">
            <w:pPr>
              <w:pStyle w:val="paragraph"/>
              <w:numPr>
                <w:ilvl w:val="0"/>
                <w:numId w:val="29"/>
              </w:numPr>
              <w:spacing w:before="0" w:beforeAutospacing="0" w:after="0" w:afterAutospacing="0"/>
              <w:ind w:left="1800" w:firstLine="0"/>
              <w:textAlignment w:val="baseline"/>
              <w:rPr>
                <w:rFonts w:eastAsia="MS Mincho"/>
                <w:sz w:val="20"/>
                <w:szCs w:val="20"/>
              </w:rPr>
            </w:pPr>
            <w:r w:rsidRPr="007424E0">
              <w:rPr>
                <w:rStyle w:val="normaltextrun"/>
                <w:rFonts w:eastAsia="MS Mincho"/>
                <w:sz w:val="20"/>
                <w:szCs w:val="20"/>
              </w:rPr>
              <w:t>The template HUD letter is posted to the DCA website under: “Application Manuals, Forms, and Scoring Documents” / “Other Manuals and forms” / “Template HUD Letter for RAD-Section 18 Blends” (</w:t>
            </w:r>
            <w:hyperlink r:id="rId40" w:tgtFrame="_blank" w:history="1">
              <w:r w:rsidRPr="007424E0">
                <w:rPr>
                  <w:rStyle w:val="normaltextrun"/>
                  <w:rFonts w:eastAsia="MS Mincho"/>
                  <w:color w:val="0563C1"/>
                  <w:sz w:val="20"/>
                  <w:szCs w:val="20"/>
                  <w:u w:val="single"/>
                </w:rPr>
                <w:t>click here</w:t>
              </w:r>
            </w:hyperlink>
            <w:r w:rsidRPr="007424E0">
              <w:rPr>
                <w:rStyle w:val="normaltextrun"/>
                <w:rFonts w:eastAsia="MS Mincho"/>
                <w:sz w:val="20"/>
                <w:szCs w:val="20"/>
              </w:rPr>
              <w:t>). </w:t>
            </w:r>
            <w:r w:rsidRPr="007424E0">
              <w:rPr>
                <w:rStyle w:val="eop"/>
                <w:rFonts w:eastAsia="MS Mincho"/>
                <w:sz w:val="20"/>
                <w:szCs w:val="20"/>
              </w:rPr>
              <w:t> </w:t>
            </w:r>
          </w:p>
          <w:p w14:paraId="5F08CA65" w14:textId="77777777" w:rsidR="00412798" w:rsidRPr="007424E0" w:rsidRDefault="00412798" w:rsidP="000F6D48">
            <w:pPr>
              <w:pStyle w:val="paragraph"/>
              <w:numPr>
                <w:ilvl w:val="0"/>
                <w:numId w:val="29"/>
              </w:numPr>
              <w:spacing w:before="0" w:beforeAutospacing="0" w:after="0" w:afterAutospacing="0"/>
              <w:ind w:left="1800" w:firstLine="0"/>
              <w:textAlignment w:val="baseline"/>
              <w:rPr>
                <w:rFonts w:eastAsia="MS Mincho"/>
                <w:sz w:val="20"/>
                <w:szCs w:val="20"/>
              </w:rPr>
            </w:pPr>
            <w:r w:rsidRPr="007424E0">
              <w:rPr>
                <w:rStyle w:val="normaltextrun"/>
                <w:rFonts w:eastAsia="MS Mincho"/>
                <w:sz w:val="20"/>
                <w:szCs w:val="20"/>
              </w:rPr>
              <w:t>Please note that HUD requires at least 7 business days to sign and return a PDF copy of the letter. </w:t>
            </w:r>
            <w:r w:rsidRPr="007424E0">
              <w:rPr>
                <w:rStyle w:val="eop"/>
                <w:rFonts w:eastAsia="MS Mincho"/>
                <w:sz w:val="20"/>
                <w:szCs w:val="20"/>
              </w:rPr>
              <w:t> </w:t>
            </w:r>
          </w:p>
          <w:p w14:paraId="6F497F6C" w14:textId="77777777" w:rsidR="00412798" w:rsidRPr="007424E0" w:rsidRDefault="00412798" w:rsidP="000F6D48">
            <w:pPr>
              <w:pStyle w:val="paragraph"/>
              <w:numPr>
                <w:ilvl w:val="0"/>
                <w:numId w:val="30"/>
              </w:numPr>
              <w:spacing w:before="0" w:beforeAutospacing="0" w:after="0" w:afterAutospacing="0"/>
              <w:ind w:left="1080" w:firstLine="0"/>
              <w:textAlignment w:val="baseline"/>
              <w:rPr>
                <w:rFonts w:eastAsia="MS Mincho"/>
                <w:sz w:val="20"/>
                <w:szCs w:val="20"/>
              </w:rPr>
            </w:pPr>
            <w:r w:rsidRPr="007424E0">
              <w:rPr>
                <w:rStyle w:val="normaltextrun"/>
                <w:rFonts w:eastAsia="MS Mincho"/>
                <w:sz w:val="20"/>
                <w:szCs w:val="20"/>
              </w:rPr>
              <w:t>Evidence from HUD’s website substantiating which Fair Market Rents (FMRs) are applicable to the proposed development. </w:t>
            </w:r>
            <w:r w:rsidRPr="007424E0">
              <w:rPr>
                <w:rStyle w:val="eop"/>
                <w:rFonts w:eastAsia="MS Mincho"/>
                <w:sz w:val="20"/>
                <w:szCs w:val="20"/>
              </w:rPr>
              <w:t> </w:t>
            </w:r>
          </w:p>
          <w:p w14:paraId="71AA404D" w14:textId="77777777" w:rsidR="00412798" w:rsidRPr="007424E0" w:rsidRDefault="00412798" w:rsidP="000F6D48">
            <w:pPr>
              <w:pStyle w:val="paragraph"/>
              <w:numPr>
                <w:ilvl w:val="0"/>
                <w:numId w:val="31"/>
              </w:numPr>
              <w:spacing w:before="0" w:beforeAutospacing="0" w:after="0" w:afterAutospacing="0"/>
              <w:ind w:left="1080" w:firstLine="0"/>
              <w:textAlignment w:val="baseline"/>
              <w:rPr>
                <w:rStyle w:val="normaltextrun"/>
                <w:rFonts w:eastAsia="MS Mincho"/>
                <w:sz w:val="20"/>
                <w:szCs w:val="20"/>
              </w:rPr>
            </w:pPr>
            <w:r w:rsidRPr="007424E0">
              <w:rPr>
                <w:rStyle w:val="normaltextrun"/>
                <w:rFonts w:eastAsia="MS Mincho"/>
                <w:sz w:val="20"/>
                <w:szCs w:val="20"/>
              </w:rPr>
              <w:t>A brief description of how the rents in the Core Application are derived from the FMRs (e.g., the following statement would suffice: “Non-RAD PBV rents are based on 110% of the FMRs”). </w:t>
            </w:r>
            <w:r w:rsidRPr="007424E0">
              <w:rPr>
                <w:rStyle w:val="eop"/>
                <w:rFonts w:eastAsia="MS Mincho"/>
                <w:sz w:val="20"/>
                <w:szCs w:val="20"/>
              </w:rPr>
              <w:t> </w:t>
            </w:r>
          </w:p>
        </w:tc>
      </w:tr>
      <w:tr w:rsidR="00412798" w:rsidRPr="007424E0" w14:paraId="25BA6141" w14:textId="77777777" w:rsidTr="64301FE8">
        <w:trPr>
          <w:jc w:val="center"/>
        </w:trPr>
        <w:tc>
          <w:tcPr>
            <w:tcW w:w="1697" w:type="dxa"/>
            <w:shd w:val="clear" w:color="auto" w:fill="auto"/>
            <w:tcMar>
              <w:top w:w="72" w:type="dxa"/>
              <w:left w:w="115" w:type="dxa"/>
              <w:bottom w:w="72" w:type="dxa"/>
              <w:right w:w="115" w:type="dxa"/>
            </w:tcMar>
            <w:vAlign w:val="center"/>
          </w:tcPr>
          <w:p w14:paraId="466EBD37"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5/11/22</w:t>
            </w:r>
          </w:p>
        </w:tc>
        <w:tc>
          <w:tcPr>
            <w:tcW w:w="2663" w:type="dxa"/>
            <w:shd w:val="clear" w:color="auto" w:fill="auto"/>
            <w:tcMar>
              <w:top w:w="72" w:type="dxa"/>
              <w:left w:w="115" w:type="dxa"/>
              <w:bottom w:w="72" w:type="dxa"/>
              <w:right w:w="115" w:type="dxa"/>
            </w:tcMar>
            <w:vAlign w:val="center"/>
          </w:tcPr>
          <w:p w14:paraId="215DD07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2.12</w:t>
            </w:r>
          </w:p>
          <w:p w14:paraId="2713CEE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3DF66EE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Public Water/Sanitary Sewer</w:t>
            </w:r>
          </w:p>
        </w:tc>
        <w:tc>
          <w:tcPr>
            <w:tcW w:w="9585" w:type="dxa"/>
            <w:shd w:val="clear" w:color="auto" w:fill="auto"/>
            <w:tcMar>
              <w:top w:w="72" w:type="dxa"/>
              <w:left w:w="115" w:type="dxa"/>
              <w:bottom w:w="72" w:type="dxa"/>
              <w:right w:w="115" w:type="dxa"/>
            </w:tcMar>
            <w:vAlign w:val="center"/>
          </w:tcPr>
          <w:p w14:paraId="32098A15"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Q22_0419_01</w:t>
            </w:r>
            <w:r w:rsidRPr="007424E0">
              <w:rPr>
                <w:rStyle w:val="eop"/>
                <w:sz w:val="20"/>
                <w:szCs w:val="20"/>
              </w:rPr>
              <w:t> </w:t>
            </w:r>
          </w:p>
          <w:p w14:paraId="33030C4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In PUBLIC WATER/SANITARY SEWER under minimum documentation </w:t>
            </w:r>
            <w:r w:rsidRPr="007424E0">
              <w:rPr>
                <w:rStyle w:val="contextualspellingandgrammarerror"/>
                <w:rFonts w:eastAsiaTheme="majorEastAsia"/>
                <w:sz w:val="20"/>
                <w:szCs w:val="20"/>
              </w:rPr>
              <w:t>states :</w:t>
            </w:r>
            <w:r w:rsidRPr="007424E0">
              <w:rPr>
                <w:rStyle w:val="normaltextrun"/>
                <w:sz w:val="20"/>
                <w:szCs w:val="20"/>
              </w:rPr>
              <w:t xml:space="preserve"> ""Letter(s) of commitment from verifiable public water/sanitary sewer authority that includes project name, address, or parcel ID and confirms that utilities will be available.""||The 2022 QAP was modified to add ""of commitment"" implying that DCA is now requiring a commitment of water/sanitary sewer (W/S) availability from local W/S authorities.  Local W/S authorities, especially larger ones will not issue a ""commitment"" of availability of W/S services due to the time lag between the issuance of the letter and the issuance of building permits which can be 18-24 months.  ||A commitment is asking the local W/S authority to commit to availability at some point in the future which most authorities will not </w:t>
            </w:r>
            <w:r w:rsidRPr="007424E0">
              <w:rPr>
                <w:rStyle w:val="contextualspellingandgrammarerror"/>
                <w:rFonts w:eastAsiaTheme="majorEastAsia"/>
                <w:sz w:val="20"/>
                <w:szCs w:val="20"/>
              </w:rPr>
              <w:t>do.|</w:t>
            </w:r>
            <w:r w:rsidRPr="007424E0">
              <w:rPr>
                <w:rStyle w:val="normaltextrun"/>
                <w:sz w:val="20"/>
                <w:szCs w:val="20"/>
              </w:rPr>
              <w:t xml:space="preserve">|Historically, DCA has required W/S sewer availability letters which state required W/S infrastructure is available to the development </w:t>
            </w:r>
            <w:r w:rsidRPr="007424E0">
              <w:rPr>
                <w:rStyle w:val="contextualspellingandgrammarerror"/>
                <w:rFonts w:eastAsiaTheme="majorEastAsia"/>
                <w:sz w:val="20"/>
                <w:szCs w:val="20"/>
              </w:rPr>
              <w:t>site.|</w:t>
            </w:r>
            <w:r w:rsidRPr="007424E0">
              <w:rPr>
                <w:rStyle w:val="normaltextrun"/>
                <w:sz w:val="20"/>
                <w:szCs w:val="20"/>
              </w:rPr>
              <w:t xml:space="preserve">|Will letters that confirm W/S availability without language stating the letter is a commitment pass threshold in this </w:t>
            </w:r>
            <w:r w:rsidRPr="007424E0">
              <w:rPr>
                <w:rStyle w:val="contextualspellingandgrammarerror"/>
                <w:rFonts w:eastAsiaTheme="majorEastAsia"/>
                <w:sz w:val="20"/>
                <w:szCs w:val="20"/>
              </w:rPr>
              <w:t>section?|</w:t>
            </w:r>
            <w:r w:rsidRPr="007424E0">
              <w:rPr>
                <w:rStyle w:val="eop"/>
                <w:sz w:val="20"/>
                <w:szCs w:val="20"/>
              </w:rPr>
              <w:t> </w:t>
            </w:r>
          </w:p>
          <w:p w14:paraId="16FA4EDE"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BB05D0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57EDF98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The above-referenced edit, to include the word “commitment,” was not intended to substantively change this documentation requirement. </w:t>
            </w:r>
            <w:r w:rsidRPr="007424E0">
              <w:rPr>
                <w:rStyle w:val="eop"/>
                <w:sz w:val="20"/>
                <w:szCs w:val="20"/>
              </w:rPr>
              <w:t> </w:t>
            </w:r>
          </w:p>
          <w:p w14:paraId="5F8BD43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25A1A94"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b/>
                <w:bCs/>
                <w:sz w:val="20"/>
                <w:szCs w:val="20"/>
              </w:rPr>
              <w:t>(Threshold) Public Water/Sanitary Sewer</w:t>
            </w:r>
            <w:r w:rsidRPr="007424E0">
              <w:rPr>
                <w:rStyle w:val="normaltextrun"/>
                <w:sz w:val="20"/>
                <w:szCs w:val="20"/>
              </w:rPr>
              <w:t xml:space="preserve"> provides the following examples of the type of “letter(s) of commitment” that should be requested from the verifiable public water/sanitary sewer authority: “letters from public water/sanitary sewer authority, copies of easements necessary for water and sewer authorities to extend water and sewer to the property.”  Per this QAP section, “letters from the local public water and sewer authorities must document the availability of the existing public water and sewer service to the site”.  Therefore the “Letter(s) of commitment” as requested in minimum documentation refers to the documentation of the availability of existing public water and sanitary sewer.</w:t>
            </w:r>
          </w:p>
        </w:tc>
      </w:tr>
      <w:tr w:rsidR="00412798" w:rsidRPr="007424E0" w14:paraId="79C65E23" w14:textId="77777777" w:rsidTr="64301FE8">
        <w:trPr>
          <w:jc w:val="center"/>
        </w:trPr>
        <w:tc>
          <w:tcPr>
            <w:tcW w:w="1697" w:type="dxa"/>
            <w:shd w:val="clear" w:color="auto" w:fill="auto"/>
            <w:tcMar>
              <w:top w:w="72" w:type="dxa"/>
              <w:left w:w="115" w:type="dxa"/>
              <w:bottom w:w="72" w:type="dxa"/>
              <w:right w:w="115" w:type="dxa"/>
            </w:tcMar>
            <w:vAlign w:val="center"/>
          </w:tcPr>
          <w:p w14:paraId="7A31CB02"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5/11/22</w:t>
            </w:r>
          </w:p>
        </w:tc>
        <w:tc>
          <w:tcPr>
            <w:tcW w:w="2663" w:type="dxa"/>
            <w:shd w:val="clear" w:color="auto" w:fill="auto"/>
            <w:tcMar>
              <w:top w:w="72" w:type="dxa"/>
              <w:left w:w="115" w:type="dxa"/>
              <w:bottom w:w="72" w:type="dxa"/>
              <w:right w:w="115" w:type="dxa"/>
            </w:tcMar>
            <w:vAlign w:val="center"/>
          </w:tcPr>
          <w:p w14:paraId="6346081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2.17</w:t>
            </w:r>
          </w:p>
          <w:p w14:paraId="10B1E1B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132D885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Building Sustainability</w:t>
            </w:r>
          </w:p>
        </w:tc>
        <w:tc>
          <w:tcPr>
            <w:tcW w:w="9585" w:type="dxa"/>
            <w:shd w:val="clear" w:color="auto" w:fill="auto"/>
            <w:tcMar>
              <w:top w:w="72" w:type="dxa"/>
              <w:left w:w="115" w:type="dxa"/>
              <w:bottom w:w="72" w:type="dxa"/>
              <w:right w:w="115" w:type="dxa"/>
            </w:tcMar>
            <w:vAlign w:val="center"/>
          </w:tcPr>
          <w:p w14:paraId="54D36CE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Q22_0129_01</w:t>
            </w:r>
            <w:r w:rsidRPr="007424E0">
              <w:rPr>
                <w:rStyle w:val="eop"/>
                <w:sz w:val="20"/>
                <w:szCs w:val="20"/>
              </w:rPr>
              <w:t> </w:t>
            </w:r>
          </w:p>
          <w:p w14:paraId="4E05E62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Regarding (</w:t>
            </w:r>
            <w:r w:rsidRPr="007424E0">
              <w:rPr>
                <w:rStyle w:val="normaltextrun"/>
                <w:b/>
                <w:bCs/>
                <w:sz w:val="20"/>
                <w:szCs w:val="20"/>
              </w:rPr>
              <w:t>Threshold) Building Sustainability, A. Sustainability Standards, 2. Measured duct and building envelope leakage</w:t>
            </w:r>
            <w:r w:rsidRPr="007424E0">
              <w:rPr>
                <w:rStyle w:val="normaltextrun"/>
                <w:sz w:val="20"/>
                <w:szCs w:val="20"/>
              </w:rPr>
              <w:t xml:space="preserve">, the QAP states that performance testing must be performed on a </w:t>
            </w:r>
            <w:r w:rsidRPr="007424E0">
              <w:rPr>
                <w:rStyle w:val="normaltextrun"/>
                <w:i/>
                <w:iCs/>
                <w:sz w:val="20"/>
                <w:szCs w:val="20"/>
              </w:rPr>
              <w:t>"sampling of units...utilizing RESNET-approved performance testing methodologies..."</w:t>
            </w:r>
            <w:r w:rsidRPr="007424E0">
              <w:rPr>
                <w:rStyle w:val="normaltextrun"/>
                <w:sz w:val="20"/>
                <w:szCs w:val="20"/>
              </w:rPr>
              <w:t>.</w:t>
            </w:r>
            <w:r w:rsidRPr="007424E0">
              <w:rPr>
                <w:rStyle w:val="eop"/>
                <w:sz w:val="20"/>
                <w:szCs w:val="20"/>
              </w:rPr>
              <w:t> </w:t>
            </w:r>
          </w:p>
          <w:p w14:paraId="535C741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CDF4A9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Does this mean the RESNET sampling procedures must be followed or just the procedures for individual unit testing?</w:t>
            </w:r>
            <w:r w:rsidRPr="007424E0">
              <w:rPr>
                <w:rStyle w:val="eop"/>
                <w:sz w:val="20"/>
                <w:szCs w:val="20"/>
              </w:rPr>
              <w:t> </w:t>
            </w:r>
          </w:p>
          <w:p w14:paraId="3D3E26D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4654D6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0D57BBA5"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sz w:val="20"/>
                <w:szCs w:val="20"/>
              </w:rPr>
              <w:t>RESNET procedures must be followed for individual unit testing.  In the parenthesis within the same sentence, DCA defines the “sampling of units” to use as including “one of each unit type in its various configurations within the property”.</w:t>
            </w:r>
            <w:r w:rsidRPr="007424E0">
              <w:rPr>
                <w:rStyle w:val="eop"/>
                <w:sz w:val="20"/>
                <w:szCs w:val="20"/>
              </w:rPr>
              <w:t> </w:t>
            </w:r>
          </w:p>
        </w:tc>
      </w:tr>
      <w:tr w:rsidR="00412798" w:rsidRPr="007424E0" w14:paraId="79046CFF" w14:textId="77777777" w:rsidTr="64301FE8">
        <w:trPr>
          <w:jc w:val="center"/>
        </w:trPr>
        <w:tc>
          <w:tcPr>
            <w:tcW w:w="1697" w:type="dxa"/>
            <w:shd w:val="clear" w:color="auto" w:fill="auto"/>
            <w:tcMar>
              <w:top w:w="72" w:type="dxa"/>
              <w:left w:w="115" w:type="dxa"/>
              <w:bottom w:w="72" w:type="dxa"/>
              <w:right w:w="115" w:type="dxa"/>
            </w:tcMar>
            <w:vAlign w:val="center"/>
          </w:tcPr>
          <w:p w14:paraId="4A166391"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5/11/22</w:t>
            </w:r>
          </w:p>
        </w:tc>
        <w:tc>
          <w:tcPr>
            <w:tcW w:w="2663" w:type="dxa"/>
            <w:shd w:val="clear" w:color="auto" w:fill="auto"/>
            <w:tcMar>
              <w:top w:w="72" w:type="dxa"/>
              <w:left w:w="115" w:type="dxa"/>
              <w:bottom w:w="72" w:type="dxa"/>
              <w:right w:w="115" w:type="dxa"/>
            </w:tcMar>
            <w:vAlign w:val="center"/>
          </w:tcPr>
          <w:p w14:paraId="57F69F7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3.05</w:t>
            </w:r>
          </w:p>
          <w:p w14:paraId="2B4FB63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2C0E926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Desirable/Undesirable Activities</w:t>
            </w:r>
          </w:p>
        </w:tc>
        <w:tc>
          <w:tcPr>
            <w:tcW w:w="9585" w:type="dxa"/>
            <w:shd w:val="clear" w:color="auto" w:fill="auto"/>
            <w:tcMar>
              <w:top w:w="72" w:type="dxa"/>
              <w:left w:w="115" w:type="dxa"/>
              <w:bottom w:w="72" w:type="dxa"/>
              <w:right w:w="115" w:type="dxa"/>
            </w:tcMar>
            <w:vAlign w:val="center"/>
          </w:tcPr>
          <w:p w14:paraId="46146B1D"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Q22_0504_01</w:t>
            </w:r>
          </w:p>
          <w:p w14:paraId="185E199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In </w:t>
            </w:r>
            <w:r w:rsidRPr="007424E0">
              <w:rPr>
                <w:rFonts w:ascii="Times New Roman" w:eastAsia="Times New Roman" w:hAnsi="Times New Roman" w:cs="Times New Roman"/>
                <w:b/>
                <w:bCs/>
                <w:sz w:val="20"/>
                <w:szCs w:val="20"/>
              </w:rPr>
              <w:t>(Scoring) Desirable/Undesirable Activities, Undesirable/Inefficient Site Activities/Characteristics, Exceptions to Undesirable Deductions</w:t>
            </w:r>
            <w:r w:rsidRPr="007424E0">
              <w:rPr>
                <w:rFonts w:ascii="Times New Roman" w:eastAsia="Times New Roman" w:hAnsi="Times New Roman" w:cs="Times New Roman"/>
                <w:sz w:val="20"/>
                <w:szCs w:val="20"/>
              </w:rPr>
              <w:t>, what is the definition of the word “site control” in the below bullet point?</w:t>
            </w:r>
          </w:p>
          <w:p w14:paraId="6D099352" w14:textId="77777777" w:rsidR="00412798" w:rsidRPr="007424E0" w:rsidRDefault="00412798" w:rsidP="000F6D48">
            <w:pPr>
              <w:rPr>
                <w:rFonts w:ascii="Times New Roman" w:eastAsia="Times New Roman" w:hAnsi="Times New Roman" w:cs="Times New Roman"/>
                <w:sz w:val="20"/>
                <w:szCs w:val="20"/>
              </w:rPr>
            </w:pPr>
          </w:p>
          <w:p w14:paraId="23659139" w14:textId="77777777" w:rsidR="00412798" w:rsidRPr="007424E0" w:rsidRDefault="00412798" w:rsidP="000F6D48">
            <w:pPr>
              <w:pStyle w:val="ListParagraph"/>
              <w:numPr>
                <w:ilvl w:val="0"/>
                <w:numId w:val="27"/>
              </w:numPr>
              <w:rPr>
                <w:rFonts w:ascii="Times New Roman" w:eastAsia="Times New Roman" w:hAnsi="Times New Roman" w:cs="Times New Roman"/>
                <w:i/>
                <w:iCs/>
                <w:sz w:val="20"/>
                <w:szCs w:val="20"/>
              </w:rPr>
            </w:pPr>
            <w:r w:rsidRPr="007424E0">
              <w:rPr>
                <w:rFonts w:ascii="Times New Roman" w:eastAsia="Times New Roman" w:hAnsi="Times New Roman" w:cs="Times New Roman"/>
                <w:i/>
                <w:iCs/>
                <w:sz w:val="20"/>
                <w:szCs w:val="20"/>
              </w:rPr>
              <w:t>Mitigation by the Applicant or a Local Government must be completed by the placed in-service date.</w:t>
            </w:r>
          </w:p>
          <w:p w14:paraId="0A8108DC" w14:textId="77777777" w:rsidR="00412798" w:rsidRPr="007424E0" w:rsidRDefault="00412798" w:rsidP="000F6D48">
            <w:pPr>
              <w:pStyle w:val="ListParagraph"/>
              <w:numPr>
                <w:ilvl w:val="1"/>
                <w:numId w:val="27"/>
              </w:numPr>
              <w:rPr>
                <w:rFonts w:ascii="Times New Roman" w:eastAsia="Times New Roman" w:hAnsi="Times New Roman" w:cs="Times New Roman"/>
                <w:sz w:val="20"/>
                <w:szCs w:val="20"/>
              </w:rPr>
            </w:pPr>
            <w:r w:rsidRPr="007424E0">
              <w:rPr>
                <w:rFonts w:ascii="Times New Roman" w:eastAsia="Times New Roman" w:hAnsi="Times New Roman" w:cs="Times New Roman"/>
                <w:i/>
                <w:sz w:val="20"/>
                <w:szCs w:val="20"/>
              </w:rPr>
              <w:t>Applicants must provide documentation of the site control and resources to complete the mitigation.</w:t>
            </w:r>
          </w:p>
          <w:p w14:paraId="133D8889" w14:textId="77777777" w:rsidR="00412798" w:rsidRPr="007424E0" w:rsidRDefault="00412798" w:rsidP="000F6D48">
            <w:pPr>
              <w:rPr>
                <w:rFonts w:ascii="Times New Roman" w:eastAsia="Times New Roman" w:hAnsi="Times New Roman" w:cs="Times New Roman"/>
                <w:sz w:val="20"/>
                <w:szCs w:val="20"/>
              </w:rPr>
            </w:pPr>
          </w:p>
          <w:p w14:paraId="3AABB47B"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68379BD0" w14:textId="77777777" w:rsidR="00412798" w:rsidRPr="007424E0" w:rsidRDefault="00412798" w:rsidP="000F6D48">
            <w:pPr>
              <w:rPr>
                <w:rFonts w:ascii="Times New Roman" w:eastAsia="Segoe UI" w:hAnsi="Times New Roman" w:cs="Times New Roman"/>
                <w:sz w:val="20"/>
                <w:szCs w:val="20"/>
              </w:rPr>
            </w:pPr>
            <w:r w:rsidRPr="007424E0">
              <w:rPr>
                <w:rFonts w:ascii="Times New Roman" w:eastAsia="Segoe UI" w:hAnsi="Times New Roman" w:cs="Times New Roman"/>
                <w:sz w:val="20"/>
                <w:szCs w:val="20"/>
              </w:rPr>
              <w:t xml:space="preserve">Documentation of site control to complete the mitigation of an undesirable activity/characteristic should show either of the following: </w:t>
            </w:r>
          </w:p>
          <w:p w14:paraId="38615F31" w14:textId="77777777" w:rsidR="00412798" w:rsidRPr="007424E0" w:rsidRDefault="00412798" w:rsidP="000F6D48">
            <w:pPr>
              <w:pStyle w:val="ListParagraph"/>
              <w:numPr>
                <w:ilvl w:val="0"/>
                <w:numId w:val="27"/>
              </w:numPr>
              <w:rPr>
                <w:rFonts w:ascii="Times New Roman" w:eastAsia="Segoe UI" w:hAnsi="Times New Roman" w:cs="Times New Roman"/>
                <w:sz w:val="20"/>
                <w:szCs w:val="20"/>
              </w:rPr>
            </w:pPr>
            <w:r w:rsidRPr="007424E0">
              <w:rPr>
                <w:rFonts w:ascii="Times New Roman" w:eastAsia="Segoe UI" w:hAnsi="Times New Roman" w:cs="Times New Roman"/>
                <w:sz w:val="20"/>
                <w:szCs w:val="20"/>
              </w:rPr>
              <w:t xml:space="preserve">there is explicit authorization from the owner of the undesirable to perform the mitigation, or </w:t>
            </w:r>
          </w:p>
          <w:p w14:paraId="0A8DB278" w14:textId="77777777" w:rsidR="00412798" w:rsidRPr="007424E0" w:rsidRDefault="00412798" w:rsidP="000F6D48">
            <w:pPr>
              <w:pStyle w:val="ListParagraph"/>
              <w:numPr>
                <w:ilvl w:val="0"/>
                <w:numId w:val="27"/>
              </w:numPr>
              <w:rPr>
                <w:rStyle w:val="normaltextrun"/>
                <w:rFonts w:ascii="Times New Roman" w:eastAsia="Segoe UI" w:hAnsi="Times New Roman" w:cs="Times New Roman"/>
                <w:sz w:val="20"/>
                <w:szCs w:val="20"/>
              </w:rPr>
            </w:pPr>
            <w:r w:rsidRPr="007424E0">
              <w:rPr>
                <w:rFonts w:ascii="Times New Roman" w:eastAsia="Segoe UI" w:hAnsi="Times New Roman" w:cs="Times New Roman"/>
                <w:sz w:val="20"/>
                <w:szCs w:val="20"/>
              </w:rPr>
              <w:t>there is a legal right for the entity performing the mitigation (e.g., Applicant, owner of the undesirable) to perform mitigation by the date(s) indicated in the QAP.</w:t>
            </w:r>
          </w:p>
        </w:tc>
      </w:tr>
      <w:tr w:rsidR="00412798" w:rsidRPr="007424E0" w14:paraId="22B9E41B" w14:textId="77777777" w:rsidTr="64301FE8">
        <w:trPr>
          <w:jc w:val="center"/>
        </w:trPr>
        <w:tc>
          <w:tcPr>
            <w:tcW w:w="1697" w:type="dxa"/>
            <w:shd w:val="clear" w:color="auto" w:fill="auto"/>
            <w:tcMar>
              <w:top w:w="72" w:type="dxa"/>
              <w:left w:w="115" w:type="dxa"/>
              <w:bottom w:w="72" w:type="dxa"/>
              <w:right w:w="115" w:type="dxa"/>
            </w:tcMar>
            <w:vAlign w:val="center"/>
          </w:tcPr>
          <w:p w14:paraId="39D676D0"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5/11/22</w:t>
            </w:r>
          </w:p>
        </w:tc>
        <w:tc>
          <w:tcPr>
            <w:tcW w:w="2663" w:type="dxa"/>
            <w:shd w:val="clear" w:color="auto" w:fill="auto"/>
            <w:tcMar>
              <w:top w:w="72" w:type="dxa"/>
              <w:left w:w="115" w:type="dxa"/>
              <w:bottom w:w="72" w:type="dxa"/>
              <w:right w:w="115" w:type="dxa"/>
            </w:tcMar>
            <w:vAlign w:val="center"/>
          </w:tcPr>
          <w:p w14:paraId="7398CCE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3.07</w:t>
            </w:r>
          </w:p>
          <w:p w14:paraId="47FA5EE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6B170CB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Quality Education Areas</w:t>
            </w:r>
          </w:p>
        </w:tc>
        <w:tc>
          <w:tcPr>
            <w:tcW w:w="9585" w:type="dxa"/>
            <w:shd w:val="clear" w:color="auto" w:fill="auto"/>
            <w:tcMar>
              <w:top w:w="72" w:type="dxa"/>
              <w:left w:w="115" w:type="dxa"/>
              <w:bottom w:w="72" w:type="dxa"/>
              <w:right w:w="115" w:type="dxa"/>
            </w:tcMar>
            <w:vAlign w:val="center"/>
          </w:tcPr>
          <w:p w14:paraId="6E4EE785"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Q22_0427_01</w:t>
            </w:r>
            <w:r w:rsidRPr="007424E0">
              <w:rPr>
                <w:rStyle w:val="eop"/>
                <w:sz w:val="20"/>
                <w:szCs w:val="20"/>
              </w:rPr>
              <w:t> </w:t>
            </w:r>
          </w:p>
          <w:p w14:paraId="6414D805"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In </w:t>
            </w:r>
            <w:r w:rsidRPr="007424E0">
              <w:rPr>
                <w:rStyle w:val="normaltextrun"/>
                <w:b/>
                <w:bCs/>
                <w:sz w:val="20"/>
                <w:szCs w:val="20"/>
              </w:rPr>
              <w:t>(Scoring)</w:t>
            </w:r>
            <w:r w:rsidRPr="007424E0">
              <w:rPr>
                <w:rStyle w:val="normaltextrun"/>
                <w:sz w:val="20"/>
                <w:szCs w:val="20"/>
              </w:rPr>
              <w:t xml:space="preserve"> </w:t>
            </w:r>
            <w:r w:rsidRPr="007424E0">
              <w:rPr>
                <w:rStyle w:val="normaltextrun"/>
                <w:b/>
                <w:bCs/>
                <w:sz w:val="20"/>
                <w:szCs w:val="20"/>
              </w:rPr>
              <w:t>Quality Education Areas</w:t>
            </w:r>
            <w:r w:rsidRPr="007424E0">
              <w:rPr>
                <w:rStyle w:val="normaltextrun"/>
                <w:sz w:val="20"/>
                <w:szCs w:val="20"/>
              </w:rPr>
              <w:t>, school district maps showing the site location and full attendance zone boundaries, published by an official school district source, are required.  In past years for this scoring category, we provided attendance zone maps obtained from greatschools.org.  Is it acceptable to use the attendance zone boundary maps from greatschools.org?</w:t>
            </w:r>
            <w:r w:rsidRPr="007424E0">
              <w:rPr>
                <w:rStyle w:val="eop"/>
                <w:sz w:val="20"/>
                <w:szCs w:val="20"/>
              </w:rPr>
              <w:t> </w:t>
            </w:r>
          </w:p>
          <w:p w14:paraId="0EB017A7"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488215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45748908"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sz w:val="20"/>
                <w:szCs w:val="20"/>
              </w:rPr>
              <w:t>Per this section in the 2022 QAP, “Maps must be published by official school district source.” Maps from greatschools.org will not qualify. However, per the QAP, “If the school district map is unavailable or unobtainable, a letter from a school district representative evidencing that the proposed site is within the school district boundaries (must include the project location).”</w:t>
            </w:r>
          </w:p>
        </w:tc>
      </w:tr>
      <w:tr w:rsidR="00412798" w:rsidRPr="007424E0" w14:paraId="71386371" w14:textId="77777777" w:rsidTr="64301FE8">
        <w:trPr>
          <w:jc w:val="center"/>
        </w:trPr>
        <w:tc>
          <w:tcPr>
            <w:tcW w:w="1697" w:type="dxa"/>
            <w:shd w:val="clear" w:color="auto" w:fill="auto"/>
            <w:tcMar>
              <w:top w:w="72" w:type="dxa"/>
              <w:left w:w="115" w:type="dxa"/>
              <w:bottom w:w="72" w:type="dxa"/>
              <w:right w:w="115" w:type="dxa"/>
            </w:tcMar>
            <w:vAlign w:val="center"/>
          </w:tcPr>
          <w:p w14:paraId="50709E5F"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5/6/22</w:t>
            </w:r>
          </w:p>
        </w:tc>
        <w:tc>
          <w:tcPr>
            <w:tcW w:w="2663" w:type="dxa"/>
            <w:shd w:val="clear" w:color="auto" w:fill="auto"/>
            <w:tcMar>
              <w:top w:w="72" w:type="dxa"/>
              <w:left w:w="115" w:type="dxa"/>
              <w:bottom w:w="72" w:type="dxa"/>
              <w:right w:w="115" w:type="dxa"/>
            </w:tcMar>
            <w:vAlign w:val="center"/>
          </w:tcPr>
          <w:p w14:paraId="0B78960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2.06</w:t>
            </w:r>
          </w:p>
          <w:p w14:paraId="2C214E0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14BA820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Appraisals</w:t>
            </w:r>
          </w:p>
        </w:tc>
        <w:tc>
          <w:tcPr>
            <w:tcW w:w="9585" w:type="dxa"/>
            <w:shd w:val="clear" w:color="auto" w:fill="auto"/>
            <w:tcMar>
              <w:top w:w="72" w:type="dxa"/>
              <w:left w:w="115" w:type="dxa"/>
              <w:bottom w:w="72" w:type="dxa"/>
              <w:right w:w="115" w:type="dxa"/>
            </w:tcMar>
            <w:vAlign w:val="center"/>
          </w:tcPr>
          <w:p w14:paraId="521B6EE8"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Q22_0422_01</w:t>
            </w:r>
          </w:p>
          <w:p w14:paraId="017A99B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For our proposed project, the Applicant will enter into an Option for a Ground Lease at a nominal value with the local housing authority, which owns the land and will also serve as one of the General Partners and developers in the project. Although there is an identity-of-interest, the ground lease will be conveyed at a nominal value, so in previous years DCA has not required an appraisal to justify the land value. Could DCA please confirm that this still holds true for 2022? </w:t>
            </w:r>
          </w:p>
          <w:p w14:paraId="5768D13C" w14:textId="77777777" w:rsidR="00412798" w:rsidRPr="007424E0" w:rsidRDefault="00412798" w:rsidP="000F6D48">
            <w:pPr>
              <w:contextualSpacing/>
              <w:rPr>
                <w:rFonts w:ascii="Times New Roman" w:hAnsi="Times New Roman" w:cs="Times New Roman"/>
                <w:sz w:val="20"/>
                <w:szCs w:val="20"/>
              </w:rPr>
            </w:pPr>
          </w:p>
          <w:p w14:paraId="6B2FC203"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2232E2E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The 2022 Appraisal Manual states (</w:t>
            </w:r>
            <w:hyperlink r:id="rId41" w:history="1">
              <w:r w:rsidRPr="007424E0">
                <w:rPr>
                  <w:rStyle w:val="Hyperlink"/>
                  <w:rFonts w:ascii="Times New Roman" w:hAnsi="Times New Roman" w:cs="Times New Roman"/>
                  <w:color w:val="auto"/>
                  <w:sz w:val="20"/>
                  <w:szCs w:val="20"/>
                </w:rPr>
                <w:t>click here</w:t>
              </w:r>
            </w:hyperlink>
            <w:r w:rsidRPr="007424E0">
              <w:rPr>
                <w:rFonts w:ascii="Times New Roman" w:hAnsi="Times New Roman" w:cs="Times New Roman"/>
                <w:sz w:val="20"/>
                <w:szCs w:val="20"/>
              </w:rPr>
              <w:t>):</w:t>
            </w:r>
          </w:p>
          <w:p w14:paraId="153699E6" w14:textId="77777777" w:rsidR="00412798" w:rsidRPr="007424E0" w:rsidRDefault="00412798" w:rsidP="000F6D48">
            <w:pPr>
              <w:rPr>
                <w:rFonts w:ascii="Times New Roman" w:hAnsi="Times New Roman" w:cs="Times New Roman"/>
                <w:sz w:val="20"/>
                <w:szCs w:val="20"/>
              </w:rPr>
            </w:pPr>
          </w:p>
          <w:p w14:paraId="6ABABCF5" w14:textId="77777777" w:rsidR="00412798" w:rsidRPr="007424E0" w:rsidRDefault="00412798" w:rsidP="000F6D48">
            <w:pPr>
              <w:ind w:left="720"/>
              <w:rPr>
                <w:rFonts w:ascii="Times New Roman" w:eastAsia="Calibri" w:hAnsi="Times New Roman" w:cs="Times New Roman"/>
                <w:i/>
                <w:iCs/>
                <w:sz w:val="20"/>
                <w:szCs w:val="20"/>
              </w:rPr>
            </w:pPr>
            <w:r w:rsidRPr="007424E0">
              <w:rPr>
                <w:rFonts w:ascii="Times New Roman" w:hAnsi="Times New Roman" w:cs="Times New Roman"/>
                <w:i/>
                <w:iCs/>
                <w:sz w:val="20"/>
                <w:szCs w:val="20"/>
              </w:rPr>
              <w:lastRenderedPageBreak/>
              <w:t>“</w:t>
            </w:r>
            <w:r w:rsidRPr="007424E0">
              <w:rPr>
                <w:rFonts w:ascii="Times New Roman" w:eastAsia="Calibri" w:hAnsi="Times New Roman" w:cs="Times New Roman"/>
                <w:i/>
                <w:iCs/>
                <w:sz w:val="20"/>
                <w:szCs w:val="20"/>
              </w:rPr>
              <w:t>Land values are required for all appraisals except when a ground lease will be in place and the rent will be a nominal amount of $100 or less. If there is an upfront payment, the land value will be required.”</w:t>
            </w:r>
          </w:p>
          <w:p w14:paraId="18EFE9E2" w14:textId="77777777" w:rsidR="00412798" w:rsidRPr="007424E0" w:rsidRDefault="00412798" w:rsidP="000F6D48">
            <w:pPr>
              <w:ind w:left="720"/>
              <w:rPr>
                <w:rFonts w:ascii="Times New Roman" w:eastAsia="Calibri" w:hAnsi="Times New Roman" w:cs="Times New Roman"/>
                <w:i/>
                <w:iCs/>
                <w:sz w:val="20"/>
                <w:szCs w:val="20"/>
              </w:rPr>
            </w:pPr>
          </w:p>
          <w:p w14:paraId="46EC45A3" w14:textId="77777777" w:rsidR="00412798" w:rsidRPr="007424E0" w:rsidRDefault="00412798" w:rsidP="000F6D48">
            <w:pPr>
              <w:rPr>
                <w:rStyle w:val="normaltextrun"/>
                <w:rFonts w:ascii="Times New Roman" w:eastAsia="Calibri" w:hAnsi="Times New Roman" w:cs="Times New Roman"/>
                <w:i/>
                <w:iCs/>
                <w:sz w:val="20"/>
                <w:szCs w:val="20"/>
              </w:rPr>
            </w:pPr>
            <w:r w:rsidRPr="007424E0">
              <w:rPr>
                <w:rFonts w:ascii="Times New Roman" w:eastAsia="Calibri" w:hAnsi="Times New Roman" w:cs="Times New Roman"/>
                <w:sz w:val="20"/>
                <w:szCs w:val="20"/>
              </w:rPr>
              <w:t xml:space="preserve">DCA will not require an appraisal to justify the land value where a ground lease will be in place and the rent will be $100 or less. Also please note that if the ground lease is structured such that a large upfront payment is required, then it will be considered similar to acquisition and an appraisal will be required. Applications without an appraisal that include an upfront payment greater than the nominal amount may fail </w:t>
            </w:r>
            <w:r w:rsidRPr="007424E0">
              <w:rPr>
                <w:rFonts w:ascii="Times New Roman" w:eastAsia="Calibri" w:hAnsi="Times New Roman" w:cs="Times New Roman"/>
                <w:b/>
                <w:bCs/>
                <w:sz w:val="20"/>
                <w:szCs w:val="20"/>
              </w:rPr>
              <w:t>(Threshold Criteria) Appraisals</w:t>
            </w:r>
            <w:r w:rsidRPr="007424E0">
              <w:rPr>
                <w:rFonts w:ascii="Times New Roman" w:eastAsia="Calibri" w:hAnsi="Times New Roman" w:cs="Times New Roman"/>
                <w:sz w:val="20"/>
                <w:szCs w:val="20"/>
              </w:rPr>
              <w:t>.</w:t>
            </w:r>
          </w:p>
        </w:tc>
      </w:tr>
      <w:tr w:rsidR="00412798" w:rsidRPr="007424E0" w14:paraId="0D2D670E" w14:textId="77777777" w:rsidTr="64301FE8">
        <w:trPr>
          <w:jc w:val="center"/>
        </w:trPr>
        <w:tc>
          <w:tcPr>
            <w:tcW w:w="1697" w:type="dxa"/>
            <w:shd w:val="clear" w:color="auto" w:fill="auto"/>
            <w:tcMar>
              <w:top w:w="72" w:type="dxa"/>
              <w:left w:w="115" w:type="dxa"/>
              <w:bottom w:w="72" w:type="dxa"/>
              <w:right w:w="115" w:type="dxa"/>
            </w:tcMar>
            <w:vAlign w:val="center"/>
          </w:tcPr>
          <w:p w14:paraId="1B4BCF1A"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5/6/22</w:t>
            </w:r>
          </w:p>
        </w:tc>
        <w:tc>
          <w:tcPr>
            <w:tcW w:w="2663" w:type="dxa"/>
            <w:shd w:val="clear" w:color="auto" w:fill="auto"/>
            <w:tcMar>
              <w:top w:w="72" w:type="dxa"/>
              <w:left w:w="115" w:type="dxa"/>
              <w:bottom w:w="72" w:type="dxa"/>
              <w:right w:w="115" w:type="dxa"/>
            </w:tcMar>
            <w:vAlign w:val="center"/>
          </w:tcPr>
          <w:p w14:paraId="4654E56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2.15</w:t>
            </w:r>
          </w:p>
          <w:p w14:paraId="41F1427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5F8E87F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Rehabilitation Standards</w:t>
            </w:r>
          </w:p>
        </w:tc>
        <w:tc>
          <w:tcPr>
            <w:tcW w:w="9585" w:type="dxa"/>
            <w:shd w:val="clear" w:color="auto" w:fill="auto"/>
            <w:tcMar>
              <w:top w:w="72" w:type="dxa"/>
              <w:left w:w="115" w:type="dxa"/>
              <w:bottom w:w="72" w:type="dxa"/>
              <w:right w:w="115" w:type="dxa"/>
            </w:tcMar>
            <w:vAlign w:val="center"/>
          </w:tcPr>
          <w:p w14:paraId="7A041C26"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b/>
                <w:bCs/>
                <w:sz w:val="20"/>
                <w:szCs w:val="20"/>
              </w:rPr>
              <w:t>Question</w:t>
            </w:r>
            <w:r w:rsidRPr="007424E0">
              <w:rPr>
                <w:rStyle w:val="normaltextrun"/>
                <w:sz w:val="20"/>
                <w:szCs w:val="20"/>
              </w:rPr>
              <w:t>: Q22_0414_01</w:t>
            </w:r>
          </w:p>
          <w:p w14:paraId="0AB8C7D5"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sz w:val="20"/>
                <w:szCs w:val="20"/>
              </w:rPr>
              <w:t>The 2021 Application Tabs Checklist included an item for "Architect Rehab Work Scope Certification Statement" in the Rehab Standards Tab. Will this be included in the 2022 Application Tabs Checklist for submittal with the Tax Credit Application?  If so, is there a form document that the applicant should use, or should the project architect simply draft his own statement on his own letterhead indicating review of the Work Scope?</w:t>
            </w:r>
          </w:p>
          <w:p w14:paraId="6DD6EAC0" w14:textId="77777777" w:rsidR="00412798" w:rsidRPr="007424E0" w:rsidRDefault="00412798" w:rsidP="000F6D48">
            <w:pPr>
              <w:pStyle w:val="paragraph"/>
              <w:spacing w:before="0" w:beforeAutospacing="0" w:after="0" w:afterAutospacing="0"/>
              <w:textAlignment w:val="baseline"/>
              <w:rPr>
                <w:rStyle w:val="normaltextrun"/>
                <w:sz w:val="20"/>
                <w:szCs w:val="20"/>
              </w:rPr>
            </w:pPr>
          </w:p>
          <w:p w14:paraId="68F8C6AD"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b/>
                <w:bCs/>
                <w:sz w:val="20"/>
                <w:szCs w:val="20"/>
              </w:rPr>
              <w:t>Answer</w:t>
            </w:r>
            <w:r w:rsidRPr="007424E0">
              <w:rPr>
                <w:rStyle w:val="normaltextrun"/>
                <w:sz w:val="20"/>
                <w:szCs w:val="20"/>
              </w:rPr>
              <w:t xml:space="preserve">: </w:t>
            </w:r>
          </w:p>
          <w:p w14:paraId="2AEACFAA" w14:textId="77777777" w:rsidR="00412798" w:rsidRPr="007424E0" w:rsidRDefault="00412798" w:rsidP="000F6D48">
            <w:pPr>
              <w:pStyle w:val="paragraph"/>
              <w:spacing w:before="0" w:beforeAutospacing="0" w:after="0" w:afterAutospacing="0"/>
              <w:textAlignment w:val="baseline"/>
              <w:rPr>
                <w:rStyle w:val="normaltextrun"/>
                <w:b/>
                <w:bCs/>
                <w:sz w:val="20"/>
                <w:szCs w:val="20"/>
              </w:rPr>
            </w:pPr>
            <w:r w:rsidRPr="007424E0">
              <w:rPr>
                <w:rStyle w:val="normaltextrun"/>
                <w:sz w:val="20"/>
                <w:szCs w:val="20"/>
              </w:rPr>
              <w:t xml:space="preserve">Yes, the Architect Rehab Work Scope Certification Statement is a Minimum Document under </w:t>
            </w:r>
            <w:r w:rsidRPr="007424E0">
              <w:rPr>
                <w:rStyle w:val="normaltextrun"/>
                <w:b/>
                <w:bCs/>
                <w:sz w:val="20"/>
                <w:szCs w:val="20"/>
              </w:rPr>
              <w:t>(Threshold Criteria) Rehabilitation Standards</w:t>
            </w:r>
            <w:r w:rsidRPr="007424E0">
              <w:rPr>
                <w:rStyle w:val="normaltextrun"/>
                <w:sz w:val="20"/>
                <w:szCs w:val="20"/>
              </w:rPr>
              <w:t xml:space="preserve"> and is included in the 2022 Application Tabs Checklist for submittal with the 2022 application. At this time, DCA does not have an official form or document for the applicant to use and requires the project Architect to draft his or her own statement on letterhead.</w:t>
            </w:r>
          </w:p>
        </w:tc>
      </w:tr>
      <w:tr w:rsidR="00412798" w:rsidRPr="007424E0" w14:paraId="5CD954AD" w14:textId="77777777" w:rsidTr="64301FE8">
        <w:trPr>
          <w:jc w:val="center"/>
        </w:trPr>
        <w:tc>
          <w:tcPr>
            <w:tcW w:w="1697" w:type="dxa"/>
            <w:shd w:val="clear" w:color="auto" w:fill="auto"/>
            <w:tcMar>
              <w:top w:w="72" w:type="dxa"/>
              <w:left w:w="115" w:type="dxa"/>
              <w:bottom w:w="72" w:type="dxa"/>
              <w:right w:w="115" w:type="dxa"/>
            </w:tcMar>
            <w:vAlign w:val="center"/>
          </w:tcPr>
          <w:p w14:paraId="21D743B4"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4/27/22</w:t>
            </w:r>
          </w:p>
        </w:tc>
        <w:tc>
          <w:tcPr>
            <w:tcW w:w="2663" w:type="dxa"/>
            <w:shd w:val="clear" w:color="auto" w:fill="auto"/>
            <w:tcMar>
              <w:top w:w="72" w:type="dxa"/>
              <w:left w:w="115" w:type="dxa"/>
              <w:bottom w:w="72" w:type="dxa"/>
              <w:right w:w="115" w:type="dxa"/>
            </w:tcMar>
            <w:vAlign w:val="center"/>
          </w:tcPr>
          <w:p w14:paraId="5A4D0C0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58D37F3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44C4924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442BE50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Q22_0221_08</w:t>
            </w:r>
            <w:r w:rsidRPr="007424E0">
              <w:rPr>
                <w:rStyle w:val="eop"/>
                <w:sz w:val="20"/>
                <w:szCs w:val="20"/>
              </w:rPr>
              <w:t> </w:t>
            </w:r>
          </w:p>
          <w:p w14:paraId="62FE7C2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XVII. Minority and Women Owned Business </w:t>
            </w:r>
            <w:r w:rsidRPr="007424E0">
              <w:rPr>
                <w:rStyle w:val="contextualspellingandgrammarerror"/>
                <w:rFonts w:eastAsiaTheme="majorEastAsia"/>
                <w:sz w:val="20"/>
                <w:szCs w:val="20"/>
              </w:rPr>
              <w:t>Engagement.|</w:t>
            </w:r>
            <w:r w:rsidRPr="007424E0">
              <w:rPr>
                <w:rStyle w:val="normaltextrun"/>
                <w:sz w:val="20"/>
                <w:szCs w:val="20"/>
              </w:rPr>
              <w:t xml:space="preserve">|DCA has a separate policy document about this scoring item that references multiple NAICS codes that can be listed on </w:t>
            </w:r>
            <w:r w:rsidRPr="007424E0">
              <w:rPr>
                <w:rStyle w:val="contextualspellingandgrammarerror"/>
                <w:rFonts w:eastAsiaTheme="majorEastAsia"/>
                <w:sz w:val="20"/>
                <w:szCs w:val="20"/>
              </w:rPr>
              <w:t>a</w:t>
            </w:r>
            <w:r w:rsidRPr="007424E0">
              <w:rPr>
                <w:rStyle w:val="normaltextrun"/>
                <w:sz w:val="20"/>
                <w:szCs w:val="20"/>
              </w:rPr>
              <w:t xml:space="preserve"> MBE/WBE's certification to qualify for points.  Some of these include construction, real estate, finance &amp; insurance, architectural services, land development agencies, redevelopment authorities, etc. ||Within this scoring section of the QAP, it states that the QB must conduct business in housing or real estate, evidenced by the respective NAICS codes. The separate policy document states the QB must show intent to regularly conduct business related to the housing finance, housing development, affordable housing and property management industry by listing at least one of the following NAICS codes on the certification when the application is submitted. </w:t>
            </w:r>
            <w:r w:rsidRPr="007424E0">
              <w:rPr>
                <w:rStyle w:val="eop"/>
                <w:sz w:val="20"/>
                <w:szCs w:val="20"/>
              </w:rPr>
              <w:t> </w:t>
            </w:r>
          </w:p>
          <w:p w14:paraId="57EE0E5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62A899C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These statements seem to conflict with one another (something the QB must do vs something the QB intends to do).  Could you provide more clarity regarding this issue?</w:t>
            </w:r>
            <w:r w:rsidRPr="007424E0">
              <w:rPr>
                <w:rStyle w:val="eop"/>
                <w:sz w:val="20"/>
                <w:szCs w:val="20"/>
              </w:rPr>
              <w:t> </w:t>
            </w:r>
          </w:p>
          <w:p w14:paraId="791FA13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4D795B01"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43A517E5"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The language comparison referred to in this question is the following:</w:t>
            </w:r>
            <w:r w:rsidRPr="007424E0">
              <w:rPr>
                <w:rStyle w:val="eop"/>
                <w:sz w:val="20"/>
                <w:szCs w:val="20"/>
              </w:rPr>
              <w:t> </w:t>
            </w:r>
          </w:p>
          <w:p w14:paraId="2F92809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225ADC05" w14:textId="77777777" w:rsidR="00412798" w:rsidRPr="007424E0" w:rsidRDefault="00412798" w:rsidP="000F6D48">
            <w:pPr>
              <w:pStyle w:val="paragraph"/>
              <w:numPr>
                <w:ilvl w:val="0"/>
                <w:numId w:val="26"/>
              </w:numPr>
              <w:spacing w:before="0" w:beforeAutospacing="0" w:after="0" w:afterAutospacing="0"/>
              <w:ind w:left="1080" w:firstLine="0"/>
              <w:textAlignment w:val="baseline"/>
              <w:rPr>
                <w:sz w:val="20"/>
                <w:szCs w:val="20"/>
              </w:rPr>
            </w:pPr>
            <w:r w:rsidRPr="007424E0">
              <w:rPr>
                <w:rStyle w:val="normaltextrun"/>
                <w:sz w:val="20"/>
                <w:szCs w:val="20"/>
              </w:rPr>
              <w:t>(QAP) “QB conducts business in housing or real estate”</w:t>
            </w:r>
            <w:r w:rsidRPr="007424E0">
              <w:rPr>
                <w:rStyle w:val="eop"/>
                <w:sz w:val="20"/>
                <w:szCs w:val="20"/>
              </w:rPr>
              <w:t> </w:t>
            </w:r>
          </w:p>
          <w:p w14:paraId="12B77F24" w14:textId="77777777" w:rsidR="00412798" w:rsidRPr="007424E0" w:rsidRDefault="00412798" w:rsidP="000F6D48">
            <w:pPr>
              <w:pStyle w:val="paragraph"/>
              <w:numPr>
                <w:ilvl w:val="0"/>
                <w:numId w:val="26"/>
              </w:numPr>
              <w:spacing w:before="0" w:beforeAutospacing="0" w:after="0" w:afterAutospacing="0"/>
              <w:ind w:left="1080" w:firstLine="0"/>
              <w:textAlignment w:val="baseline"/>
              <w:rPr>
                <w:sz w:val="20"/>
                <w:szCs w:val="20"/>
              </w:rPr>
            </w:pPr>
            <w:r w:rsidRPr="007424E0">
              <w:rPr>
                <w:rStyle w:val="normaltextrun"/>
                <w:sz w:val="20"/>
                <w:szCs w:val="20"/>
              </w:rPr>
              <w:lastRenderedPageBreak/>
              <w:t xml:space="preserve">(Policy Statement, </w:t>
            </w:r>
            <w:hyperlink r:id="rId42" w:tgtFrame="_blank" w:history="1">
              <w:r w:rsidRPr="007424E0">
                <w:rPr>
                  <w:rStyle w:val="normaltextrun"/>
                  <w:sz w:val="20"/>
                  <w:szCs w:val="20"/>
                  <w:u w:val="single"/>
                </w:rPr>
                <w:t>click here</w:t>
              </w:r>
            </w:hyperlink>
            <w:r w:rsidRPr="007424E0">
              <w:rPr>
                <w:rStyle w:val="normaltextrun"/>
                <w:sz w:val="20"/>
                <w:szCs w:val="20"/>
              </w:rPr>
              <w:t xml:space="preserve">) “[QB] must show intent to regularly conduct business related to [housing or real </w:t>
            </w:r>
            <w:r w:rsidRPr="007424E0">
              <w:rPr>
                <w:rStyle w:val="contextualspellingandgrammarerror"/>
                <w:rFonts w:eastAsiaTheme="majorEastAsia"/>
                <w:sz w:val="20"/>
                <w:szCs w:val="20"/>
              </w:rPr>
              <w:t>estate]…</w:t>
            </w:r>
            <w:r w:rsidRPr="007424E0">
              <w:rPr>
                <w:rStyle w:val="normaltextrun"/>
                <w:sz w:val="20"/>
                <w:szCs w:val="20"/>
              </w:rPr>
              <w:t>”</w:t>
            </w:r>
            <w:r w:rsidRPr="007424E0">
              <w:rPr>
                <w:rStyle w:val="eop"/>
                <w:sz w:val="20"/>
                <w:szCs w:val="20"/>
              </w:rPr>
              <w:t> </w:t>
            </w:r>
          </w:p>
          <w:p w14:paraId="24953AF5"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C03894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Where there is a conflict in language between the QAP and another document, the QAP holds. However, in this instance DCA does not believe this represents a language conflict. A QB that “conducts business in housing” will also “[intend] to regularly conduct business related to housing.” </w:t>
            </w:r>
            <w:r w:rsidRPr="007424E0">
              <w:rPr>
                <w:rStyle w:val="eop"/>
                <w:sz w:val="20"/>
                <w:szCs w:val="20"/>
              </w:rPr>
              <w:t> </w:t>
            </w:r>
          </w:p>
          <w:p w14:paraId="7EB6D63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4745D3C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Regardless of which sentence is referenced, both documents convey that what DCA staff will be confirming is the NAICS code. Specifically, as stated in the Policy Statement, that the QB “</w:t>
            </w:r>
            <w:r w:rsidRPr="007424E0">
              <w:rPr>
                <w:rStyle w:val="normaltextrun"/>
                <w:i/>
                <w:iCs/>
                <w:sz w:val="20"/>
                <w:szCs w:val="20"/>
              </w:rPr>
              <w:t>[listed] at least (1) of the following North American Industry Classification System (NAICS) codes on the certification when the application is submitted…</w:t>
            </w:r>
            <w:r w:rsidRPr="007424E0">
              <w:rPr>
                <w:rStyle w:val="normaltextrun"/>
                <w:sz w:val="20"/>
                <w:szCs w:val="20"/>
              </w:rPr>
              <w:t>”</w:t>
            </w:r>
            <w:r w:rsidRPr="007424E0">
              <w:rPr>
                <w:rStyle w:val="eop"/>
                <w:sz w:val="20"/>
                <w:szCs w:val="20"/>
              </w:rPr>
              <w:t> </w:t>
            </w:r>
          </w:p>
        </w:tc>
      </w:tr>
      <w:tr w:rsidR="00412798" w:rsidRPr="007424E0" w14:paraId="4F7C537F" w14:textId="77777777" w:rsidTr="64301FE8">
        <w:trPr>
          <w:jc w:val="center"/>
        </w:trPr>
        <w:tc>
          <w:tcPr>
            <w:tcW w:w="1697" w:type="dxa"/>
            <w:shd w:val="clear" w:color="auto" w:fill="auto"/>
            <w:tcMar>
              <w:top w:w="72" w:type="dxa"/>
              <w:left w:w="115" w:type="dxa"/>
              <w:bottom w:w="72" w:type="dxa"/>
              <w:right w:w="115" w:type="dxa"/>
            </w:tcMar>
            <w:vAlign w:val="center"/>
          </w:tcPr>
          <w:p w14:paraId="18924837"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4/27/22</w:t>
            </w:r>
          </w:p>
        </w:tc>
        <w:tc>
          <w:tcPr>
            <w:tcW w:w="2663" w:type="dxa"/>
            <w:shd w:val="clear" w:color="auto" w:fill="auto"/>
            <w:tcMar>
              <w:top w:w="72" w:type="dxa"/>
              <w:left w:w="115" w:type="dxa"/>
              <w:bottom w:w="72" w:type="dxa"/>
              <w:right w:w="115" w:type="dxa"/>
            </w:tcMar>
            <w:vAlign w:val="center"/>
          </w:tcPr>
          <w:p w14:paraId="3EE937E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14117AA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7D9BDA5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5F14553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Q22_0411_15 </w:t>
            </w:r>
          </w:p>
          <w:p w14:paraId="2A15BA2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Regarding Minority-and Women-owned Business Engagement: the minimum expenses to minority- and women-owned “Qualified Business” (QBs) is 5% of total construction hard costs. Can the sum of multiple contracts to QBs that are each less than 5% meet this requirement, or does at least one QB contract need to involve at least 5% worth of expenses?  </w:t>
            </w:r>
          </w:p>
          <w:p w14:paraId="1E944E14" w14:textId="77777777" w:rsidR="00412798" w:rsidRPr="007424E0" w:rsidRDefault="00412798" w:rsidP="000F6D48">
            <w:pPr>
              <w:textAlignment w:val="baseline"/>
              <w:rPr>
                <w:rFonts w:ascii="Times New Roman" w:eastAsia="Times New Roman" w:hAnsi="Times New Roman" w:cs="Times New Roman"/>
                <w:sz w:val="20"/>
                <w:szCs w:val="20"/>
              </w:rPr>
            </w:pPr>
          </w:p>
          <w:p w14:paraId="3A84272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7ADF3E3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QAP states that the project team must “Engage QBs in the development or operation of the proposed property in amounts equal to approximately 5% of total construction hard costs…” </w:t>
            </w:r>
          </w:p>
          <w:p w14:paraId="61619FA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93709B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QAP states that “amounts” (plural) must reach 5%. Therefore, the expenses paid can be cumulative. For example, if three QBs are each paid 2% of total construction hard costs each, the 6% cumulative amount would meet the minimum 5% requirement in the QAP.  </w:t>
            </w:r>
          </w:p>
        </w:tc>
      </w:tr>
      <w:tr w:rsidR="00412798" w:rsidRPr="007424E0" w14:paraId="540F2773" w14:textId="77777777" w:rsidTr="64301FE8">
        <w:trPr>
          <w:jc w:val="center"/>
        </w:trPr>
        <w:tc>
          <w:tcPr>
            <w:tcW w:w="1697" w:type="dxa"/>
            <w:shd w:val="clear" w:color="auto" w:fill="auto"/>
            <w:tcMar>
              <w:top w:w="72" w:type="dxa"/>
              <w:left w:w="115" w:type="dxa"/>
              <w:bottom w:w="72" w:type="dxa"/>
              <w:right w:w="115" w:type="dxa"/>
            </w:tcMar>
            <w:vAlign w:val="center"/>
          </w:tcPr>
          <w:p w14:paraId="6F9C1AF5"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4/27/22</w:t>
            </w:r>
          </w:p>
        </w:tc>
        <w:tc>
          <w:tcPr>
            <w:tcW w:w="2663" w:type="dxa"/>
            <w:shd w:val="clear" w:color="auto" w:fill="auto"/>
            <w:tcMar>
              <w:top w:w="72" w:type="dxa"/>
              <w:left w:w="115" w:type="dxa"/>
              <w:bottom w:w="72" w:type="dxa"/>
              <w:right w:w="115" w:type="dxa"/>
            </w:tcMar>
            <w:vAlign w:val="center"/>
          </w:tcPr>
          <w:p w14:paraId="52C3117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2081711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20DBA8E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25EAF52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Q22_0425_15 </w:t>
            </w:r>
          </w:p>
          <w:p w14:paraId="41CB366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QAP states under </w:t>
            </w:r>
            <w:r w:rsidRPr="007424E0">
              <w:rPr>
                <w:rFonts w:ascii="Times New Roman" w:eastAsia="Times New Roman" w:hAnsi="Times New Roman" w:cs="Times New Roman"/>
                <w:b/>
                <w:bCs/>
                <w:sz w:val="20"/>
                <w:szCs w:val="20"/>
              </w:rPr>
              <w:t>(Scoring Criteria) Minority- and Women-Owned Business Engagement</w:t>
            </w:r>
            <w:r w:rsidRPr="007424E0">
              <w:rPr>
                <w:rFonts w:ascii="Times New Roman" w:eastAsia="Times New Roman" w:hAnsi="Times New Roman" w:cs="Times New Roman"/>
                <w:sz w:val="20"/>
                <w:szCs w:val="20"/>
              </w:rPr>
              <w:t xml:space="preserve">, subsection </w:t>
            </w:r>
            <w:r w:rsidRPr="007424E0">
              <w:rPr>
                <w:rFonts w:ascii="Times New Roman" w:eastAsia="Times New Roman" w:hAnsi="Times New Roman" w:cs="Times New Roman"/>
                <w:b/>
                <w:bCs/>
                <w:sz w:val="20"/>
                <w:szCs w:val="20"/>
              </w:rPr>
              <w:t>A. Engagement Commitment and Reporting</w:t>
            </w:r>
            <w:r w:rsidRPr="007424E0">
              <w:rPr>
                <w:rFonts w:ascii="Times New Roman" w:eastAsia="Times New Roman" w:hAnsi="Times New Roman" w:cs="Times New Roman"/>
                <w:sz w:val="20"/>
                <w:szCs w:val="20"/>
              </w:rPr>
              <w:t xml:space="preserve"> that owners can “Engage QBs in the development </w:t>
            </w:r>
            <w:r w:rsidRPr="007424E0">
              <w:rPr>
                <w:rFonts w:ascii="Times New Roman" w:eastAsia="Times New Roman" w:hAnsi="Times New Roman" w:cs="Times New Roman"/>
                <w:sz w:val="20"/>
                <w:szCs w:val="20"/>
                <w:u w:val="single"/>
              </w:rPr>
              <w:t>or operation</w:t>
            </w:r>
            <w:r w:rsidRPr="007424E0">
              <w:rPr>
                <w:rFonts w:ascii="Times New Roman" w:eastAsia="Times New Roman" w:hAnsi="Times New Roman" w:cs="Times New Roman"/>
                <w:sz w:val="20"/>
                <w:szCs w:val="20"/>
              </w:rPr>
              <w:t xml:space="preserve"> of the proposed property… as certified by the Independent Auditor Report in the Final Allocation Application.” </w:t>
            </w:r>
          </w:p>
          <w:p w14:paraId="2BF2DC7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1F00B34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Operational expenses will not be included in the baseline independent auditor report, since it is not a development cost. Are contracts to QB management companies for operational expenses eligible under this section?  </w:t>
            </w:r>
          </w:p>
          <w:p w14:paraId="78EA496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4F1032B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3B75847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For any expense that is allowable under this section but not by default included in the baseline independent auditor report included with the Final Allocation Application for 8609s, applicants can have the expense verified by an </w:t>
            </w:r>
            <w:r w:rsidRPr="007424E0">
              <w:rPr>
                <w:rFonts w:ascii="Times New Roman" w:eastAsia="Times New Roman" w:hAnsi="Times New Roman" w:cs="Times New Roman"/>
                <w:sz w:val="20"/>
                <w:szCs w:val="20"/>
              </w:rPr>
              <w:lastRenderedPageBreak/>
              <w:t>independent auditor and include that evidence in the Final Allocation Application. Such expenses to management companies are eligible.  </w:t>
            </w:r>
          </w:p>
          <w:p w14:paraId="2666E295"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4866F5E4" w14:textId="77777777" w:rsidTr="64301FE8">
        <w:trPr>
          <w:jc w:val="center"/>
        </w:trPr>
        <w:tc>
          <w:tcPr>
            <w:tcW w:w="1697" w:type="dxa"/>
            <w:shd w:val="clear" w:color="auto" w:fill="auto"/>
            <w:tcMar>
              <w:top w:w="72" w:type="dxa"/>
              <w:left w:w="115" w:type="dxa"/>
              <w:bottom w:w="72" w:type="dxa"/>
              <w:right w:w="115" w:type="dxa"/>
            </w:tcMar>
            <w:vAlign w:val="center"/>
          </w:tcPr>
          <w:p w14:paraId="64693EE4"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4/22/22</w:t>
            </w:r>
          </w:p>
        </w:tc>
        <w:tc>
          <w:tcPr>
            <w:tcW w:w="2663" w:type="dxa"/>
            <w:shd w:val="clear" w:color="auto" w:fill="auto"/>
            <w:tcMar>
              <w:top w:w="72" w:type="dxa"/>
              <w:left w:w="115" w:type="dxa"/>
              <w:bottom w:w="72" w:type="dxa"/>
              <w:right w:w="115" w:type="dxa"/>
            </w:tcMar>
            <w:vAlign w:val="center"/>
          </w:tcPr>
          <w:p w14:paraId="349EA20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44BB6B7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6515BA0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0D8E483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Q22_0408_01 </w:t>
            </w:r>
          </w:p>
          <w:p w14:paraId="2674CC6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In question Q22_0216_08, DCA states that the QAP does not disallow subcontractors when taking points under Section XVII of the scoring section.  We are glad to hear this.  The NAICS code for subcontractors typically used in multifamily construction is 238.  This code is not listed on DCA's list of codes that will be considered to accept certification.  We would like DCA to verify that NAICS code 238, defined as "performing specialized construction work on multifamily housing and other residential buildings, generally on a subcontract basis" is a code that will qualify an applicant to claim points in this section.   </w:t>
            </w:r>
          </w:p>
          <w:p w14:paraId="69D3741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01AB32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Some examples of NAICS codes that pertain to subs in the LIHTC industry are: 238110 Poured Concrete Foundation Contractors; 238130 Framing Contractors; 238140 Masonry Contractors; 238150 Glass and Glazing Contractors; 238160 Roofing Contractors; 238170 Siding Contractors; 238220 Plumbing, Heating and Air-Conditioning Contractors. None of these codes are currently listed in DCA's Minority-and Women-Owned Business Engagement Policy, therefore, we want to make sure we understand what is allowed. </w:t>
            </w:r>
          </w:p>
          <w:p w14:paraId="4B57127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66B52E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3E57C68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w:t>
            </w:r>
            <w:r w:rsidRPr="007424E0">
              <w:rPr>
                <w:rFonts w:ascii="Times New Roman" w:eastAsia="Times New Roman" w:hAnsi="Times New Roman" w:cs="Times New Roman"/>
                <w:i/>
                <w:iCs/>
                <w:sz w:val="20"/>
                <w:szCs w:val="20"/>
              </w:rPr>
              <w:t>DCA Minority- and Women-Owned Business Engagement Policy</w:t>
            </w:r>
            <w:r w:rsidRPr="007424E0">
              <w:rPr>
                <w:rFonts w:ascii="Times New Roman" w:eastAsia="Times New Roman" w:hAnsi="Times New Roman" w:cs="Times New Roman"/>
                <w:sz w:val="20"/>
                <w:szCs w:val="20"/>
              </w:rPr>
              <w:t xml:space="preserve"> has been updated to include businesses with NAICS codes which fall under 238 – the Specialty Trade Contractors subsector. The updated policy has been uploaded to the Scoring Documents and Data page of the DCA website (</w:t>
            </w:r>
            <w:hyperlink r:id="rId43" w:tgtFrame="_blank" w:history="1">
              <w:r w:rsidRPr="007424E0">
                <w:rPr>
                  <w:rFonts w:ascii="Times New Roman" w:eastAsia="Times New Roman" w:hAnsi="Times New Roman" w:cs="Times New Roman"/>
                  <w:sz w:val="20"/>
                  <w:szCs w:val="20"/>
                  <w:u w:val="single"/>
                </w:rPr>
                <w:t>click here</w:t>
              </w:r>
            </w:hyperlink>
            <w:r w:rsidRPr="007424E0">
              <w:rPr>
                <w:rFonts w:ascii="Times New Roman" w:eastAsia="Times New Roman" w:hAnsi="Times New Roman" w:cs="Times New Roman"/>
                <w:sz w:val="20"/>
                <w:szCs w:val="20"/>
              </w:rPr>
              <w:t>). </w:t>
            </w:r>
          </w:p>
        </w:tc>
      </w:tr>
      <w:tr w:rsidR="00412798" w:rsidRPr="007424E0" w14:paraId="0E189C64" w14:textId="77777777" w:rsidTr="64301FE8">
        <w:trPr>
          <w:jc w:val="center"/>
        </w:trPr>
        <w:tc>
          <w:tcPr>
            <w:tcW w:w="1697" w:type="dxa"/>
            <w:shd w:val="clear" w:color="auto" w:fill="auto"/>
            <w:tcMar>
              <w:top w:w="72" w:type="dxa"/>
              <w:left w:w="115" w:type="dxa"/>
              <w:bottom w:w="72" w:type="dxa"/>
              <w:right w:w="115" w:type="dxa"/>
            </w:tcMar>
            <w:vAlign w:val="center"/>
          </w:tcPr>
          <w:p w14:paraId="30F3FA0E"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4/21/22</w:t>
            </w:r>
          </w:p>
        </w:tc>
        <w:tc>
          <w:tcPr>
            <w:tcW w:w="2663" w:type="dxa"/>
            <w:shd w:val="clear" w:color="auto" w:fill="auto"/>
            <w:tcMar>
              <w:top w:w="72" w:type="dxa"/>
              <w:left w:w="115" w:type="dxa"/>
              <w:bottom w:w="72" w:type="dxa"/>
              <w:right w:w="115" w:type="dxa"/>
            </w:tcMar>
            <w:vAlign w:val="center"/>
          </w:tcPr>
          <w:p w14:paraId="1ACCB6D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3.06</w:t>
            </w:r>
          </w:p>
          <w:p w14:paraId="3A8F221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201B608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Community Transportation Options </w:t>
            </w:r>
          </w:p>
        </w:tc>
        <w:tc>
          <w:tcPr>
            <w:tcW w:w="9585" w:type="dxa"/>
            <w:shd w:val="clear" w:color="auto" w:fill="auto"/>
            <w:tcMar>
              <w:top w:w="72" w:type="dxa"/>
              <w:left w:w="115" w:type="dxa"/>
              <w:bottom w:w="72" w:type="dxa"/>
              <w:right w:w="115" w:type="dxa"/>
            </w:tcMar>
            <w:vAlign w:val="center"/>
          </w:tcPr>
          <w:p w14:paraId="5552561C"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Q22_0330_02</w:t>
            </w:r>
          </w:p>
          <w:p w14:paraId="52BE45D0"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BACKGROUND: Section VI. Community Transportation Options, subsection B defines a transit hub as "a station that has three or more bus routes, rail options, and/or other affordable mass transit options". In prior rounds, points have been awarded for various types of transit hubs (e.g. a rail station with 2+ connecting bus lines or a single bus stop serving 3+ bus lines). In the 2021 Q&amp;A, answer Q0226_06 notes that the QAP does not define the term station, suggesting DCA retains some discretion as to what constitutes a "station". My question is intended to further clarify with a more specific example.</w:t>
            </w:r>
          </w:p>
          <w:p w14:paraId="68892E00" w14:textId="77777777" w:rsidR="00412798" w:rsidRPr="007424E0" w:rsidRDefault="00412798" w:rsidP="000F6D48">
            <w:pPr>
              <w:rPr>
                <w:rFonts w:ascii="Times New Roman" w:eastAsia="Times New Roman" w:hAnsi="Times New Roman" w:cs="Times New Roman"/>
                <w:sz w:val="20"/>
                <w:szCs w:val="20"/>
              </w:rPr>
            </w:pPr>
          </w:p>
          <w:p w14:paraId="71B6B659"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QUESTION: Could a series of bus stops in very close proximity constitute a station? For example, a series of 3 distinct MARTA bus stops in downtown Hapeville are within a ~725 foot walk of each other. Compare the proximity of these stops to MARTA's Lindbergh Center Transit Station in Atlanta. Lindbergh's two bus loops are separated by an ~825 foot walk (~100 feet farther apart than the series of bus stops in Hapeville). Could the series of bus stops in downtown Hapeville constitute a station/transit hub, given that they are in closer proximity than the bus loops of Lindbergh Station? </w:t>
            </w:r>
          </w:p>
          <w:p w14:paraId="097E7A4F" w14:textId="77777777" w:rsidR="00412798" w:rsidRPr="007424E0" w:rsidRDefault="00412798" w:rsidP="000F6D48">
            <w:pPr>
              <w:contextualSpacing/>
              <w:rPr>
                <w:rFonts w:ascii="Times New Roman" w:hAnsi="Times New Roman" w:cs="Times New Roman"/>
                <w:sz w:val="20"/>
                <w:szCs w:val="20"/>
              </w:rPr>
            </w:pPr>
          </w:p>
          <w:p w14:paraId="5426D37B"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w:t>
            </w:r>
          </w:p>
          <w:p w14:paraId="708C0B05" w14:textId="77777777" w:rsidR="00412798" w:rsidRPr="007424E0" w:rsidRDefault="00412798" w:rsidP="000F6D48">
            <w:pPr>
              <w:contextualSpacing/>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Section VI. Community Transportation Options, </w:t>
            </w:r>
            <w:r w:rsidRPr="007424E0">
              <w:rPr>
                <w:rFonts w:ascii="Times New Roman" w:eastAsia="Times New Roman" w:hAnsi="Times New Roman" w:cs="Times New Roman"/>
                <w:b/>
                <w:bCs/>
                <w:sz w:val="20"/>
                <w:szCs w:val="20"/>
              </w:rPr>
              <w:t>subsection A</w:t>
            </w:r>
            <w:r w:rsidRPr="007424E0">
              <w:rPr>
                <w:rFonts w:ascii="Times New Roman" w:eastAsia="Times New Roman" w:hAnsi="Times New Roman" w:cs="Times New Roman"/>
                <w:sz w:val="20"/>
                <w:szCs w:val="20"/>
              </w:rPr>
              <w:t xml:space="preserve"> defines a transit hub as “a station that has three or more bus routes, rail options, and/or other affordable mass transit options.” </w:t>
            </w:r>
          </w:p>
          <w:p w14:paraId="478FA9E4" w14:textId="77777777" w:rsidR="00412798" w:rsidRPr="007424E0" w:rsidRDefault="00412798" w:rsidP="000F6D48">
            <w:pPr>
              <w:contextualSpacing/>
              <w:rPr>
                <w:rFonts w:ascii="Times New Roman" w:eastAsia="Times New Roman" w:hAnsi="Times New Roman" w:cs="Times New Roman"/>
                <w:sz w:val="20"/>
                <w:szCs w:val="20"/>
              </w:rPr>
            </w:pPr>
          </w:p>
          <w:p w14:paraId="6D755908" w14:textId="77777777" w:rsidR="00412798" w:rsidRPr="007424E0" w:rsidRDefault="00412798" w:rsidP="000F6D48">
            <w:pPr>
              <w:pStyle w:val="ListParagraph"/>
              <w:numPr>
                <w:ilvl w:val="0"/>
                <w:numId w:val="19"/>
              </w:num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“A station” refers to a single location. </w:t>
            </w:r>
          </w:p>
          <w:p w14:paraId="49E57381" w14:textId="77777777" w:rsidR="00412798" w:rsidRPr="007424E0" w:rsidRDefault="00412798" w:rsidP="000F6D48">
            <w:pPr>
              <w:pStyle w:val="ListParagraph"/>
              <w:numPr>
                <w:ilvl w:val="1"/>
                <w:numId w:val="19"/>
              </w:num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2021 Q&amp;A referenced asked whether a station requires a “large structure.” In the context of that question, DCA’s response was intended to affirm that, for example, a single bus stop with three intersecting bus routes would not be disqualified due to its lacking a “large structure” often associated with the term “station.” </w:t>
            </w:r>
          </w:p>
          <w:p w14:paraId="028CEF6A" w14:textId="77777777" w:rsidR="00412798" w:rsidRPr="007424E0" w:rsidRDefault="00412798" w:rsidP="000F6D48">
            <w:pPr>
              <w:pStyle w:val="ListParagraph"/>
              <w:numPr>
                <w:ilvl w:val="1"/>
                <w:numId w:val="19"/>
              </w:num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 series of bus stops in close proximity do not operate at a single location and therefore do not constitute a transit hub.</w:t>
            </w:r>
            <w:r w:rsidRPr="007424E0">
              <w:rPr>
                <w:rFonts w:ascii="Times New Roman" w:eastAsia="Times New Roman" w:hAnsi="Times New Roman" w:cs="Times New Roman"/>
                <w:sz w:val="20"/>
                <w:szCs w:val="20"/>
              </w:rPr>
              <w:br/>
            </w:r>
          </w:p>
          <w:p w14:paraId="73C956EC" w14:textId="77777777" w:rsidR="00412798" w:rsidRPr="007424E0" w:rsidRDefault="00412798" w:rsidP="000F6D48">
            <w:pPr>
              <w:pStyle w:val="ListParagraph"/>
              <w:numPr>
                <w:ilvl w:val="0"/>
                <w:numId w:val="19"/>
              </w:num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Please note that the QAP qualifies transit hubs based on the number of transit routes at a station, not stops or loops. This question compares an area with three nearby bus stops to a station with two bus loops, neither of which confirms how many routes operate at any of the physical locations. Therefore, the question does not contain sufficient information to assess whether either circumstance qualifies under this section.</w:t>
            </w:r>
          </w:p>
        </w:tc>
      </w:tr>
      <w:tr w:rsidR="00412798" w:rsidRPr="007424E0" w14:paraId="553B2E2F" w14:textId="77777777" w:rsidTr="64301FE8">
        <w:trPr>
          <w:jc w:val="center"/>
        </w:trPr>
        <w:tc>
          <w:tcPr>
            <w:tcW w:w="1697" w:type="dxa"/>
            <w:shd w:val="clear" w:color="auto" w:fill="auto"/>
            <w:tcMar>
              <w:top w:w="72" w:type="dxa"/>
              <w:left w:w="115" w:type="dxa"/>
              <w:bottom w:w="72" w:type="dxa"/>
              <w:right w:w="115" w:type="dxa"/>
            </w:tcMar>
            <w:vAlign w:val="center"/>
          </w:tcPr>
          <w:p w14:paraId="61346E16"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4/21/22</w:t>
            </w:r>
          </w:p>
        </w:tc>
        <w:tc>
          <w:tcPr>
            <w:tcW w:w="2663" w:type="dxa"/>
            <w:shd w:val="clear" w:color="auto" w:fill="auto"/>
            <w:tcMar>
              <w:top w:w="72" w:type="dxa"/>
              <w:left w:w="115" w:type="dxa"/>
              <w:bottom w:w="72" w:type="dxa"/>
              <w:right w:w="115" w:type="dxa"/>
            </w:tcMar>
            <w:vAlign w:val="center"/>
          </w:tcPr>
          <w:p w14:paraId="33701FF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3.10</w:t>
            </w:r>
          </w:p>
          <w:p w14:paraId="6F86A4E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1B72681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Stable Communities</w:t>
            </w:r>
          </w:p>
        </w:tc>
        <w:tc>
          <w:tcPr>
            <w:tcW w:w="9585" w:type="dxa"/>
            <w:shd w:val="clear" w:color="auto" w:fill="auto"/>
            <w:tcMar>
              <w:top w:w="72" w:type="dxa"/>
              <w:left w:w="115" w:type="dxa"/>
              <w:bottom w:w="72" w:type="dxa"/>
              <w:right w:w="115" w:type="dxa"/>
            </w:tcMar>
            <w:vAlign w:val="center"/>
          </w:tcPr>
          <w:p w14:paraId="0F1069EA"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Q22_0419_03</w:t>
            </w:r>
          </w:p>
          <w:p w14:paraId="03BBFFE4"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When looking at the updated DCA Health and Economic Indicators table, I am unable to find the census tract that a site is located in. The census tract is shown on the 2019 tabs and life expectancy tabs but does not appear on the 2020 tabs of the spreadsheet. Can you please clarify as to why the census tract does not appear? </w:t>
            </w:r>
          </w:p>
          <w:p w14:paraId="5E54850C" w14:textId="77777777" w:rsidR="00412798" w:rsidRPr="007424E0" w:rsidRDefault="00412798" w:rsidP="000F6D48">
            <w:pPr>
              <w:contextualSpacing/>
              <w:rPr>
                <w:rFonts w:ascii="Times New Roman" w:hAnsi="Times New Roman" w:cs="Times New Roman"/>
                <w:sz w:val="20"/>
                <w:szCs w:val="20"/>
              </w:rPr>
            </w:pPr>
          </w:p>
          <w:p w14:paraId="6B81188A"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529757A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Census Tracts are updated once per decade, following the Decennial Census. The 2020 Census data is based on the Census Tracts, as defined by the 2020 Decennial Census. The Census Bureau published a file showing relationships between 2010 and 2020 Census Tracts, which DCA has uploaded to the Scoring Documents and Data page of the DCA website (</w:t>
            </w:r>
            <w:hyperlink r:id="rId44" w:history="1">
              <w:r w:rsidRPr="007424E0">
                <w:rPr>
                  <w:rStyle w:val="Hyperlink"/>
                  <w:rFonts w:ascii="Times New Roman" w:hAnsi="Times New Roman" w:cs="Times New Roman"/>
                  <w:color w:val="auto"/>
                  <w:sz w:val="20"/>
                  <w:szCs w:val="20"/>
                </w:rPr>
                <w:t>click here</w:t>
              </w:r>
            </w:hyperlink>
            <w:r w:rsidRPr="007424E0">
              <w:rPr>
                <w:rFonts w:ascii="Times New Roman" w:hAnsi="Times New Roman" w:cs="Times New Roman"/>
                <w:sz w:val="20"/>
                <w:szCs w:val="20"/>
              </w:rPr>
              <w:t>).</w:t>
            </w:r>
          </w:p>
          <w:p w14:paraId="130A5C57" w14:textId="77777777" w:rsidR="00412798" w:rsidRPr="007424E0" w:rsidRDefault="00412798" w:rsidP="000F6D48">
            <w:pPr>
              <w:rPr>
                <w:rFonts w:ascii="Times New Roman" w:hAnsi="Times New Roman" w:cs="Times New Roman"/>
                <w:sz w:val="20"/>
                <w:szCs w:val="20"/>
              </w:rPr>
            </w:pPr>
          </w:p>
          <w:p w14:paraId="0F8531B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To help applicants understand how Census Tracts have changed, DCA has added layers to the Housing Tax Credit Properties Map showing 2010 Census Tracts and 2020 Census Tracts. You may identify your site’s new Census Tract number and associated values for Stable Communities Health and Economic Indicators data through the following steps:</w:t>
            </w:r>
          </w:p>
          <w:p w14:paraId="03D06D6F" w14:textId="77777777" w:rsidR="00412798" w:rsidRPr="007424E0" w:rsidRDefault="00412798" w:rsidP="000F6D48">
            <w:pPr>
              <w:pStyle w:val="ListParagraph"/>
              <w:numPr>
                <w:ilvl w:val="0"/>
                <w:numId w:val="24"/>
              </w:numPr>
              <w:rPr>
                <w:rFonts w:ascii="Times New Roman" w:hAnsi="Times New Roman" w:cs="Times New Roman"/>
                <w:sz w:val="20"/>
                <w:szCs w:val="20"/>
              </w:rPr>
            </w:pPr>
            <w:r w:rsidRPr="007424E0">
              <w:rPr>
                <w:rFonts w:ascii="Times New Roman" w:hAnsi="Times New Roman" w:cs="Times New Roman"/>
                <w:sz w:val="20"/>
                <w:szCs w:val="20"/>
              </w:rPr>
              <w:t>Open the Housing Tax Credit Properties Map (</w:t>
            </w:r>
            <w:hyperlink r:id="rId45" w:history="1">
              <w:r w:rsidRPr="007424E0">
                <w:rPr>
                  <w:rStyle w:val="Hyperlink"/>
                  <w:rFonts w:ascii="Times New Roman" w:hAnsi="Times New Roman" w:cs="Times New Roman"/>
                  <w:color w:val="auto"/>
                  <w:sz w:val="20"/>
                  <w:szCs w:val="20"/>
                </w:rPr>
                <w:t>click here</w:t>
              </w:r>
            </w:hyperlink>
            <w:r w:rsidRPr="007424E0">
              <w:rPr>
                <w:rFonts w:ascii="Times New Roman" w:hAnsi="Times New Roman" w:cs="Times New Roman"/>
                <w:sz w:val="20"/>
                <w:szCs w:val="20"/>
              </w:rPr>
              <w:t>)</w:t>
            </w:r>
          </w:p>
          <w:p w14:paraId="6E02E0C9" w14:textId="77777777" w:rsidR="00412798" w:rsidRPr="007424E0" w:rsidRDefault="00412798" w:rsidP="000F6D48">
            <w:pPr>
              <w:pStyle w:val="ListParagraph"/>
              <w:numPr>
                <w:ilvl w:val="0"/>
                <w:numId w:val="24"/>
              </w:numPr>
              <w:rPr>
                <w:rFonts w:ascii="Times New Roman" w:hAnsi="Times New Roman" w:cs="Times New Roman"/>
                <w:sz w:val="20"/>
                <w:szCs w:val="20"/>
              </w:rPr>
            </w:pPr>
            <w:r w:rsidRPr="007424E0">
              <w:rPr>
                <w:rFonts w:ascii="Times New Roman" w:hAnsi="Times New Roman" w:cs="Times New Roman"/>
                <w:sz w:val="20"/>
                <w:szCs w:val="20"/>
              </w:rPr>
              <w:t>Enter your site’s address or coordinates in the search bar</w:t>
            </w:r>
          </w:p>
          <w:p w14:paraId="7F767853" w14:textId="77777777" w:rsidR="00412798" w:rsidRPr="007424E0" w:rsidRDefault="00412798" w:rsidP="000F6D48">
            <w:pPr>
              <w:pStyle w:val="ListParagraph"/>
              <w:rPr>
                <w:rFonts w:ascii="Times New Roman" w:hAnsi="Times New Roman" w:cs="Times New Roman"/>
                <w:sz w:val="20"/>
                <w:szCs w:val="20"/>
              </w:rPr>
            </w:pPr>
            <w:r w:rsidRPr="007424E0">
              <w:rPr>
                <w:rFonts w:ascii="Times New Roman" w:hAnsi="Times New Roman" w:cs="Times New Roman"/>
                <w:noProof/>
                <w:sz w:val="20"/>
                <w:szCs w:val="20"/>
              </w:rPr>
              <w:lastRenderedPageBreak/>
              <w:drawing>
                <wp:inline distT="0" distB="0" distL="0" distR="0" wp14:anchorId="361EA8BE" wp14:editId="513C59E3">
                  <wp:extent cx="4710989" cy="2089243"/>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733639" cy="2099288"/>
                          </a:xfrm>
                          <a:prstGeom prst="rect">
                            <a:avLst/>
                          </a:prstGeom>
                        </pic:spPr>
                      </pic:pic>
                    </a:graphicData>
                  </a:graphic>
                </wp:inline>
              </w:drawing>
            </w:r>
          </w:p>
          <w:p w14:paraId="7EF30B59" w14:textId="77777777" w:rsidR="00412798" w:rsidRPr="007424E0" w:rsidRDefault="00412798" w:rsidP="000F6D48">
            <w:pPr>
              <w:pStyle w:val="ListParagraph"/>
              <w:numPr>
                <w:ilvl w:val="0"/>
                <w:numId w:val="24"/>
              </w:numPr>
              <w:rPr>
                <w:rFonts w:ascii="Times New Roman" w:hAnsi="Times New Roman" w:cs="Times New Roman"/>
                <w:sz w:val="20"/>
                <w:szCs w:val="20"/>
              </w:rPr>
            </w:pPr>
            <w:r w:rsidRPr="007424E0">
              <w:rPr>
                <w:rFonts w:ascii="Times New Roman" w:hAnsi="Times New Roman" w:cs="Times New Roman"/>
                <w:sz w:val="20"/>
                <w:szCs w:val="20"/>
              </w:rPr>
              <w:t>Click on the site location</w:t>
            </w:r>
          </w:p>
          <w:p w14:paraId="4D0757A2" w14:textId="77777777" w:rsidR="00412798" w:rsidRPr="007424E0" w:rsidRDefault="00412798" w:rsidP="000F6D48">
            <w:pPr>
              <w:pStyle w:val="ListParagraph"/>
              <w:keepNext/>
              <w:numPr>
                <w:ilvl w:val="0"/>
                <w:numId w:val="24"/>
              </w:numPr>
              <w:rPr>
                <w:rFonts w:ascii="Times New Roman" w:hAnsi="Times New Roman" w:cs="Times New Roman"/>
                <w:sz w:val="20"/>
                <w:szCs w:val="20"/>
              </w:rPr>
            </w:pPr>
            <w:r w:rsidRPr="007424E0">
              <w:rPr>
                <w:rFonts w:ascii="Times New Roman" w:hAnsi="Times New Roman" w:cs="Times New Roman"/>
                <w:sz w:val="20"/>
                <w:szCs w:val="20"/>
              </w:rPr>
              <w:t>Click the arrows in the pop-up box to find the 2020 Census Tract number</w:t>
            </w:r>
          </w:p>
          <w:p w14:paraId="2DB9B6E6" w14:textId="77777777" w:rsidR="00412798" w:rsidRPr="007424E0" w:rsidRDefault="00412798" w:rsidP="000F6D48">
            <w:pPr>
              <w:pStyle w:val="ListParagraph"/>
              <w:keepNext/>
              <w:rPr>
                <w:rFonts w:ascii="Times New Roman" w:hAnsi="Times New Roman" w:cs="Times New Roman"/>
                <w:sz w:val="20"/>
                <w:szCs w:val="20"/>
              </w:rPr>
            </w:pPr>
            <w:r w:rsidRPr="007424E0">
              <w:rPr>
                <w:rFonts w:ascii="Times New Roman" w:hAnsi="Times New Roman" w:cs="Times New Roman"/>
                <w:noProof/>
                <w:sz w:val="20"/>
                <w:szCs w:val="20"/>
              </w:rPr>
              <w:drawing>
                <wp:inline distT="0" distB="0" distL="0" distR="0" wp14:anchorId="135143A4" wp14:editId="2F9CACD1">
                  <wp:extent cx="4564684" cy="2823179"/>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575191" cy="2829677"/>
                          </a:xfrm>
                          <a:prstGeom prst="rect">
                            <a:avLst/>
                          </a:prstGeom>
                        </pic:spPr>
                      </pic:pic>
                    </a:graphicData>
                  </a:graphic>
                </wp:inline>
              </w:drawing>
            </w:r>
          </w:p>
          <w:p w14:paraId="48AA4F40" w14:textId="77777777" w:rsidR="00412798" w:rsidRPr="007424E0" w:rsidRDefault="00412798" w:rsidP="000F6D48">
            <w:pPr>
              <w:pStyle w:val="ListParagraph"/>
              <w:numPr>
                <w:ilvl w:val="0"/>
                <w:numId w:val="24"/>
              </w:numPr>
              <w:rPr>
                <w:rFonts w:ascii="Times New Roman" w:hAnsi="Times New Roman" w:cs="Times New Roman"/>
                <w:sz w:val="20"/>
                <w:szCs w:val="20"/>
              </w:rPr>
            </w:pPr>
            <w:r w:rsidRPr="007424E0">
              <w:rPr>
                <w:rFonts w:ascii="Times New Roman" w:hAnsi="Times New Roman" w:cs="Times New Roman"/>
                <w:sz w:val="20"/>
                <w:szCs w:val="20"/>
              </w:rPr>
              <w:t>Click the arrows to find 2020 Stable Communities data</w:t>
            </w:r>
          </w:p>
          <w:p w14:paraId="48AF1ED8" w14:textId="77777777" w:rsidR="00412798" w:rsidRPr="007424E0" w:rsidRDefault="00412798" w:rsidP="000F6D48">
            <w:pPr>
              <w:pStyle w:val="ListParagraph"/>
              <w:rPr>
                <w:rFonts w:ascii="Times New Roman" w:hAnsi="Times New Roman" w:cs="Times New Roman"/>
                <w:sz w:val="20"/>
                <w:szCs w:val="20"/>
              </w:rPr>
            </w:pPr>
            <w:r w:rsidRPr="007424E0">
              <w:rPr>
                <w:rFonts w:ascii="Times New Roman" w:hAnsi="Times New Roman" w:cs="Times New Roman"/>
                <w:noProof/>
                <w:sz w:val="20"/>
                <w:szCs w:val="20"/>
              </w:rPr>
              <w:lastRenderedPageBreak/>
              <w:drawing>
                <wp:inline distT="0" distB="0" distL="0" distR="0" wp14:anchorId="289E9748" wp14:editId="671E7853">
                  <wp:extent cx="4198924" cy="3077866"/>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212342" cy="3087702"/>
                          </a:xfrm>
                          <a:prstGeom prst="rect">
                            <a:avLst/>
                          </a:prstGeom>
                        </pic:spPr>
                      </pic:pic>
                    </a:graphicData>
                  </a:graphic>
                </wp:inline>
              </w:drawing>
            </w:r>
          </w:p>
          <w:p w14:paraId="013F2116" w14:textId="77777777" w:rsidR="00412798" w:rsidRPr="007424E0" w:rsidRDefault="00412798" w:rsidP="000F6D48">
            <w:pPr>
              <w:rPr>
                <w:rFonts w:ascii="Times New Roman" w:hAnsi="Times New Roman" w:cs="Times New Roman"/>
                <w:sz w:val="20"/>
                <w:szCs w:val="20"/>
              </w:rPr>
            </w:pPr>
          </w:p>
          <w:p w14:paraId="6DE4E99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If you are unable to identify your site’s 2020 Census Tract following the above steps, please submit the site’s address or coordinates through the Q&amp;A Survey.</w:t>
            </w:r>
          </w:p>
          <w:p w14:paraId="01E1F9DC"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7C84B6A3" w14:textId="77777777" w:rsidTr="64301FE8">
        <w:trPr>
          <w:jc w:val="center"/>
        </w:trPr>
        <w:tc>
          <w:tcPr>
            <w:tcW w:w="1697" w:type="dxa"/>
            <w:shd w:val="clear" w:color="auto" w:fill="auto"/>
            <w:tcMar>
              <w:top w:w="72" w:type="dxa"/>
              <w:left w:w="115" w:type="dxa"/>
              <w:bottom w:w="72" w:type="dxa"/>
              <w:right w:w="115" w:type="dxa"/>
            </w:tcMar>
            <w:vAlign w:val="center"/>
          </w:tcPr>
          <w:p w14:paraId="5A67A2EE"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4/21/22</w:t>
            </w:r>
          </w:p>
        </w:tc>
        <w:tc>
          <w:tcPr>
            <w:tcW w:w="2663" w:type="dxa"/>
            <w:shd w:val="clear" w:color="auto" w:fill="auto"/>
            <w:tcMar>
              <w:top w:w="72" w:type="dxa"/>
              <w:left w:w="115" w:type="dxa"/>
              <w:bottom w:w="72" w:type="dxa"/>
              <w:right w:w="115" w:type="dxa"/>
            </w:tcMar>
            <w:vAlign w:val="center"/>
          </w:tcPr>
          <w:p w14:paraId="54E27DD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1002AB3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516E944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1A3C207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Q22_0221_06</w:t>
            </w:r>
            <w:r w:rsidRPr="007424E0">
              <w:rPr>
                <w:rStyle w:val="eop"/>
                <w:sz w:val="20"/>
                <w:szCs w:val="20"/>
              </w:rPr>
              <w:t> </w:t>
            </w:r>
          </w:p>
          <w:p w14:paraId="0FB674E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If Applicant takes points for </w:t>
            </w:r>
            <w:r w:rsidRPr="007424E0">
              <w:rPr>
                <w:rStyle w:val="normaltextrun"/>
                <w:b/>
                <w:bCs/>
                <w:sz w:val="20"/>
                <w:szCs w:val="20"/>
              </w:rPr>
              <w:t>Scoring, Minority- and Women-Owned Business Engagement, A. Engagement Commitment and Reporting</w:t>
            </w:r>
            <w:r w:rsidRPr="007424E0">
              <w:rPr>
                <w:rStyle w:val="normaltextrun"/>
                <w:sz w:val="20"/>
                <w:szCs w:val="20"/>
              </w:rPr>
              <w:t xml:space="preserve">, and </w:t>
            </w:r>
            <w:r w:rsidRPr="007424E0">
              <w:rPr>
                <w:rStyle w:val="advancedproofingissue"/>
                <w:rFonts w:eastAsiaTheme="majorEastAsia"/>
                <w:sz w:val="20"/>
                <w:szCs w:val="20"/>
              </w:rPr>
              <w:t>is able to</w:t>
            </w:r>
            <w:r w:rsidRPr="007424E0">
              <w:rPr>
                <w:rStyle w:val="normaltextrun"/>
                <w:sz w:val="20"/>
                <w:szCs w:val="20"/>
              </w:rPr>
              <w:t xml:space="preserve"> get several QBs certified as MBE/WBEs by the Final Allocation Application, and attempts to reach the 5% of total construction hard costs requirement, but reaches an amount less than 5%, has the Applicant still met the scoring requirement, </w:t>
            </w:r>
            <w:r w:rsidRPr="007424E0">
              <w:rPr>
                <w:rStyle w:val="advancedproofingissue"/>
                <w:rFonts w:eastAsiaTheme="majorEastAsia"/>
                <w:sz w:val="20"/>
                <w:szCs w:val="20"/>
              </w:rPr>
              <w:t>as long as</w:t>
            </w:r>
            <w:r w:rsidRPr="007424E0">
              <w:rPr>
                <w:rStyle w:val="normaltextrun"/>
                <w:sz w:val="20"/>
                <w:szCs w:val="20"/>
              </w:rPr>
              <w:t xml:space="preserve"> this is explained in a report at Final Allocation Application?</w:t>
            </w:r>
            <w:r w:rsidRPr="007424E0">
              <w:rPr>
                <w:rStyle w:val="eop"/>
                <w:sz w:val="20"/>
                <w:szCs w:val="20"/>
              </w:rPr>
              <w:t> </w:t>
            </w:r>
          </w:p>
          <w:p w14:paraId="65AFD5E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25ADCEC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17E30D5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Yes. DCA will assess compliance with this commitment based on meaningful attempts to reach the 5% threshold and a complete, detailed report submitted with the 8609 </w:t>
            </w:r>
            <w:r w:rsidRPr="007424E0">
              <w:rPr>
                <w:rStyle w:val="contextualspellingandgrammarerror"/>
                <w:rFonts w:eastAsiaTheme="majorEastAsia"/>
                <w:sz w:val="20"/>
                <w:szCs w:val="20"/>
              </w:rPr>
              <w:t>application</w:t>
            </w:r>
            <w:r w:rsidRPr="007424E0">
              <w:rPr>
                <w:rStyle w:val="normaltextrun"/>
                <w:sz w:val="20"/>
                <w:szCs w:val="20"/>
              </w:rPr>
              <w:t>. </w:t>
            </w:r>
            <w:r w:rsidRPr="007424E0">
              <w:rPr>
                <w:rStyle w:val="eop"/>
                <w:sz w:val="20"/>
                <w:szCs w:val="20"/>
              </w:rPr>
              <w:t> </w:t>
            </w:r>
          </w:p>
          <w:p w14:paraId="7C83F3B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6D2A5C6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lastRenderedPageBreak/>
              <w:t>Examples of how DCA will assess “meaningful attempts” include, but are not limited to: </w:t>
            </w:r>
            <w:r w:rsidRPr="007424E0">
              <w:rPr>
                <w:rStyle w:val="eop"/>
                <w:sz w:val="20"/>
                <w:szCs w:val="20"/>
              </w:rPr>
              <w:t> </w:t>
            </w:r>
          </w:p>
          <w:p w14:paraId="0D286F15" w14:textId="77777777" w:rsidR="00412798" w:rsidRPr="007424E0" w:rsidRDefault="00412798" w:rsidP="000F6D48">
            <w:pPr>
              <w:pStyle w:val="paragraph"/>
              <w:numPr>
                <w:ilvl w:val="0"/>
                <w:numId w:val="25"/>
              </w:numPr>
              <w:spacing w:before="0" w:beforeAutospacing="0" w:after="0" w:afterAutospacing="0"/>
              <w:ind w:left="1080" w:firstLine="0"/>
              <w:textAlignment w:val="baseline"/>
              <w:rPr>
                <w:sz w:val="20"/>
                <w:szCs w:val="20"/>
              </w:rPr>
            </w:pPr>
            <w:r w:rsidRPr="007424E0">
              <w:rPr>
                <w:rStyle w:val="normaltextrun"/>
                <w:sz w:val="20"/>
                <w:szCs w:val="20"/>
              </w:rPr>
              <w:t xml:space="preserve">the extent of outreach efforts to engage QBs described and evidence substantiating these </w:t>
            </w:r>
            <w:r w:rsidRPr="007424E0">
              <w:rPr>
                <w:rStyle w:val="contextualspellingandgrammarerror"/>
                <w:rFonts w:eastAsiaTheme="majorEastAsia"/>
                <w:sz w:val="20"/>
                <w:szCs w:val="20"/>
              </w:rPr>
              <w:t>efforts;</w:t>
            </w:r>
            <w:r w:rsidRPr="007424E0">
              <w:rPr>
                <w:rStyle w:val="eop"/>
                <w:sz w:val="20"/>
                <w:szCs w:val="20"/>
              </w:rPr>
              <w:t> </w:t>
            </w:r>
          </w:p>
          <w:p w14:paraId="633A35FE" w14:textId="77777777" w:rsidR="00412798" w:rsidRPr="007424E0" w:rsidRDefault="00412798" w:rsidP="000F6D48">
            <w:pPr>
              <w:pStyle w:val="paragraph"/>
              <w:numPr>
                <w:ilvl w:val="0"/>
                <w:numId w:val="25"/>
              </w:numPr>
              <w:spacing w:before="0" w:beforeAutospacing="0" w:after="0" w:afterAutospacing="0"/>
              <w:ind w:left="1080" w:firstLine="0"/>
              <w:textAlignment w:val="baseline"/>
              <w:rPr>
                <w:sz w:val="20"/>
                <w:szCs w:val="20"/>
              </w:rPr>
            </w:pPr>
            <w:r w:rsidRPr="007424E0">
              <w:rPr>
                <w:rStyle w:val="normaltextrun"/>
                <w:sz w:val="20"/>
                <w:szCs w:val="20"/>
              </w:rPr>
              <w:t>comparison of successes between Engagement Reports submitted within the same geographic area. </w:t>
            </w:r>
            <w:r w:rsidRPr="007424E0">
              <w:rPr>
                <w:rStyle w:val="eop"/>
                <w:sz w:val="20"/>
                <w:szCs w:val="20"/>
              </w:rPr>
              <w:t> </w:t>
            </w:r>
          </w:p>
          <w:p w14:paraId="4B364869"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14C805F3" w14:textId="77777777" w:rsidTr="64301FE8">
        <w:trPr>
          <w:jc w:val="center"/>
        </w:trPr>
        <w:tc>
          <w:tcPr>
            <w:tcW w:w="1697" w:type="dxa"/>
            <w:shd w:val="clear" w:color="auto" w:fill="auto"/>
            <w:tcMar>
              <w:top w:w="72" w:type="dxa"/>
              <w:left w:w="115" w:type="dxa"/>
              <w:bottom w:w="72" w:type="dxa"/>
              <w:right w:w="115" w:type="dxa"/>
            </w:tcMar>
            <w:vAlign w:val="center"/>
          </w:tcPr>
          <w:p w14:paraId="0A5F8AE5"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4/14/22</w:t>
            </w:r>
          </w:p>
        </w:tc>
        <w:tc>
          <w:tcPr>
            <w:tcW w:w="2663" w:type="dxa"/>
            <w:shd w:val="clear" w:color="auto" w:fill="auto"/>
            <w:tcMar>
              <w:top w:w="72" w:type="dxa"/>
              <w:left w:w="115" w:type="dxa"/>
              <w:bottom w:w="72" w:type="dxa"/>
              <w:right w:w="115" w:type="dxa"/>
            </w:tcMar>
            <w:vAlign w:val="center"/>
          </w:tcPr>
          <w:p w14:paraId="0E603A7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2.06</w:t>
            </w:r>
          </w:p>
          <w:p w14:paraId="1CAF1DA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05115B4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Appraisals</w:t>
            </w:r>
          </w:p>
        </w:tc>
        <w:tc>
          <w:tcPr>
            <w:tcW w:w="9585" w:type="dxa"/>
            <w:shd w:val="clear" w:color="auto" w:fill="auto"/>
            <w:tcMar>
              <w:top w:w="72" w:type="dxa"/>
              <w:left w:w="115" w:type="dxa"/>
              <w:bottom w:w="72" w:type="dxa"/>
              <w:right w:w="115" w:type="dxa"/>
            </w:tcMar>
            <w:vAlign w:val="center"/>
          </w:tcPr>
          <w:p w14:paraId="05E74A79" w14:textId="77777777" w:rsidR="00412798" w:rsidRPr="007424E0" w:rsidRDefault="00412798" w:rsidP="000F6D48">
            <w:pPr>
              <w:jc w:val="center"/>
              <w:rPr>
                <w:rFonts w:ascii="Times New Roman" w:hAnsi="Times New Roman" w:cs="Times New Roman"/>
                <w:sz w:val="20"/>
                <w:szCs w:val="20"/>
              </w:rPr>
            </w:pPr>
            <w:r w:rsidRPr="007424E0">
              <w:rPr>
                <w:rStyle w:val="normaltextrun"/>
                <w:rFonts w:ascii="Times New Roman" w:hAnsi="Times New Roman" w:cs="Times New Roman"/>
                <w:b/>
                <w:bCs/>
                <w:i/>
                <w:iCs/>
                <w:color w:val="FF0000"/>
                <w:sz w:val="20"/>
                <w:szCs w:val="20"/>
              </w:rPr>
              <w:t>This Q&amp;A references the 9% Round but includes information relevant to 4%/Bonds applications.</w:t>
            </w:r>
          </w:p>
          <w:p w14:paraId="1520C6B9" w14:textId="77777777" w:rsidR="00412798" w:rsidRPr="007424E0" w:rsidRDefault="00412798" w:rsidP="000F6D48">
            <w:pPr>
              <w:textAlignment w:val="baseline"/>
              <w:rPr>
                <w:rFonts w:ascii="Times New Roman" w:eastAsia="Times New Roman" w:hAnsi="Times New Roman" w:cs="Times New Roman"/>
                <w:b/>
                <w:bCs/>
                <w:sz w:val="20"/>
                <w:szCs w:val="20"/>
              </w:rPr>
            </w:pPr>
          </w:p>
          <w:p w14:paraId="2574549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Q22_0404_01 </w:t>
            </w:r>
          </w:p>
          <w:p w14:paraId="7ADEE7B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Can you please clarify if an appraisal is required to be submitted with Application Submission for a 9% new construction submittal or is an appraisal required if our project receives an award? </w:t>
            </w:r>
          </w:p>
          <w:p w14:paraId="546C722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5F63589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014A9BA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(Threshold) Appraisals</w:t>
            </w:r>
            <w:r w:rsidRPr="007424E0">
              <w:rPr>
                <w:rFonts w:ascii="Times New Roman" w:eastAsia="Times New Roman" w:hAnsi="Times New Roman" w:cs="Times New Roman"/>
                <w:sz w:val="20"/>
                <w:szCs w:val="20"/>
              </w:rPr>
              <w:t xml:space="preserve"> indicates the following instances in which Applicants must submit an appraisal at Application Submission: </w:t>
            </w:r>
          </w:p>
          <w:p w14:paraId="26434199" w14:textId="77777777" w:rsidR="00412798" w:rsidRPr="007424E0" w:rsidRDefault="00412798" w:rsidP="000F6D48">
            <w:pPr>
              <w:numPr>
                <w:ilvl w:val="0"/>
                <w:numId w:val="20"/>
              </w:numPr>
              <w:ind w:left="1080" w:firstLine="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Application is claiming acquisition credits for existing structures </w:t>
            </w:r>
          </w:p>
          <w:p w14:paraId="7D3846D2" w14:textId="77777777" w:rsidR="00412798" w:rsidRPr="007424E0" w:rsidRDefault="00412798" w:rsidP="000F6D48">
            <w:pPr>
              <w:numPr>
                <w:ilvl w:val="0"/>
                <w:numId w:val="20"/>
              </w:numPr>
              <w:ind w:left="1080" w:firstLine="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Application has an Identity of Interest between the buyer and seller </w:t>
            </w:r>
          </w:p>
          <w:p w14:paraId="7301F37D" w14:textId="77777777" w:rsidR="00412798" w:rsidRPr="007424E0" w:rsidRDefault="00412798" w:rsidP="000F6D48">
            <w:pPr>
              <w:numPr>
                <w:ilvl w:val="0"/>
                <w:numId w:val="21"/>
              </w:numPr>
              <w:ind w:left="1800" w:firstLine="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Includes seller that is a member of the proposed Project Team, including a limited partner </w:t>
            </w:r>
          </w:p>
          <w:p w14:paraId="2CE6FB1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43C9FB7"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During review, before closing, or upon closing, DCA may commission an appraisal or require submission of an appraisal commissioned by a lender or a DCA-approved appraiser. </w:t>
            </w:r>
          </w:p>
        </w:tc>
      </w:tr>
      <w:tr w:rsidR="00412798" w:rsidRPr="007424E0" w14:paraId="1DA2B55C" w14:textId="77777777" w:rsidTr="64301FE8">
        <w:trPr>
          <w:jc w:val="center"/>
        </w:trPr>
        <w:tc>
          <w:tcPr>
            <w:tcW w:w="1697" w:type="dxa"/>
            <w:shd w:val="clear" w:color="auto" w:fill="auto"/>
            <w:tcMar>
              <w:top w:w="72" w:type="dxa"/>
              <w:left w:w="115" w:type="dxa"/>
              <w:bottom w:w="72" w:type="dxa"/>
              <w:right w:w="115" w:type="dxa"/>
            </w:tcMar>
            <w:vAlign w:val="center"/>
          </w:tcPr>
          <w:p w14:paraId="58990648"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4/14/22</w:t>
            </w:r>
          </w:p>
        </w:tc>
        <w:tc>
          <w:tcPr>
            <w:tcW w:w="2663" w:type="dxa"/>
            <w:shd w:val="clear" w:color="auto" w:fill="auto"/>
            <w:tcMar>
              <w:top w:w="72" w:type="dxa"/>
              <w:left w:w="115" w:type="dxa"/>
              <w:bottom w:w="72" w:type="dxa"/>
              <w:right w:w="115" w:type="dxa"/>
            </w:tcMar>
            <w:vAlign w:val="center"/>
          </w:tcPr>
          <w:p w14:paraId="0192CB2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2.15</w:t>
            </w:r>
          </w:p>
          <w:p w14:paraId="7789611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6C5E0D0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Rehabilitation Standards</w:t>
            </w:r>
          </w:p>
        </w:tc>
        <w:tc>
          <w:tcPr>
            <w:tcW w:w="9585" w:type="dxa"/>
            <w:shd w:val="clear" w:color="auto" w:fill="auto"/>
            <w:tcMar>
              <w:top w:w="72" w:type="dxa"/>
              <w:left w:w="115" w:type="dxa"/>
              <w:bottom w:w="72" w:type="dxa"/>
              <w:right w:w="115" w:type="dxa"/>
            </w:tcMar>
            <w:vAlign w:val="center"/>
          </w:tcPr>
          <w:p w14:paraId="6F2716AA"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Q22_0314_01</w:t>
            </w:r>
          </w:p>
          <w:p w14:paraId="499D7676"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Paragraph B of </w:t>
            </w:r>
            <w:r w:rsidRPr="007424E0">
              <w:rPr>
                <w:rFonts w:ascii="Times New Roman" w:eastAsia="Times New Roman" w:hAnsi="Times New Roman" w:cs="Times New Roman"/>
                <w:b/>
                <w:bCs/>
                <w:sz w:val="20"/>
                <w:szCs w:val="20"/>
              </w:rPr>
              <w:t>(Threshold) Rehabilitation Standards</w:t>
            </w:r>
            <w:r w:rsidRPr="007424E0">
              <w:rPr>
                <w:rFonts w:ascii="Times New Roman" w:eastAsia="Times New Roman" w:hAnsi="Times New Roman" w:cs="Times New Roman"/>
                <w:sz w:val="20"/>
                <w:szCs w:val="20"/>
              </w:rPr>
              <w:t xml:space="preserve"> requires a Physical Needs Assessment and Capital Reserve Study completed by a DCA-qualified consultant.  Can you please direct me to a list of the qualified consultants posted on the DCA website?</w:t>
            </w:r>
          </w:p>
          <w:p w14:paraId="38D66CB4" w14:textId="77777777" w:rsidR="00412798" w:rsidRPr="007424E0" w:rsidRDefault="00412798" w:rsidP="000F6D48">
            <w:pPr>
              <w:contextualSpacing/>
              <w:rPr>
                <w:rFonts w:ascii="Times New Roman" w:hAnsi="Times New Roman" w:cs="Times New Roman"/>
                <w:sz w:val="20"/>
                <w:szCs w:val="20"/>
              </w:rPr>
            </w:pPr>
          </w:p>
          <w:p w14:paraId="1514F515" w14:textId="77777777" w:rsidR="00412798" w:rsidRPr="007424E0" w:rsidRDefault="00412798" w:rsidP="000F6D48">
            <w:pPr>
              <w:rPr>
                <w:rFonts w:ascii="Times New Roman" w:hAnsi="Times New Roman" w:cs="Times New Roman"/>
                <w:b/>
                <w:bCs/>
                <w:sz w:val="20"/>
                <w:szCs w:val="20"/>
              </w:rPr>
            </w:pPr>
            <w:r w:rsidRPr="007424E0">
              <w:rPr>
                <w:rFonts w:ascii="Times New Roman" w:hAnsi="Times New Roman" w:cs="Times New Roman"/>
                <w:b/>
                <w:bCs/>
                <w:sz w:val="20"/>
                <w:szCs w:val="20"/>
              </w:rPr>
              <w:t>Answer:</w:t>
            </w:r>
          </w:p>
          <w:p w14:paraId="600AE93D" w14:textId="77777777" w:rsidR="00412798" w:rsidRPr="007424E0" w:rsidRDefault="00412798" w:rsidP="000F6D48">
            <w:pPr>
              <w:rPr>
                <w:rStyle w:val="normaltextrun"/>
                <w:rFonts w:ascii="Times New Roman" w:eastAsia="MS Mincho" w:hAnsi="Times New Roman" w:cs="Times New Roman"/>
                <w:b/>
                <w:bCs/>
                <w:sz w:val="20"/>
                <w:szCs w:val="20"/>
              </w:rPr>
            </w:pPr>
            <w:r w:rsidRPr="007424E0">
              <w:rPr>
                <w:rFonts w:ascii="Times New Roman" w:eastAsia="Times New Roman" w:hAnsi="Times New Roman" w:cs="Times New Roman"/>
                <w:sz w:val="20"/>
                <w:szCs w:val="20"/>
              </w:rPr>
              <w:t xml:space="preserve">DCA does not have a list of qualified consultants posted to our website. </w:t>
            </w:r>
            <w:r w:rsidRPr="007424E0">
              <w:rPr>
                <w:rFonts w:ascii="Times New Roman" w:hAnsi="Times New Roman" w:cs="Times New Roman"/>
                <w:sz w:val="20"/>
                <w:szCs w:val="20"/>
              </w:rPr>
              <w:t xml:space="preserve">Per the 2022 QAP, </w:t>
            </w:r>
            <w:r w:rsidRPr="007424E0">
              <w:rPr>
                <w:rFonts w:ascii="Times New Roman" w:eastAsia="Calibri" w:hAnsi="Times New Roman" w:cs="Times New Roman"/>
                <w:sz w:val="20"/>
                <w:szCs w:val="20"/>
              </w:rPr>
              <w:t xml:space="preserve">a “Qualified Consultant” is any individual who meets the experience requirements and qualifications as notated in the </w:t>
            </w:r>
            <w:r w:rsidRPr="007424E0">
              <w:rPr>
                <w:rFonts w:ascii="Times New Roman" w:eastAsia="Calibri" w:hAnsi="Times New Roman" w:cs="Times New Roman"/>
                <w:b/>
                <w:bCs/>
                <w:sz w:val="20"/>
                <w:szCs w:val="20"/>
              </w:rPr>
              <w:t>2022 Rehabilitation Guide</w:t>
            </w:r>
            <w:r w:rsidRPr="007424E0">
              <w:rPr>
                <w:rFonts w:ascii="Times New Roman" w:eastAsia="Calibri" w:hAnsi="Times New Roman" w:cs="Times New Roman"/>
                <w:sz w:val="20"/>
                <w:szCs w:val="20"/>
              </w:rPr>
              <w:t xml:space="preserve">, section </w:t>
            </w:r>
            <w:r w:rsidRPr="007424E0">
              <w:rPr>
                <w:rFonts w:ascii="Times New Roman" w:eastAsia="Calibri" w:hAnsi="Times New Roman" w:cs="Times New Roman"/>
                <w:b/>
                <w:bCs/>
                <w:sz w:val="20"/>
                <w:szCs w:val="20"/>
              </w:rPr>
              <w:t>5. Physical Needs Assessments</w:t>
            </w:r>
            <w:r w:rsidRPr="007424E0">
              <w:rPr>
                <w:rFonts w:ascii="Times New Roman" w:eastAsia="Calibri" w:hAnsi="Times New Roman" w:cs="Times New Roman"/>
                <w:sz w:val="20"/>
                <w:szCs w:val="20"/>
              </w:rPr>
              <w:t xml:space="preserve">, subsection </w:t>
            </w:r>
            <w:r w:rsidRPr="007424E0">
              <w:rPr>
                <w:rFonts w:ascii="Times New Roman" w:eastAsia="Calibri" w:hAnsi="Times New Roman" w:cs="Times New Roman"/>
                <w:b/>
                <w:bCs/>
                <w:sz w:val="20"/>
                <w:szCs w:val="20"/>
              </w:rPr>
              <w:t xml:space="preserve">A. “Qualified Consultant.” </w:t>
            </w:r>
            <w:r w:rsidRPr="007424E0">
              <w:rPr>
                <w:rFonts w:ascii="Times New Roman" w:eastAsia="Calibri" w:hAnsi="Times New Roman" w:cs="Times New Roman"/>
                <w:sz w:val="20"/>
                <w:szCs w:val="20"/>
              </w:rPr>
              <w:t>The report must include a certification that the report was prepared by an individual who meets the above-listed experience requirements and qualifications to be considered a Qualified Consultant.</w:t>
            </w:r>
          </w:p>
        </w:tc>
      </w:tr>
      <w:tr w:rsidR="00412798" w:rsidRPr="007424E0" w14:paraId="78493B86" w14:textId="77777777" w:rsidTr="64301FE8">
        <w:trPr>
          <w:jc w:val="center"/>
        </w:trPr>
        <w:tc>
          <w:tcPr>
            <w:tcW w:w="1697" w:type="dxa"/>
            <w:shd w:val="clear" w:color="auto" w:fill="auto"/>
            <w:tcMar>
              <w:top w:w="72" w:type="dxa"/>
              <w:left w:w="115" w:type="dxa"/>
              <w:bottom w:w="72" w:type="dxa"/>
              <w:right w:w="115" w:type="dxa"/>
            </w:tcMar>
            <w:vAlign w:val="center"/>
          </w:tcPr>
          <w:p w14:paraId="061448FE"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4/14/22</w:t>
            </w:r>
          </w:p>
        </w:tc>
        <w:tc>
          <w:tcPr>
            <w:tcW w:w="2663" w:type="dxa"/>
            <w:shd w:val="clear" w:color="auto" w:fill="auto"/>
            <w:tcMar>
              <w:top w:w="72" w:type="dxa"/>
              <w:left w:w="115" w:type="dxa"/>
              <w:bottom w:w="72" w:type="dxa"/>
              <w:right w:w="115" w:type="dxa"/>
            </w:tcMar>
            <w:vAlign w:val="center"/>
          </w:tcPr>
          <w:p w14:paraId="5340DF1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2.17</w:t>
            </w:r>
          </w:p>
          <w:p w14:paraId="7ABB2C4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799E7F1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lastRenderedPageBreak/>
              <w:t>Building Sustainability</w:t>
            </w:r>
          </w:p>
        </w:tc>
        <w:tc>
          <w:tcPr>
            <w:tcW w:w="9585" w:type="dxa"/>
            <w:shd w:val="clear" w:color="auto" w:fill="auto"/>
            <w:tcMar>
              <w:top w:w="72" w:type="dxa"/>
              <w:left w:w="115" w:type="dxa"/>
              <w:bottom w:w="72" w:type="dxa"/>
              <w:right w:w="115" w:type="dxa"/>
            </w:tcMar>
            <w:vAlign w:val="center"/>
          </w:tcPr>
          <w:p w14:paraId="507EE415"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lastRenderedPageBreak/>
              <w:t>Question</w:t>
            </w:r>
            <w:r w:rsidRPr="007424E0">
              <w:rPr>
                <w:rStyle w:val="normaltextrun"/>
                <w:sz w:val="20"/>
                <w:szCs w:val="20"/>
              </w:rPr>
              <w:t>: Q1221_01</w:t>
            </w:r>
            <w:r w:rsidRPr="007424E0">
              <w:rPr>
                <w:rStyle w:val="eop"/>
                <w:sz w:val="20"/>
                <w:szCs w:val="20"/>
              </w:rPr>
              <w:t> </w:t>
            </w:r>
          </w:p>
          <w:p w14:paraId="2F00D92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lastRenderedPageBreak/>
              <w:t xml:space="preserve">(Threshold) Building Sustainability, C. DCA Building Sustainability </w:t>
            </w:r>
            <w:r w:rsidRPr="007424E0">
              <w:rPr>
                <w:rStyle w:val="normaltextrun"/>
                <w:sz w:val="20"/>
                <w:szCs w:val="20"/>
              </w:rPr>
              <w:t>requires applicants to complete DCA’s virtual Building Sustainability training. Who is required to obtain the training and certificate, and how can that person obtain the training and certificate?</w:t>
            </w:r>
            <w:r w:rsidRPr="007424E0">
              <w:rPr>
                <w:rStyle w:val="eop"/>
                <w:sz w:val="20"/>
                <w:szCs w:val="20"/>
              </w:rPr>
              <w:t> </w:t>
            </w:r>
          </w:p>
          <w:p w14:paraId="4E97EA7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35099DC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4CF6EC5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Applicants (defined as “the General Partner” in the QAP) must complete DCA’s virtual Building Sustainability training.</w:t>
            </w:r>
            <w:r w:rsidRPr="007424E0">
              <w:rPr>
                <w:rStyle w:val="eop"/>
                <w:sz w:val="20"/>
                <w:szCs w:val="20"/>
              </w:rPr>
              <w:t> </w:t>
            </w:r>
          </w:p>
          <w:p w14:paraId="37D62BB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2E57B7FD" w14:textId="77777777" w:rsidR="00412798" w:rsidRPr="007424E0" w:rsidRDefault="00412798" w:rsidP="000F6D48">
            <w:pPr>
              <w:pStyle w:val="paragraph"/>
              <w:spacing w:before="0" w:beforeAutospacing="0" w:after="0" w:afterAutospacing="0"/>
              <w:textAlignment w:val="baseline"/>
              <w:rPr>
                <w:sz w:val="20"/>
                <w:szCs w:val="20"/>
              </w:rPr>
            </w:pPr>
            <w:r w:rsidRPr="007424E0">
              <w:rPr>
                <w:sz w:val="20"/>
                <w:szCs w:val="20"/>
              </w:rPr>
              <w:t>The training is posted to the DCA YouTube page (</w:t>
            </w:r>
            <w:hyperlink r:id="rId49" w:tgtFrame="_blank" w:history="1">
              <w:r w:rsidRPr="007424E0">
                <w:rPr>
                  <w:rStyle w:val="normaltextrun"/>
                  <w:sz w:val="20"/>
                  <w:szCs w:val="20"/>
                  <w:u w:val="single"/>
                </w:rPr>
                <w:t>click here</w:t>
              </w:r>
            </w:hyperlink>
            <w:r w:rsidRPr="007424E0">
              <w:rPr>
                <w:sz w:val="20"/>
                <w:szCs w:val="20"/>
              </w:rPr>
              <w:t>).</w:t>
            </w:r>
          </w:p>
          <w:p w14:paraId="763A3AB3" w14:textId="77777777" w:rsidR="00412798" w:rsidRPr="007424E0" w:rsidRDefault="00412798" w:rsidP="000F6D48">
            <w:pPr>
              <w:pStyle w:val="paragraph"/>
              <w:spacing w:before="0" w:beforeAutospacing="0" w:after="0" w:afterAutospacing="0"/>
              <w:textAlignment w:val="baseline"/>
              <w:rPr>
                <w:rStyle w:val="normaltextrun"/>
                <w:b/>
                <w:bCs/>
                <w:sz w:val="20"/>
                <w:szCs w:val="20"/>
              </w:rPr>
            </w:pPr>
          </w:p>
          <w:p w14:paraId="32EAE468" w14:textId="77777777" w:rsidR="00412798" w:rsidRPr="007424E0" w:rsidRDefault="00412798" w:rsidP="000F6D48">
            <w:pPr>
              <w:pStyle w:val="paragraph"/>
              <w:spacing w:before="0" w:beforeAutospacing="0" w:after="0" w:afterAutospacing="0"/>
              <w:textAlignment w:val="baseline"/>
              <w:rPr>
                <w:rStyle w:val="normaltextrun"/>
                <w:b/>
                <w:bCs/>
                <w:sz w:val="20"/>
                <w:szCs w:val="20"/>
              </w:rPr>
            </w:pPr>
            <w:r w:rsidRPr="007424E0">
              <w:rPr>
                <w:rStyle w:val="normaltextrun"/>
                <w:sz w:val="20"/>
                <w:szCs w:val="20"/>
                <w:shd w:val="clear" w:color="auto" w:fill="FFFFFF"/>
              </w:rPr>
              <w:t>Please note, the YouTube video will not generate a Certificate of Participation.  Applicants will certify completion of the training in the Building Sustainability section of the Core Application, which will also include a link to the Building Sustainability training video linked above.</w:t>
            </w:r>
          </w:p>
        </w:tc>
      </w:tr>
      <w:tr w:rsidR="00412798" w:rsidRPr="007424E0" w14:paraId="6B16E6E6" w14:textId="77777777" w:rsidTr="64301FE8">
        <w:trPr>
          <w:jc w:val="center"/>
        </w:trPr>
        <w:tc>
          <w:tcPr>
            <w:tcW w:w="1697" w:type="dxa"/>
            <w:shd w:val="clear" w:color="auto" w:fill="auto"/>
            <w:tcMar>
              <w:top w:w="72" w:type="dxa"/>
              <w:left w:w="115" w:type="dxa"/>
              <w:bottom w:w="72" w:type="dxa"/>
              <w:right w:w="115" w:type="dxa"/>
            </w:tcMar>
            <w:vAlign w:val="center"/>
          </w:tcPr>
          <w:p w14:paraId="2C7D8A67"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4/14/22</w:t>
            </w:r>
          </w:p>
        </w:tc>
        <w:tc>
          <w:tcPr>
            <w:tcW w:w="2663" w:type="dxa"/>
            <w:shd w:val="clear" w:color="auto" w:fill="auto"/>
            <w:tcMar>
              <w:top w:w="72" w:type="dxa"/>
              <w:left w:w="115" w:type="dxa"/>
              <w:bottom w:w="72" w:type="dxa"/>
              <w:right w:w="115" w:type="dxa"/>
            </w:tcMar>
            <w:vAlign w:val="center"/>
          </w:tcPr>
          <w:p w14:paraId="67335BA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3850AF8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0A6B747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575EB9B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Q22_0221_05 </w:t>
            </w:r>
          </w:p>
          <w:p w14:paraId="680770D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In DCA's </w:t>
            </w:r>
            <w:r w:rsidRPr="007424E0">
              <w:rPr>
                <w:rFonts w:ascii="Times New Roman" w:eastAsia="Times New Roman" w:hAnsi="Times New Roman" w:cs="Times New Roman"/>
                <w:i/>
                <w:iCs/>
                <w:sz w:val="20"/>
                <w:szCs w:val="20"/>
              </w:rPr>
              <w:t>DCA Minority- and Women-Owned Business Engagement Policy</w:t>
            </w:r>
            <w:r w:rsidRPr="007424E0">
              <w:rPr>
                <w:rFonts w:ascii="Times New Roman" w:eastAsia="Times New Roman" w:hAnsi="Times New Roman" w:cs="Times New Roman"/>
                <w:sz w:val="20"/>
                <w:szCs w:val="20"/>
              </w:rPr>
              <w:t xml:space="preserve"> document, one of the categories of the NAICS codes that deems a QB as certified is Public Administration. Does this mean public entities such as a redevelopment authority, land development agencies, building standards agencies, etc. can be MBE/WBEs?  </w:t>
            </w:r>
          </w:p>
          <w:p w14:paraId="00805C9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576C019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584D7D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DCA does not qualify or disqualify specific types of organizations from participation. DCA staff will assess whether the QB meets all requirements listed in the QAP.  </w:t>
            </w:r>
          </w:p>
          <w:p w14:paraId="34583E7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8608D3B"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If the question above is intended to refer to whether such organizations are eligible to receive certifications under the certification programs listed in the posted </w:t>
            </w:r>
            <w:r w:rsidRPr="007424E0">
              <w:rPr>
                <w:rFonts w:ascii="Times New Roman" w:eastAsia="Times New Roman" w:hAnsi="Times New Roman" w:cs="Times New Roman"/>
                <w:i/>
                <w:iCs/>
                <w:sz w:val="20"/>
                <w:szCs w:val="20"/>
              </w:rPr>
              <w:t>DCA Minority- and Women-Owned Business Engagement Policy</w:t>
            </w:r>
            <w:r w:rsidRPr="007424E0">
              <w:rPr>
                <w:rFonts w:ascii="Times New Roman" w:eastAsia="Times New Roman" w:hAnsi="Times New Roman" w:cs="Times New Roman"/>
                <w:sz w:val="20"/>
                <w:szCs w:val="20"/>
              </w:rPr>
              <w:t xml:space="preserve"> (</w:t>
            </w:r>
            <w:hyperlink r:id="rId50" w:tgtFrame="_blank" w:history="1">
              <w:r w:rsidRPr="007424E0">
                <w:rPr>
                  <w:rFonts w:ascii="Times New Roman" w:eastAsia="Times New Roman" w:hAnsi="Times New Roman" w:cs="Times New Roman"/>
                  <w:sz w:val="20"/>
                  <w:szCs w:val="20"/>
                  <w:u w:val="single"/>
                </w:rPr>
                <w:t>click here</w:t>
              </w:r>
            </w:hyperlink>
            <w:r w:rsidRPr="007424E0">
              <w:rPr>
                <w:rFonts w:ascii="Times New Roman" w:eastAsia="Times New Roman" w:hAnsi="Times New Roman" w:cs="Times New Roman"/>
                <w:sz w:val="20"/>
                <w:szCs w:val="20"/>
              </w:rPr>
              <w:t>), then please direct the question to the programs themselves. DCA is not able to provide guidance about non-DCA programs.  </w:t>
            </w:r>
          </w:p>
        </w:tc>
      </w:tr>
      <w:tr w:rsidR="00412798" w:rsidRPr="007424E0" w14:paraId="61501411" w14:textId="77777777" w:rsidTr="64301FE8">
        <w:trPr>
          <w:jc w:val="center"/>
        </w:trPr>
        <w:tc>
          <w:tcPr>
            <w:tcW w:w="1697" w:type="dxa"/>
            <w:shd w:val="clear" w:color="auto" w:fill="auto"/>
            <w:tcMar>
              <w:top w:w="72" w:type="dxa"/>
              <w:left w:w="115" w:type="dxa"/>
              <w:bottom w:w="72" w:type="dxa"/>
              <w:right w:w="115" w:type="dxa"/>
            </w:tcMar>
            <w:vAlign w:val="center"/>
          </w:tcPr>
          <w:p w14:paraId="68A4F6EB"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4/14/22</w:t>
            </w:r>
          </w:p>
        </w:tc>
        <w:tc>
          <w:tcPr>
            <w:tcW w:w="2663" w:type="dxa"/>
            <w:shd w:val="clear" w:color="auto" w:fill="auto"/>
            <w:tcMar>
              <w:top w:w="72" w:type="dxa"/>
              <w:left w:w="115" w:type="dxa"/>
              <w:bottom w:w="72" w:type="dxa"/>
              <w:right w:w="115" w:type="dxa"/>
            </w:tcMar>
            <w:vAlign w:val="center"/>
          </w:tcPr>
          <w:p w14:paraId="1BA18ED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3.21</w:t>
            </w:r>
          </w:p>
          <w:p w14:paraId="1FF145B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060C4A2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Favorable Financing</w:t>
            </w:r>
          </w:p>
        </w:tc>
        <w:tc>
          <w:tcPr>
            <w:tcW w:w="9585" w:type="dxa"/>
            <w:shd w:val="clear" w:color="auto" w:fill="auto"/>
            <w:tcMar>
              <w:top w:w="72" w:type="dxa"/>
              <w:left w:w="115" w:type="dxa"/>
              <w:bottom w:w="72" w:type="dxa"/>
              <w:right w:w="115" w:type="dxa"/>
            </w:tcMar>
            <w:vAlign w:val="center"/>
          </w:tcPr>
          <w:p w14:paraId="2084CD3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Q22_0304_08 </w:t>
            </w:r>
          </w:p>
          <w:p w14:paraId="21C1D98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If a City agrees to sell a property it owns to a developer for less than the appraised value of the property, can the difference between sale price and appraised value be counted as a City government grant to the project? </w:t>
            </w:r>
          </w:p>
          <w:p w14:paraId="24C1DC8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C3585B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C57046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No. Reducing the cost of a line item in the development budget does not constitute a grant. </w:t>
            </w:r>
          </w:p>
        </w:tc>
      </w:tr>
      <w:tr w:rsidR="00412798" w:rsidRPr="007424E0" w14:paraId="5656E65F" w14:textId="77777777" w:rsidTr="64301FE8">
        <w:trPr>
          <w:jc w:val="center"/>
        </w:trPr>
        <w:tc>
          <w:tcPr>
            <w:tcW w:w="1697" w:type="dxa"/>
            <w:shd w:val="clear" w:color="auto" w:fill="auto"/>
            <w:tcMar>
              <w:top w:w="72" w:type="dxa"/>
              <w:left w:w="115" w:type="dxa"/>
              <w:bottom w:w="72" w:type="dxa"/>
              <w:right w:w="115" w:type="dxa"/>
            </w:tcMar>
            <w:vAlign w:val="center"/>
          </w:tcPr>
          <w:p w14:paraId="581EC2BD"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4/14/22</w:t>
            </w:r>
          </w:p>
        </w:tc>
        <w:tc>
          <w:tcPr>
            <w:tcW w:w="2663" w:type="dxa"/>
            <w:shd w:val="clear" w:color="auto" w:fill="auto"/>
            <w:tcMar>
              <w:top w:w="72" w:type="dxa"/>
              <w:left w:w="115" w:type="dxa"/>
              <w:bottom w:w="72" w:type="dxa"/>
              <w:right w:w="115" w:type="dxa"/>
            </w:tcMar>
            <w:vAlign w:val="center"/>
          </w:tcPr>
          <w:p w14:paraId="2F21C27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3.24</w:t>
            </w:r>
          </w:p>
          <w:p w14:paraId="3D2D7DE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1545109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lastRenderedPageBreak/>
              <w:t>Integrated Supportive Housing</w:t>
            </w:r>
          </w:p>
        </w:tc>
        <w:tc>
          <w:tcPr>
            <w:tcW w:w="9585" w:type="dxa"/>
            <w:shd w:val="clear" w:color="auto" w:fill="auto"/>
            <w:tcMar>
              <w:top w:w="72" w:type="dxa"/>
              <w:left w:w="115" w:type="dxa"/>
              <w:bottom w:w="72" w:type="dxa"/>
              <w:right w:w="115" w:type="dxa"/>
            </w:tcMar>
            <w:vAlign w:val="center"/>
          </w:tcPr>
          <w:p w14:paraId="159A57B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lastRenderedPageBreak/>
              <w:t>Question</w:t>
            </w:r>
            <w:r w:rsidRPr="007424E0">
              <w:rPr>
                <w:rFonts w:ascii="Times New Roman" w:eastAsia="Times New Roman" w:hAnsi="Times New Roman" w:cs="Times New Roman"/>
                <w:sz w:val="20"/>
                <w:szCs w:val="20"/>
              </w:rPr>
              <w:t>: Q1124_01 </w:t>
            </w:r>
          </w:p>
          <w:p w14:paraId="5D2489D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At the 2022 QAP Workshop, DCA indicated that </w:t>
            </w:r>
            <w:r w:rsidRPr="007424E0">
              <w:rPr>
                <w:rFonts w:ascii="Times New Roman" w:eastAsia="Times New Roman" w:hAnsi="Times New Roman" w:cs="Times New Roman"/>
                <w:b/>
                <w:bCs/>
                <w:sz w:val="20"/>
                <w:szCs w:val="20"/>
              </w:rPr>
              <w:t>(Scoring) Integrated Supportive Housing</w:t>
            </w:r>
            <w:r w:rsidRPr="007424E0">
              <w:rPr>
                <w:rFonts w:ascii="Times New Roman" w:eastAsia="Times New Roman" w:hAnsi="Times New Roman" w:cs="Times New Roman"/>
                <w:sz w:val="20"/>
                <w:szCs w:val="20"/>
              </w:rPr>
              <w:t xml:space="preserve">, option </w:t>
            </w:r>
            <w:r w:rsidRPr="007424E0">
              <w:rPr>
                <w:rFonts w:ascii="Times New Roman" w:eastAsia="Times New Roman" w:hAnsi="Times New Roman" w:cs="Times New Roman"/>
                <w:b/>
                <w:bCs/>
                <w:sz w:val="20"/>
                <w:szCs w:val="20"/>
              </w:rPr>
              <w:t>D. DCA Section 811 Commitments: Prior Performance</w:t>
            </w:r>
            <w:r w:rsidRPr="007424E0">
              <w:rPr>
                <w:rFonts w:ascii="Times New Roman" w:eastAsia="Times New Roman" w:hAnsi="Times New Roman" w:cs="Times New Roman"/>
                <w:sz w:val="20"/>
                <w:szCs w:val="20"/>
              </w:rPr>
              <w:t xml:space="preserve"> would be scored such that everybody gets the 2 points by default, </w:t>
            </w:r>
            <w:r w:rsidRPr="007424E0">
              <w:rPr>
                <w:rFonts w:ascii="Times New Roman" w:eastAsia="Times New Roman" w:hAnsi="Times New Roman" w:cs="Times New Roman"/>
                <w:sz w:val="20"/>
                <w:szCs w:val="20"/>
              </w:rPr>
              <w:lastRenderedPageBreak/>
              <w:t>and only if there was a prior performance issue related to the “Property requirements” bullets listed in the QAP under this section would DCA deduct the two points. </w:t>
            </w:r>
          </w:p>
          <w:p w14:paraId="5DC8959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320445B" w14:textId="77777777" w:rsidR="00412798" w:rsidRPr="007424E0" w:rsidRDefault="00412798" w:rsidP="000F6D48">
            <w:pPr>
              <w:numPr>
                <w:ilvl w:val="0"/>
                <w:numId w:val="22"/>
              </w:numPr>
              <w:ind w:left="1080" w:firstLine="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For some applicants, DCA has never reached out to the owners about 811 contracting even if they took the points. And some applicants did not apply under prior QAPs and thus never had the opportunity to take the points. Are these applicants also eligible for these two points by default under the 2022 round? </w:t>
            </w:r>
          </w:p>
          <w:p w14:paraId="37EB4A39" w14:textId="77777777" w:rsidR="00412798" w:rsidRPr="007424E0" w:rsidRDefault="00412798" w:rsidP="000F6D48">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588B4D97" w14:textId="77777777" w:rsidR="00412798" w:rsidRPr="007424E0" w:rsidRDefault="00412798" w:rsidP="000F6D48">
            <w:pPr>
              <w:numPr>
                <w:ilvl w:val="0"/>
                <w:numId w:val="23"/>
              </w:numPr>
              <w:ind w:left="1080" w:firstLine="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DCA also stated at the Workshop that if staff identified any issues, they would communicate these issues to the owners during the Pre-Application phase and owners would have the opportunity to correct these issues before a point penalty is applied. Since this was conveyed verbally at the Workshop, I’m confirming that this is in fact the case.  </w:t>
            </w:r>
          </w:p>
          <w:p w14:paraId="732C6E5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0A932E8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4B6C6F7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To the first question: yes, all applicants will receive the 2 points under option D. by default.  </w:t>
            </w:r>
          </w:p>
          <w:p w14:paraId="19FD2F8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1160FB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To the second question: DCA has completed its review of 811 agreement “Prior Performance.” Staff identified issues that under a subsequent competitive round may result in a points penalty. However, all issues identified occurred prior to the 2022 QAP being finalized. Therefore, under the 2022 Competitive Round, DCA will not deduct any points under this section.  </w:t>
            </w:r>
          </w:p>
          <w:p w14:paraId="66658AA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0848107"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DCA is in the process of communicating with owners about the issues identified, so that they can be aware of the points penalty risk in the future.  </w:t>
            </w:r>
          </w:p>
        </w:tc>
      </w:tr>
      <w:tr w:rsidR="00412798" w:rsidRPr="007424E0" w14:paraId="460739D4" w14:textId="77777777" w:rsidTr="64301FE8">
        <w:trPr>
          <w:jc w:val="center"/>
        </w:trPr>
        <w:tc>
          <w:tcPr>
            <w:tcW w:w="1697" w:type="dxa"/>
            <w:shd w:val="clear" w:color="auto" w:fill="auto"/>
            <w:tcMar>
              <w:top w:w="72" w:type="dxa"/>
              <w:left w:w="115" w:type="dxa"/>
              <w:bottom w:w="72" w:type="dxa"/>
              <w:right w:w="115" w:type="dxa"/>
            </w:tcMar>
            <w:vAlign w:val="center"/>
          </w:tcPr>
          <w:p w14:paraId="5ED0BBE0"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4/14/22</w:t>
            </w:r>
          </w:p>
        </w:tc>
        <w:tc>
          <w:tcPr>
            <w:tcW w:w="2663" w:type="dxa"/>
            <w:shd w:val="clear" w:color="auto" w:fill="auto"/>
            <w:tcMar>
              <w:top w:w="72" w:type="dxa"/>
              <w:left w:w="115" w:type="dxa"/>
              <w:bottom w:w="72" w:type="dxa"/>
              <w:right w:w="115" w:type="dxa"/>
            </w:tcMar>
            <w:vAlign w:val="center"/>
          </w:tcPr>
          <w:p w14:paraId="08C479C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3.26</w:t>
            </w:r>
          </w:p>
          <w:p w14:paraId="747FEB3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6A6F210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Affordability Loss Risk</w:t>
            </w:r>
          </w:p>
        </w:tc>
        <w:tc>
          <w:tcPr>
            <w:tcW w:w="9585" w:type="dxa"/>
            <w:shd w:val="clear" w:color="auto" w:fill="auto"/>
            <w:tcMar>
              <w:top w:w="72" w:type="dxa"/>
              <w:left w:w="115" w:type="dxa"/>
              <w:bottom w:w="72" w:type="dxa"/>
              <w:right w:w="115" w:type="dxa"/>
            </w:tcMar>
            <w:vAlign w:val="center"/>
          </w:tcPr>
          <w:p w14:paraId="4452DC3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Q22_1119_01 </w:t>
            </w:r>
          </w:p>
          <w:p w14:paraId="39D604B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I have a question regarding the requirement that if we are to use HUD PBRA rents, it needs to have at least 10 years remaining and how it may affect the scoring section under </w:t>
            </w:r>
            <w:r w:rsidRPr="007424E0">
              <w:rPr>
                <w:rFonts w:ascii="Times New Roman" w:eastAsia="Times New Roman" w:hAnsi="Times New Roman" w:cs="Times New Roman"/>
                <w:b/>
                <w:bCs/>
                <w:sz w:val="20"/>
                <w:szCs w:val="20"/>
              </w:rPr>
              <w:t>(Scoring) Affordability Loss Risk</w:t>
            </w:r>
            <w:r w:rsidRPr="007424E0">
              <w:rPr>
                <w:rFonts w:ascii="Times New Roman" w:eastAsia="Times New Roman" w:hAnsi="Times New Roman" w:cs="Times New Roman"/>
                <w:sz w:val="20"/>
                <w:szCs w:val="20"/>
              </w:rPr>
              <w:t>. </w:t>
            </w:r>
          </w:p>
          <w:p w14:paraId="627EB95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298290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126B9C4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From the 2022 QAP Workshop slides: “[Affordability Loss Risk] is, by design, expected to impact the rankings in different set asides in different ways. This is the primary reason for having distinct set asides by preservation type (e.g., scoring RAD and existing Housing Tax Credit properties separately).” </w:t>
            </w:r>
          </w:p>
          <w:p w14:paraId="455757B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42CCCDF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w:t>
            </w:r>
            <w:r w:rsidRPr="007424E0">
              <w:rPr>
                <w:rFonts w:ascii="Times New Roman" w:eastAsia="Times New Roman" w:hAnsi="Times New Roman" w:cs="Times New Roman"/>
                <w:i/>
                <w:iCs/>
                <w:sz w:val="20"/>
                <w:szCs w:val="20"/>
              </w:rPr>
              <w:t>Affordability Loss Risk Form</w:t>
            </w:r>
            <w:r w:rsidRPr="007424E0">
              <w:rPr>
                <w:rFonts w:ascii="Times New Roman" w:eastAsia="Times New Roman" w:hAnsi="Times New Roman" w:cs="Times New Roman"/>
                <w:sz w:val="20"/>
                <w:szCs w:val="20"/>
              </w:rPr>
              <w:t xml:space="preserve"> (under Scoring Documents and Data, </w:t>
            </w:r>
            <w:hyperlink r:id="rId51" w:tgtFrame="_blank" w:history="1">
              <w:r w:rsidRPr="007424E0">
                <w:rPr>
                  <w:rFonts w:ascii="Times New Roman" w:eastAsia="Times New Roman" w:hAnsi="Times New Roman" w:cs="Times New Roman"/>
                  <w:sz w:val="20"/>
                  <w:szCs w:val="20"/>
                  <w:u w:val="single"/>
                </w:rPr>
                <w:t>click here</w:t>
              </w:r>
            </w:hyperlink>
            <w:r w:rsidRPr="007424E0">
              <w:rPr>
                <w:rFonts w:ascii="Times New Roman" w:eastAsia="Times New Roman" w:hAnsi="Times New Roman" w:cs="Times New Roman"/>
                <w:sz w:val="20"/>
                <w:szCs w:val="20"/>
              </w:rPr>
              <w:t>) covers three criteria for ranking. Again, from the QAP Workshop slides, “For certain set asides, it may even be the case that an individual [criterion] does not result in meaningful variation between applications.” In these instances, point determinations will be based on the other ranking criteria.</w:t>
            </w:r>
          </w:p>
        </w:tc>
      </w:tr>
      <w:tr w:rsidR="00412798" w:rsidRPr="007424E0" w14:paraId="7083F24F" w14:textId="77777777" w:rsidTr="64301FE8">
        <w:trPr>
          <w:jc w:val="center"/>
        </w:trPr>
        <w:tc>
          <w:tcPr>
            <w:tcW w:w="1697" w:type="dxa"/>
            <w:shd w:val="clear" w:color="auto" w:fill="auto"/>
            <w:tcMar>
              <w:top w:w="72" w:type="dxa"/>
              <w:left w:w="115" w:type="dxa"/>
              <w:bottom w:w="72" w:type="dxa"/>
              <w:right w:w="115" w:type="dxa"/>
            </w:tcMar>
            <w:vAlign w:val="center"/>
          </w:tcPr>
          <w:p w14:paraId="1E424878"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4/7/22</w:t>
            </w:r>
          </w:p>
        </w:tc>
        <w:tc>
          <w:tcPr>
            <w:tcW w:w="2663" w:type="dxa"/>
            <w:shd w:val="clear" w:color="auto" w:fill="auto"/>
            <w:tcMar>
              <w:top w:w="72" w:type="dxa"/>
              <w:left w:w="115" w:type="dxa"/>
              <w:bottom w:w="72" w:type="dxa"/>
              <w:right w:w="115" w:type="dxa"/>
            </w:tcMar>
            <w:vAlign w:val="center"/>
          </w:tcPr>
          <w:p w14:paraId="6FE2DDE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2.07</w:t>
            </w:r>
          </w:p>
          <w:p w14:paraId="6D67337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 Environmental Requirements</w:t>
            </w:r>
          </w:p>
        </w:tc>
        <w:tc>
          <w:tcPr>
            <w:tcW w:w="9585" w:type="dxa"/>
            <w:shd w:val="clear" w:color="auto" w:fill="auto"/>
            <w:tcMar>
              <w:top w:w="72" w:type="dxa"/>
              <w:left w:w="115" w:type="dxa"/>
              <w:bottom w:w="72" w:type="dxa"/>
              <w:right w:w="115" w:type="dxa"/>
            </w:tcMar>
            <w:vAlign w:val="center"/>
          </w:tcPr>
          <w:p w14:paraId="2B2D582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xml:space="preserve">: Q22_0330_01a </w:t>
            </w:r>
          </w:p>
          <w:p w14:paraId="059AE15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In regard to the Environmental Manual: Asbestos - Section 7 requires that an asbestos survey must be performed on all buildings scheduled for rehabilitation.  Since asbestos was banned in 1989, there is no chance that a property built after 1989 would contain asbestos. In our case, the buildings were placed in service is 2008; is a visual survey sufficient by the Environmental Professional or does actual sampling need to be performed?  The cost to sample for asbestos is not warranted. </w:t>
            </w:r>
          </w:p>
          <w:p w14:paraId="21C3FABC" w14:textId="77777777" w:rsidR="00412798" w:rsidRPr="007424E0" w:rsidRDefault="00412798" w:rsidP="000F6D48">
            <w:pPr>
              <w:textAlignment w:val="baseline"/>
              <w:rPr>
                <w:rFonts w:ascii="Times New Roman" w:eastAsia="Times New Roman" w:hAnsi="Times New Roman" w:cs="Times New Roman"/>
                <w:sz w:val="20"/>
                <w:szCs w:val="20"/>
              </w:rPr>
            </w:pPr>
          </w:p>
          <w:p w14:paraId="7676CB3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xml:space="preserve">: </w:t>
            </w:r>
          </w:p>
          <w:p w14:paraId="46601EA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asbestos ban regulation issued by EPA in 1989 was overturned by the court and therefore only applies to a few specific asbestos-containing materials. EPA’s National Emission Standard for Hazardous Air Pollutants (NESHAP) requires an asbestos survey prior to any renovation or demolition regardless of the date of construction. The residential structures, or the portion of the structures that will be demolished or renovated, must be thoroughly inspected for the presence of asbestos, including Category I and Category II non-friable ACM.</w:t>
            </w:r>
          </w:p>
        </w:tc>
      </w:tr>
      <w:tr w:rsidR="00412798" w:rsidRPr="007424E0" w14:paraId="293A0A76" w14:textId="77777777" w:rsidTr="64301FE8">
        <w:trPr>
          <w:jc w:val="center"/>
        </w:trPr>
        <w:tc>
          <w:tcPr>
            <w:tcW w:w="1697" w:type="dxa"/>
            <w:shd w:val="clear" w:color="auto" w:fill="auto"/>
            <w:tcMar>
              <w:top w:w="72" w:type="dxa"/>
              <w:left w:w="115" w:type="dxa"/>
              <w:bottom w:w="72" w:type="dxa"/>
              <w:right w:w="115" w:type="dxa"/>
            </w:tcMar>
            <w:vAlign w:val="center"/>
          </w:tcPr>
          <w:p w14:paraId="10F3A927"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4/7/22</w:t>
            </w:r>
          </w:p>
        </w:tc>
        <w:tc>
          <w:tcPr>
            <w:tcW w:w="2663" w:type="dxa"/>
            <w:shd w:val="clear" w:color="auto" w:fill="auto"/>
            <w:tcMar>
              <w:top w:w="72" w:type="dxa"/>
              <w:left w:w="115" w:type="dxa"/>
              <w:bottom w:w="72" w:type="dxa"/>
              <w:right w:w="115" w:type="dxa"/>
            </w:tcMar>
            <w:vAlign w:val="center"/>
          </w:tcPr>
          <w:p w14:paraId="6EACF8B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2.20</w:t>
            </w:r>
          </w:p>
          <w:p w14:paraId="7CCF2DA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3316FBC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Experience, Capacity and Performance Requirements for General Partner and Developer Entities</w:t>
            </w:r>
          </w:p>
        </w:tc>
        <w:tc>
          <w:tcPr>
            <w:tcW w:w="9585" w:type="dxa"/>
            <w:shd w:val="clear" w:color="auto" w:fill="auto"/>
            <w:tcMar>
              <w:top w:w="72" w:type="dxa"/>
              <w:left w:w="115" w:type="dxa"/>
              <w:bottom w:w="72" w:type="dxa"/>
              <w:right w:w="115" w:type="dxa"/>
            </w:tcMar>
            <w:vAlign w:val="center"/>
          </w:tcPr>
          <w:p w14:paraId="13C56C8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Q22_0323_01 </w:t>
            </w:r>
          </w:p>
          <w:p w14:paraId="17E1B7E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I am hoping to get clarity on the Certifying Entity responsible for meeting </w:t>
            </w:r>
            <w:r w:rsidRPr="007424E0">
              <w:rPr>
                <w:rFonts w:ascii="Times New Roman" w:eastAsia="Times New Roman" w:hAnsi="Times New Roman" w:cs="Times New Roman"/>
                <w:b/>
                <w:bCs/>
                <w:sz w:val="20"/>
                <w:szCs w:val="20"/>
              </w:rPr>
              <w:t>(Threshold Criteria) Experience, Capacity and Performance Requirements for General Partner and Developer Entities, C. Requirements for Experience</w:t>
            </w:r>
            <w:r w:rsidRPr="007424E0">
              <w:rPr>
                <w:rFonts w:ascii="Times New Roman" w:eastAsia="Times New Roman" w:hAnsi="Times New Roman" w:cs="Times New Roman"/>
                <w:sz w:val="20"/>
                <w:szCs w:val="20"/>
              </w:rPr>
              <w:t>.” Can qualifying projects be outside of Georgia? </w:t>
            </w:r>
          </w:p>
          <w:p w14:paraId="49592DF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D44A7F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4DED26D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Yes, the requirements for experience (certifying entity) in the above-listed subsection can be met with Housing Tax Credit developments in any state.</w:t>
            </w:r>
          </w:p>
          <w:p w14:paraId="1DF709A7"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64FCF38E" w14:textId="77777777" w:rsidTr="64301FE8">
        <w:trPr>
          <w:jc w:val="center"/>
        </w:trPr>
        <w:tc>
          <w:tcPr>
            <w:tcW w:w="1697" w:type="dxa"/>
            <w:shd w:val="clear" w:color="auto" w:fill="auto"/>
            <w:tcMar>
              <w:top w:w="72" w:type="dxa"/>
              <w:left w:w="115" w:type="dxa"/>
              <w:bottom w:w="72" w:type="dxa"/>
              <w:right w:w="115" w:type="dxa"/>
            </w:tcMar>
            <w:vAlign w:val="center"/>
          </w:tcPr>
          <w:p w14:paraId="32B00C96"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4/7/22</w:t>
            </w:r>
          </w:p>
        </w:tc>
        <w:tc>
          <w:tcPr>
            <w:tcW w:w="2663" w:type="dxa"/>
            <w:shd w:val="clear" w:color="auto" w:fill="auto"/>
            <w:tcMar>
              <w:top w:w="72" w:type="dxa"/>
              <w:left w:w="115" w:type="dxa"/>
              <w:bottom w:w="72" w:type="dxa"/>
              <w:right w:w="115" w:type="dxa"/>
            </w:tcMar>
            <w:vAlign w:val="center"/>
          </w:tcPr>
          <w:p w14:paraId="26DFA76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6D266DF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7654879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23E3CD4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Q22_0216_08</w:t>
            </w:r>
            <w:r w:rsidRPr="007424E0">
              <w:rPr>
                <w:rStyle w:val="eop"/>
                <w:sz w:val="20"/>
                <w:szCs w:val="20"/>
              </w:rPr>
              <w:t>  </w:t>
            </w:r>
          </w:p>
          <w:p w14:paraId="754719F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The QAP states in </w:t>
            </w:r>
            <w:r w:rsidRPr="007424E0">
              <w:rPr>
                <w:rStyle w:val="normaltextrun"/>
                <w:b/>
                <w:bCs/>
                <w:sz w:val="20"/>
                <w:szCs w:val="20"/>
              </w:rPr>
              <w:t>Scoring, Minority- and Women-Owned Business Engagement, A. Engagement Commitment and Reporting</w:t>
            </w:r>
            <w:r w:rsidRPr="007424E0">
              <w:rPr>
                <w:rStyle w:val="normaltextrun"/>
                <w:sz w:val="20"/>
                <w:szCs w:val="20"/>
              </w:rPr>
              <w:t>:</w:t>
            </w:r>
            <w:r w:rsidRPr="007424E0">
              <w:rPr>
                <w:rStyle w:val="eop"/>
                <w:sz w:val="20"/>
                <w:szCs w:val="20"/>
              </w:rPr>
              <w:t> </w:t>
            </w:r>
          </w:p>
          <w:p w14:paraId="43BD397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4D53089D" w14:textId="77777777" w:rsidR="00412798" w:rsidRPr="007424E0" w:rsidRDefault="00412798" w:rsidP="000F6D48">
            <w:pPr>
              <w:pStyle w:val="paragraph"/>
              <w:spacing w:before="0" w:beforeAutospacing="0" w:after="0" w:afterAutospacing="0"/>
              <w:ind w:left="360"/>
              <w:textAlignment w:val="baseline"/>
              <w:rPr>
                <w:sz w:val="20"/>
                <w:szCs w:val="20"/>
              </w:rPr>
            </w:pPr>
            <w:r w:rsidRPr="007424E0">
              <w:rPr>
                <w:rStyle w:val="normaltextrun"/>
                <w:i/>
                <w:iCs/>
                <w:sz w:val="20"/>
                <w:szCs w:val="20"/>
              </w:rPr>
              <w:t>“Applicant commits to:</w:t>
            </w:r>
            <w:r w:rsidRPr="007424E0">
              <w:rPr>
                <w:rStyle w:val="eop"/>
                <w:sz w:val="20"/>
                <w:szCs w:val="20"/>
              </w:rPr>
              <w:t> </w:t>
            </w:r>
          </w:p>
          <w:p w14:paraId="057E3C37" w14:textId="77777777" w:rsidR="00412798" w:rsidRPr="007424E0" w:rsidRDefault="00412798" w:rsidP="000F6D48">
            <w:pPr>
              <w:pStyle w:val="paragraph"/>
              <w:numPr>
                <w:ilvl w:val="0"/>
                <w:numId w:val="18"/>
              </w:numPr>
              <w:spacing w:before="0" w:beforeAutospacing="0" w:after="0" w:afterAutospacing="0"/>
              <w:ind w:left="1080" w:firstLine="0"/>
              <w:textAlignment w:val="baseline"/>
              <w:rPr>
                <w:sz w:val="20"/>
                <w:szCs w:val="20"/>
              </w:rPr>
            </w:pPr>
            <w:r w:rsidRPr="007424E0">
              <w:rPr>
                <w:rStyle w:val="normaltextrun"/>
                <w:i/>
                <w:iCs/>
                <w:sz w:val="20"/>
                <w:szCs w:val="20"/>
              </w:rPr>
              <w:t>Engage QBs in the development or operation of the proposed property in amounts equal to approximately 5% of total construction hard costs as certified by the Independent Auditor Report in the Final Allocation Application.”</w:t>
            </w:r>
            <w:r w:rsidRPr="007424E0">
              <w:rPr>
                <w:rStyle w:val="eop"/>
                <w:sz w:val="20"/>
                <w:szCs w:val="20"/>
              </w:rPr>
              <w:t> </w:t>
            </w:r>
          </w:p>
          <w:p w14:paraId="56D8C0E7"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546D3D3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If the General Contractor employs sufficient qualified subcontractors who meet the NAICS requirements, and these subcontractors perform 5% or more of the audited hard construction costs, would the project then meet the criteria of A. Engagement Commitment and Reporting and receive the two points?</w:t>
            </w:r>
            <w:r w:rsidRPr="007424E0">
              <w:rPr>
                <w:rStyle w:val="eop"/>
                <w:sz w:val="20"/>
                <w:szCs w:val="20"/>
              </w:rPr>
              <w:t> </w:t>
            </w:r>
          </w:p>
          <w:p w14:paraId="7DD2B5B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791C037"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lastRenderedPageBreak/>
              <w:t>Answer</w:t>
            </w:r>
            <w:r w:rsidRPr="007424E0">
              <w:rPr>
                <w:rStyle w:val="normaltextrun"/>
                <w:sz w:val="20"/>
                <w:szCs w:val="20"/>
              </w:rPr>
              <w:t>:</w:t>
            </w:r>
            <w:r w:rsidRPr="007424E0">
              <w:rPr>
                <w:rStyle w:val="normaltextrun"/>
                <w:strike/>
                <w:sz w:val="20"/>
                <w:szCs w:val="20"/>
              </w:rPr>
              <w:t> </w:t>
            </w:r>
            <w:r w:rsidRPr="007424E0">
              <w:rPr>
                <w:rStyle w:val="eop"/>
                <w:sz w:val="20"/>
                <w:szCs w:val="20"/>
              </w:rPr>
              <w:t> </w:t>
            </w:r>
          </w:p>
          <w:p w14:paraId="4D87C157"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The QAP does not disallow subcontractors. Therefore, expenses paid to subcontractors that otherwise meet all QAP requirements under this section related to QBs are eligible to contribute towards the 5%. For example, if a General Contractor is not a QB, but three of the subcontractors are, then the expenses paid to the three subcontracting QBs are allowable expenses for contributing to the 5%.</w:t>
            </w:r>
            <w:r w:rsidRPr="007424E0">
              <w:rPr>
                <w:rStyle w:val="eop"/>
                <w:sz w:val="20"/>
                <w:szCs w:val="20"/>
              </w:rPr>
              <w:t> </w:t>
            </w:r>
          </w:p>
          <w:p w14:paraId="6C110BC2"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091F291E" w14:textId="77777777" w:rsidTr="64301FE8">
        <w:trPr>
          <w:jc w:val="center"/>
        </w:trPr>
        <w:tc>
          <w:tcPr>
            <w:tcW w:w="1697" w:type="dxa"/>
            <w:shd w:val="clear" w:color="auto" w:fill="auto"/>
            <w:tcMar>
              <w:top w:w="72" w:type="dxa"/>
              <w:left w:w="115" w:type="dxa"/>
              <w:bottom w:w="72" w:type="dxa"/>
              <w:right w:w="115" w:type="dxa"/>
            </w:tcMar>
            <w:vAlign w:val="center"/>
          </w:tcPr>
          <w:p w14:paraId="571885F2"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4/7/22</w:t>
            </w:r>
          </w:p>
        </w:tc>
        <w:tc>
          <w:tcPr>
            <w:tcW w:w="2663" w:type="dxa"/>
            <w:shd w:val="clear" w:color="auto" w:fill="auto"/>
            <w:tcMar>
              <w:top w:w="72" w:type="dxa"/>
              <w:left w:w="115" w:type="dxa"/>
              <w:bottom w:w="72" w:type="dxa"/>
              <w:right w:w="115" w:type="dxa"/>
            </w:tcMar>
            <w:vAlign w:val="center"/>
          </w:tcPr>
          <w:p w14:paraId="62D77C5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7FC8FC6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5C86DD9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Minority- and Women-Owned Business Engagement</w:t>
            </w:r>
          </w:p>
        </w:tc>
        <w:tc>
          <w:tcPr>
            <w:tcW w:w="9585" w:type="dxa"/>
            <w:shd w:val="clear" w:color="auto" w:fill="auto"/>
            <w:tcMar>
              <w:top w:w="72" w:type="dxa"/>
              <w:left w:w="115" w:type="dxa"/>
              <w:bottom w:w="72" w:type="dxa"/>
              <w:right w:w="115" w:type="dxa"/>
            </w:tcMar>
            <w:vAlign w:val="center"/>
          </w:tcPr>
          <w:p w14:paraId="3CF0E23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Q22_0223_05 </w:t>
            </w:r>
          </w:p>
          <w:p w14:paraId="002366C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Can non-profits qualify as a WBE/MBE? </w:t>
            </w:r>
          </w:p>
          <w:p w14:paraId="692B5B8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F63257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59A0D27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DCA does not impose any boundaries around eligibility other than what is explicitly stated in the Minority- and Women-Owned Business Engagement Policy posted to the DCA website under </w:t>
            </w:r>
            <w:r w:rsidRPr="007424E0">
              <w:rPr>
                <w:rFonts w:ascii="Times New Roman" w:eastAsia="Times New Roman" w:hAnsi="Times New Roman" w:cs="Times New Roman"/>
                <w:i/>
                <w:iCs/>
                <w:sz w:val="20"/>
                <w:szCs w:val="20"/>
              </w:rPr>
              <w:t>Scoring Documents and Data</w:t>
            </w:r>
            <w:r w:rsidRPr="007424E0">
              <w:rPr>
                <w:rFonts w:ascii="Times New Roman" w:eastAsia="Times New Roman" w:hAnsi="Times New Roman" w:cs="Times New Roman"/>
                <w:sz w:val="20"/>
                <w:szCs w:val="20"/>
              </w:rPr>
              <w:t xml:space="preserve"> (</w:t>
            </w:r>
            <w:hyperlink r:id="rId52" w:tgtFrame="_blank" w:history="1">
              <w:r w:rsidRPr="007424E0">
                <w:rPr>
                  <w:rFonts w:ascii="Times New Roman" w:eastAsia="Times New Roman" w:hAnsi="Times New Roman" w:cs="Times New Roman"/>
                  <w:sz w:val="20"/>
                  <w:szCs w:val="20"/>
                  <w:u w:val="single"/>
                </w:rPr>
                <w:t>click here</w:t>
              </w:r>
            </w:hyperlink>
            <w:r w:rsidRPr="007424E0">
              <w:rPr>
                <w:rFonts w:ascii="Times New Roman" w:eastAsia="Times New Roman" w:hAnsi="Times New Roman" w:cs="Times New Roman"/>
                <w:sz w:val="20"/>
                <w:szCs w:val="20"/>
              </w:rPr>
              <w:t>).  </w:t>
            </w:r>
          </w:p>
          <w:p w14:paraId="09B62A3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C7D7E4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Organizations interested in the certification programs should review the information posted on each program’s website and where anything is unclear, please direct those questions to the certification programs. DCA is not able to clarify policies for non-DCA programs.  </w:t>
            </w:r>
          </w:p>
          <w:p w14:paraId="656259E2"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1DC51B8E" w14:textId="77777777" w:rsidTr="64301FE8">
        <w:trPr>
          <w:jc w:val="center"/>
        </w:trPr>
        <w:tc>
          <w:tcPr>
            <w:tcW w:w="1697" w:type="dxa"/>
            <w:shd w:val="clear" w:color="auto" w:fill="auto"/>
            <w:tcMar>
              <w:top w:w="72" w:type="dxa"/>
              <w:left w:w="115" w:type="dxa"/>
              <w:bottom w:w="72" w:type="dxa"/>
              <w:right w:w="115" w:type="dxa"/>
            </w:tcMar>
            <w:vAlign w:val="center"/>
          </w:tcPr>
          <w:p w14:paraId="0B791A9A"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4/5/22</w:t>
            </w:r>
          </w:p>
        </w:tc>
        <w:tc>
          <w:tcPr>
            <w:tcW w:w="2663" w:type="dxa"/>
            <w:shd w:val="clear" w:color="auto" w:fill="auto"/>
            <w:tcMar>
              <w:top w:w="72" w:type="dxa"/>
              <w:left w:w="115" w:type="dxa"/>
              <w:bottom w:w="72" w:type="dxa"/>
              <w:right w:w="115" w:type="dxa"/>
            </w:tcMar>
            <w:vAlign w:val="center"/>
          </w:tcPr>
          <w:p w14:paraId="3FFE29F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2.07</w:t>
            </w:r>
          </w:p>
          <w:p w14:paraId="149D908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 Environmental Requirements</w:t>
            </w:r>
          </w:p>
        </w:tc>
        <w:tc>
          <w:tcPr>
            <w:tcW w:w="9585" w:type="dxa"/>
            <w:shd w:val="clear" w:color="auto" w:fill="auto"/>
            <w:tcMar>
              <w:top w:w="72" w:type="dxa"/>
              <w:left w:w="115" w:type="dxa"/>
              <w:bottom w:w="72" w:type="dxa"/>
              <w:right w:w="115" w:type="dxa"/>
            </w:tcMar>
            <w:vAlign w:val="center"/>
          </w:tcPr>
          <w:p w14:paraId="7BBF293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Q22_0329_02 </w:t>
            </w:r>
          </w:p>
          <w:p w14:paraId="6F9C30F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We are working on an acquisition rehabilitation, and we received Phase I ESA, dated 5/13/21. We are engaging an update for the report since it will exceed 6 months prior to the firm application. Does DCA require that we also receive an updated noise assessment and STC Calculation &amp; </w:t>
            </w:r>
            <w:proofErr w:type="spellStart"/>
            <w:r w:rsidRPr="007424E0">
              <w:rPr>
                <w:rFonts w:ascii="Times New Roman" w:eastAsia="Times New Roman" w:hAnsi="Times New Roman" w:cs="Times New Roman"/>
                <w:sz w:val="20"/>
                <w:szCs w:val="20"/>
              </w:rPr>
              <w:t>STraCAT</w:t>
            </w:r>
            <w:proofErr w:type="spellEnd"/>
            <w:r w:rsidRPr="007424E0">
              <w:rPr>
                <w:rFonts w:ascii="Times New Roman" w:eastAsia="Times New Roman" w:hAnsi="Times New Roman" w:cs="Times New Roman"/>
                <w:sz w:val="20"/>
                <w:szCs w:val="20"/>
              </w:rPr>
              <w:t xml:space="preserve"> Analysis? </w:t>
            </w:r>
          </w:p>
          <w:p w14:paraId="560E560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F06571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314777A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Per the DCA 2022 Environmental Manual, Noise Assessment must be completed within one hundred eighty (180) days before Application submission (P.27). An updated complete noise assessment including STC Calculation, </w:t>
            </w:r>
            <w:proofErr w:type="spellStart"/>
            <w:r w:rsidRPr="007424E0">
              <w:rPr>
                <w:rFonts w:ascii="Times New Roman" w:eastAsia="Times New Roman" w:hAnsi="Times New Roman" w:cs="Times New Roman"/>
                <w:sz w:val="20"/>
                <w:szCs w:val="20"/>
              </w:rPr>
              <w:t>STraCAT</w:t>
            </w:r>
            <w:proofErr w:type="spellEnd"/>
            <w:r w:rsidRPr="007424E0">
              <w:rPr>
                <w:rFonts w:ascii="Times New Roman" w:eastAsia="Times New Roman" w:hAnsi="Times New Roman" w:cs="Times New Roman"/>
                <w:sz w:val="20"/>
                <w:szCs w:val="20"/>
              </w:rPr>
              <w:t xml:space="preserve"> Analysis &amp; 10-year roadway projections is required. </w:t>
            </w:r>
          </w:p>
        </w:tc>
      </w:tr>
      <w:tr w:rsidR="00412798" w:rsidRPr="007424E0" w14:paraId="5A5CFF81" w14:textId="77777777" w:rsidTr="64301FE8">
        <w:trPr>
          <w:jc w:val="center"/>
        </w:trPr>
        <w:tc>
          <w:tcPr>
            <w:tcW w:w="1697" w:type="dxa"/>
            <w:shd w:val="clear" w:color="auto" w:fill="auto"/>
            <w:tcMar>
              <w:top w:w="72" w:type="dxa"/>
              <w:left w:w="115" w:type="dxa"/>
              <w:bottom w:w="72" w:type="dxa"/>
              <w:right w:w="115" w:type="dxa"/>
            </w:tcMar>
            <w:vAlign w:val="center"/>
          </w:tcPr>
          <w:p w14:paraId="2DBED5AD"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4/5/22</w:t>
            </w:r>
          </w:p>
        </w:tc>
        <w:tc>
          <w:tcPr>
            <w:tcW w:w="2663" w:type="dxa"/>
            <w:shd w:val="clear" w:color="auto" w:fill="auto"/>
            <w:tcMar>
              <w:top w:w="72" w:type="dxa"/>
              <w:left w:w="115" w:type="dxa"/>
              <w:bottom w:w="72" w:type="dxa"/>
              <w:right w:w="115" w:type="dxa"/>
            </w:tcMar>
            <w:vAlign w:val="center"/>
          </w:tcPr>
          <w:p w14:paraId="0D18257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2.07</w:t>
            </w:r>
          </w:p>
          <w:p w14:paraId="7261207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Threshold Criteria; Environmental Requirements </w:t>
            </w:r>
          </w:p>
        </w:tc>
        <w:tc>
          <w:tcPr>
            <w:tcW w:w="9585" w:type="dxa"/>
            <w:shd w:val="clear" w:color="auto" w:fill="auto"/>
            <w:tcMar>
              <w:top w:w="72" w:type="dxa"/>
              <w:left w:w="115" w:type="dxa"/>
              <w:bottom w:w="72" w:type="dxa"/>
              <w:right w:w="115" w:type="dxa"/>
            </w:tcMar>
            <w:vAlign w:val="center"/>
          </w:tcPr>
          <w:p w14:paraId="13283D5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Q22_0330_01b </w:t>
            </w:r>
          </w:p>
          <w:p w14:paraId="09C61C0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In regard to the Environmental Manual: Cultural Resources Survey - Section 12.3. states that "For all projects, if no literature/records review/report (literature review) or Phase I Cultural/Historic Resources Survey (Phase I survey) has been completed in the project area/APE in the last five years, it will be necessary, at a minimum, to conduct a literature review of the APE to determine if historic resources or archaeological sites are present."</w:t>
            </w:r>
          </w:p>
          <w:p w14:paraId="102E2830" w14:textId="77777777" w:rsidR="00412798" w:rsidRPr="007424E0" w:rsidRDefault="00412798" w:rsidP="000F6D48">
            <w:pPr>
              <w:textAlignment w:val="baseline"/>
              <w:rPr>
                <w:rFonts w:ascii="Times New Roman" w:eastAsia="Times New Roman" w:hAnsi="Times New Roman" w:cs="Times New Roman"/>
                <w:sz w:val="20"/>
                <w:szCs w:val="20"/>
              </w:rPr>
            </w:pPr>
          </w:p>
          <w:p w14:paraId="55C885A3"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lastRenderedPageBreak/>
              <w:t>Since this is part of the Historical Section, would you please confirm that this only applies to properties that are over 50 years old? In our case, we are preparing to renovate an existing project placed in service in 2008 with no new construction proposed. </w:t>
            </w:r>
          </w:p>
          <w:p w14:paraId="08BBB40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3F5528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156B8F16"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No, the Cultural Resources Survey is a minimum document required for the S106 and GEPA review process and is required for all properties regardless of their age and construction activity. Although the proposed development is the renovation of an existing building that is less than 50 years old, therefore not considered a historic building, there could be other historic properties (archaeological and historic) located within the proposed project’s area of potential effect (APE). Historic Preservation Division will review the S106/GEPA applications and determine if the project, as proposed, will have any adverse effects on any historic properties located in the APE. </w:t>
            </w:r>
          </w:p>
        </w:tc>
      </w:tr>
      <w:tr w:rsidR="00412798" w:rsidRPr="007424E0" w14:paraId="7A47CCD9" w14:textId="77777777" w:rsidTr="64301FE8">
        <w:trPr>
          <w:jc w:val="center"/>
        </w:trPr>
        <w:tc>
          <w:tcPr>
            <w:tcW w:w="1697" w:type="dxa"/>
            <w:shd w:val="clear" w:color="auto" w:fill="auto"/>
            <w:tcMar>
              <w:top w:w="72" w:type="dxa"/>
              <w:left w:w="115" w:type="dxa"/>
              <w:bottom w:w="72" w:type="dxa"/>
              <w:right w:w="115" w:type="dxa"/>
            </w:tcMar>
            <w:vAlign w:val="center"/>
          </w:tcPr>
          <w:p w14:paraId="3CC2E0C3"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4/5/22</w:t>
            </w:r>
          </w:p>
        </w:tc>
        <w:tc>
          <w:tcPr>
            <w:tcW w:w="2663" w:type="dxa"/>
            <w:shd w:val="clear" w:color="auto" w:fill="auto"/>
            <w:tcMar>
              <w:top w:w="72" w:type="dxa"/>
              <w:left w:w="115" w:type="dxa"/>
              <w:bottom w:w="72" w:type="dxa"/>
              <w:right w:w="115" w:type="dxa"/>
            </w:tcMar>
            <w:vAlign w:val="center"/>
          </w:tcPr>
          <w:p w14:paraId="1B357E1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3.07</w:t>
            </w:r>
          </w:p>
          <w:p w14:paraId="6E323B3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Scoring Criteria; </w:t>
            </w:r>
          </w:p>
          <w:p w14:paraId="1816ECE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Quality Education Areas</w:t>
            </w:r>
          </w:p>
        </w:tc>
        <w:tc>
          <w:tcPr>
            <w:tcW w:w="9585" w:type="dxa"/>
            <w:shd w:val="clear" w:color="auto" w:fill="auto"/>
            <w:tcMar>
              <w:top w:w="72" w:type="dxa"/>
              <w:left w:w="115" w:type="dxa"/>
              <w:bottom w:w="72" w:type="dxa"/>
              <w:right w:w="115" w:type="dxa"/>
            </w:tcMar>
            <w:vAlign w:val="center"/>
          </w:tcPr>
          <w:p w14:paraId="428A07E5"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Q22_0318_01</w:t>
            </w:r>
            <w:r w:rsidRPr="007424E0">
              <w:rPr>
                <w:rStyle w:val="eop"/>
                <w:sz w:val="20"/>
                <w:szCs w:val="20"/>
              </w:rPr>
              <w:t> </w:t>
            </w:r>
          </w:p>
          <w:p w14:paraId="445DB0B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With regards to Section VII. Quality Education Areas and the Option C - Scoring Data published on 2/14, we are noticing instances where the same school will show up in multiple rows with different CCRPI data. Can you explain how we differentiate the school data and what data should be used when scoring sites that fall in a school zone that is showing different data for the same school?</w:t>
            </w:r>
            <w:r w:rsidRPr="007424E0">
              <w:rPr>
                <w:rStyle w:val="eop"/>
                <w:sz w:val="20"/>
                <w:szCs w:val="20"/>
              </w:rPr>
              <w:t> </w:t>
            </w:r>
          </w:p>
          <w:p w14:paraId="59510BC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53D02E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60A5CB5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This typically occurs when the Department of Education (DOE) has changed the identifying information for a particular school from one year to the next. In such instances, applicants are encouraged to do the following:</w:t>
            </w:r>
            <w:r w:rsidRPr="007424E0">
              <w:rPr>
                <w:rStyle w:val="eop"/>
                <w:sz w:val="20"/>
                <w:szCs w:val="20"/>
              </w:rPr>
              <w:t> </w:t>
            </w:r>
            <w:r w:rsidRPr="007424E0">
              <w:rPr>
                <w:rStyle w:val="eop"/>
                <w:sz w:val="20"/>
                <w:szCs w:val="20"/>
              </w:rPr>
              <w:br/>
            </w:r>
          </w:p>
          <w:p w14:paraId="53776808" w14:textId="77777777" w:rsidR="00412798" w:rsidRPr="007424E0" w:rsidRDefault="00412798" w:rsidP="000F6D48">
            <w:pPr>
              <w:pStyle w:val="paragraph"/>
              <w:numPr>
                <w:ilvl w:val="0"/>
                <w:numId w:val="14"/>
              </w:numPr>
              <w:spacing w:before="0" w:beforeAutospacing="0" w:after="0" w:afterAutospacing="0"/>
              <w:ind w:left="1080" w:firstLine="0"/>
              <w:textAlignment w:val="baseline"/>
              <w:rPr>
                <w:sz w:val="20"/>
                <w:szCs w:val="20"/>
              </w:rPr>
            </w:pPr>
            <w:r w:rsidRPr="007424E0">
              <w:rPr>
                <w:rStyle w:val="normaltextrun"/>
                <w:sz w:val="20"/>
                <w:szCs w:val="20"/>
              </w:rPr>
              <w:t>Confirm the score for each year by referencing the original DOE data for a given year.</w:t>
            </w:r>
            <w:r w:rsidRPr="007424E0">
              <w:rPr>
                <w:rStyle w:val="eop"/>
                <w:sz w:val="20"/>
                <w:szCs w:val="20"/>
              </w:rPr>
              <w:t> </w:t>
            </w:r>
          </w:p>
          <w:p w14:paraId="26DECC0E" w14:textId="77777777" w:rsidR="00412798" w:rsidRPr="007424E0" w:rsidRDefault="00412798" w:rsidP="000F6D48">
            <w:pPr>
              <w:pStyle w:val="paragraph"/>
              <w:numPr>
                <w:ilvl w:val="0"/>
                <w:numId w:val="15"/>
              </w:numPr>
              <w:spacing w:before="0" w:beforeAutospacing="0" w:after="0" w:afterAutospacing="0"/>
              <w:ind w:left="1800" w:firstLine="0"/>
              <w:textAlignment w:val="baseline"/>
              <w:rPr>
                <w:sz w:val="20"/>
                <w:szCs w:val="20"/>
              </w:rPr>
            </w:pPr>
            <w:hyperlink r:id="rId53" w:tgtFrame="_blank" w:history="1">
              <w:r w:rsidRPr="007424E0">
                <w:rPr>
                  <w:rStyle w:val="normaltextrun"/>
                  <w:sz w:val="20"/>
                  <w:szCs w:val="20"/>
                  <w:u w:val="single"/>
                </w:rPr>
                <w:t>(2018 and 2019 data) “College and Career Ready Performance Index”</w:t>
              </w:r>
            </w:hyperlink>
            <w:r w:rsidRPr="007424E0">
              <w:rPr>
                <w:rStyle w:val="eop"/>
                <w:sz w:val="20"/>
                <w:szCs w:val="20"/>
              </w:rPr>
              <w:t> </w:t>
            </w:r>
          </w:p>
          <w:p w14:paraId="4C47040F" w14:textId="77777777" w:rsidR="00412798" w:rsidRPr="007424E0" w:rsidRDefault="00412798" w:rsidP="000F6D48">
            <w:pPr>
              <w:pStyle w:val="paragraph"/>
              <w:numPr>
                <w:ilvl w:val="0"/>
                <w:numId w:val="16"/>
              </w:numPr>
              <w:spacing w:before="0" w:beforeAutospacing="0" w:after="0" w:afterAutospacing="0"/>
              <w:ind w:left="1800" w:firstLine="0"/>
              <w:textAlignment w:val="baseline"/>
              <w:rPr>
                <w:sz w:val="20"/>
                <w:szCs w:val="20"/>
              </w:rPr>
            </w:pPr>
            <w:hyperlink r:id="rId54" w:tgtFrame="_blank" w:history="1">
              <w:r w:rsidRPr="007424E0">
                <w:rPr>
                  <w:rStyle w:val="normaltextrun"/>
                  <w:sz w:val="20"/>
                  <w:szCs w:val="20"/>
                  <w:u w:val="single"/>
                </w:rPr>
                <w:t>(2015 through 2017 data) “Archived CCRPI Data Files”</w:t>
              </w:r>
            </w:hyperlink>
            <w:r w:rsidRPr="007424E0">
              <w:rPr>
                <w:rStyle w:val="eop"/>
                <w:sz w:val="20"/>
                <w:szCs w:val="20"/>
              </w:rPr>
              <w:t> </w:t>
            </w:r>
          </w:p>
          <w:p w14:paraId="5B739E85" w14:textId="77777777" w:rsidR="00412798" w:rsidRPr="007424E0" w:rsidRDefault="00412798" w:rsidP="000F6D48">
            <w:pPr>
              <w:pStyle w:val="paragraph"/>
              <w:numPr>
                <w:ilvl w:val="0"/>
                <w:numId w:val="17"/>
              </w:numPr>
              <w:spacing w:before="0" w:beforeAutospacing="0" w:after="0" w:afterAutospacing="0"/>
              <w:ind w:left="1080" w:firstLine="0"/>
              <w:textAlignment w:val="baseline"/>
              <w:rPr>
                <w:sz w:val="20"/>
                <w:szCs w:val="20"/>
              </w:rPr>
            </w:pPr>
            <w:r w:rsidRPr="007424E0">
              <w:rPr>
                <w:rStyle w:val="normaltextrun"/>
                <w:sz w:val="20"/>
                <w:szCs w:val="20"/>
              </w:rPr>
              <w:t>Report the school and associated evidence to DCA through the Q&amp;A process. This allows the applicant to confirm whether DCA staff agree with the applicant's assessment prior to the application submission deadline.</w:t>
            </w:r>
            <w:r w:rsidRPr="007424E0">
              <w:rPr>
                <w:rStyle w:val="eop"/>
                <w:sz w:val="20"/>
                <w:szCs w:val="20"/>
              </w:rPr>
              <w:t> </w:t>
            </w:r>
          </w:p>
          <w:p w14:paraId="7D9543CE" w14:textId="77777777" w:rsidR="00412798" w:rsidRPr="007424E0" w:rsidRDefault="00412798" w:rsidP="000F6D48">
            <w:pPr>
              <w:pStyle w:val="paragraph"/>
              <w:numPr>
                <w:ilvl w:val="0"/>
                <w:numId w:val="17"/>
              </w:numPr>
              <w:spacing w:before="0" w:beforeAutospacing="0" w:after="0" w:afterAutospacing="0"/>
              <w:ind w:left="1080" w:firstLine="0"/>
              <w:textAlignment w:val="baseline"/>
              <w:rPr>
                <w:sz w:val="20"/>
                <w:szCs w:val="20"/>
              </w:rPr>
            </w:pPr>
            <w:r w:rsidRPr="007424E0">
              <w:rPr>
                <w:rStyle w:val="normaltextrun"/>
                <w:sz w:val="20"/>
                <w:szCs w:val="20"/>
              </w:rPr>
              <w:t>Submit evidence with your tax credit application for any year(s) that a CCRPI score is incorrectly or inconsistently represented in “Option C-Scoring Data.xlsx”.</w:t>
            </w:r>
            <w:r w:rsidRPr="007424E0">
              <w:rPr>
                <w:rStyle w:val="eop"/>
                <w:sz w:val="20"/>
                <w:szCs w:val="20"/>
              </w:rPr>
              <w:t> </w:t>
            </w:r>
          </w:p>
          <w:p w14:paraId="625740D3"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485EDCC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The above instructions are from </w:t>
            </w:r>
            <w:r w:rsidRPr="007424E0">
              <w:rPr>
                <w:rStyle w:val="normaltextrun"/>
                <w:i/>
                <w:iCs/>
                <w:sz w:val="20"/>
                <w:szCs w:val="20"/>
              </w:rPr>
              <w:t xml:space="preserve">Quality Education Areas, Scoring Instructions </w:t>
            </w:r>
            <w:r w:rsidRPr="007424E0">
              <w:rPr>
                <w:rStyle w:val="normaltextrun"/>
                <w:sz w:val="20"/>
                <w:szCs w:val="20"/>
              </w:rPr>
              <w:t>posted previously to the DCA website (</w:t>
            </w:r>
            <w:hyperlink r:id="rId55" w:tgtFrame="_blank" w:history="1">
              <w:r w:rsidRPr="007424E0">
                <w:rPr>
                  <w:rStyle w:val="normaltextrun"/>
                  <w:sz w:val="20"/>
                  <w:szCs w:val="20"/>
                  <w:u w:val="single"/>
                </w:rPr>
                <w:t>click here</w:t>
              </w:r>
            </w:hyperlink>
            <w:r w:rsidRPr="007424E0">
              <w:rPr>
                <w:rStyle w:val="normaltextrun"/>
                <w:sz w:val="20"/>
                <w:szCs w:val="20"/>
              </w:rPr>
              <w:t>).</w:t>
            </w:r>
            <w:r w:rsidRPr="007424E0">
              <w:rPr>
                <w:rStyle w:val="eop"/>
                <w:sz w:val="20"/>
                <w:szCs w:val="20"/>
              </w:rPr>
              <w:t> </w:t>
            </w:r>
          </w:p>
        </w:tc>
      </w:tr>
      <w:tr w:rsidR="00412798" w:rsidRPr="007424E0" w14:paraId="179D26A9" w14:textId="77777777" w:rsidTr="64301FE8">
        <w:trPr>
          <w:jc w:val="center"/>
        </w:trPr>
        <w:tc>
          <w:tcPr>
            <w:tcW w:w="1697" w:type="dxa"/>
            <w:shd w:val="clear" w:color="auto" w:fill="auto"/>
            <w:tcMar>
              <w:top w:w="72" w:type="dxa"/>
              <w:left w:w="115" w:type="dxa"/>
              <w:bottom w:w="72" w:type="dxa"/>
              <w:right w:w="115" w:type="dxa"/>
            </w:tcMar>
            <w:vAlign w:val="center"/>
          </w:tcPr>
          <w:p w14:paraId="2F8AA0E3"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4/5/22</w:t>
            </w:r>
          </w:p>
        </w:tc>
        <w:tc>
          <w:tcPr>
            <w:tcW w:w="2663" w:type="dxa"/>
            <w:shd w:val="clear" w:color="auto" w:fill="auto"/>
            <w:tcMar>
              <w:top w:w="72" w:type="dxa"/>
              <w:left w:w="115" w:type="dxa"/>
              <w:bottom w:w="72" w:type="dxa"/>
              <w:right w:w="115" w:type="dxa"/>
            </w:tcMar>
            <w:vAlign w:val="center"/>
          </w:tcPr>
          <w:p w14:paraId="744AE84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3.21</w:t>
            </w:r>
          </w:p>
          <w:p w14:paraId="78BDAE0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1FCA324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Favorable Financing</w:t>
            </w:r>
          </w:p>
        </w:tc>
        <w:tc>
          <w:tcPr>
            <w:tcW w:w="9585" w:type="dxa"/>
            <w:shd w:val="clear" w:color="auto" w:fill="auto"/>
            <w:tcMar>
              <w:top w:w="72" w:type="dxa"/>
              <w:left w:w="115" w:type="dxa"/>
              <w:bottom w:w="72" w:type="dxa"/>
              <w:right w:w="115" w:type="dxa"/>
            </w:tcMar>
            <w:vAlign w:val="center"/>
          </w:tcPr>
          <w:p w14:paraId="2AF7079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Q22_0331_01</w:t>
            </w:r>
            <w:r w:rsidRPr="007424E0">
              <w:rPr>
                <w:rStyle w:val="eop"/>
                <w:sz w:val="20"/>
                <w:szCs w:val="20"/>
              </w:rPr>
              <w:t> </w:t>
            </w:r>
          </w:p>
          <w:p w14:paraId="61EAD7C3"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sz w:val="20"/>
                <w:szCs w:val="20"/>
              </w:rPr>
              <w:t xml:space="preserve">Project Specific Question:  Will the following qualify for the 4 Favorable Financing Points under 2022 QAP Scoring Section </w:t>
            </w:r>
            <w:r w:rsidRPr="007424E0">
              <w:rPr>
                <w:rStyle w:val="contextualspellingandgrammarerror"/>
                <w:rFonts w:eastAsiaTheme="majorEastAsia"/>
                <w:sz w:val="20"/>
                <w:szCs w:val="20"/>
              </w:rPr>
              <w:t>XXI?|</w:t>
            </w:r>
            <w:r w:rsidRPr="007424E0">
              <w:rPr>
                <w:rStyle w:val="normaltextrun"/>
                <w:sz w:val="20"/>
                <w:szCs w:val="20"/>
              </w:rPr>
              <w:t xml:space="preserve">|1. City grants/loans [_____________] to the City Housing Authority for the purpose of lending the </w:t>
            </w:r>
            <w:r w:rsidRPr="007424E0">
              <w:rPr>
                <w:rStyle w:val="normaltextrun"/>
                <w:sz w:val="20"/>
                <w:szCs w:val="20"/>
              </w:rPr>
              <w:lastRenderedPageBreak/>
              <w:t>funds to the Applicant under Scoring Section XXI.A. The City Housing Authority would serve as the conduit lender since the actual City is limited under Georgia law on its ability to make loans directly (whereas the City can make loans through its authorities)…</w:t>
            </w:r>
            <w:r w:rsidRPr="007424E0">
              <w:rPr>
                <w:rStyle w:val="normaltextrun"/>
                <w:i/>
                <w:iCs/>
                <w:sz w:val="20"/>
                <w:szCs w:val="20"/>
              </w:rPr>
              <w:t>[remainder of question removed]</w:t>
            </w:r>
            <w:r w:rsidRPr="007424E0">
              <w:rPr>
                <w:rStyle w:val="normaltextrun"/>
                <w:sz w:val="20"/>
                <w:szCs w:val="20"/>
              </w:rPr>
              <w:t xml:space="preserve"> </w:t>
            </w:r>
          </w:p>
          <w:p w14:paraId="09643E9E" w14:textId="77777777" w:rsidR="00412798" w:rsidRPr="007424E0" w:rsidRDefault="00412798" w:rsidP="000F6D48">
            <w:pPr>
              <w:pStyle w:val="paragraph"/>
              <w:spacing w:before="0" w:beforeAutospacing="0" w:after="0" w:afterAutospacing="0"/>
              <w:textAlignment w:val="baseline"/>
              <w:rPr>
                <w:sz w:val="20"/>
                <w:szCs w:val="20"/>
              </w:rPr>
            </w:pPr>
          </w:p>
          <w:p w14:paraId="65C2E0A7"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0315BC9" w14:textId="77777777" w:rsidR="00412798" w:rsidRPr="007424E0" w:rsidRDefault="00412798" w:rsidP="000F6D48">
            <w:pPr>
              <w:pStyle w:val="paragraph"/>
              <w:spacing w:before="0" w:beforeAutospacing="0" w:after="0" w:afterAutospacing="0"/>
              <w:textAlignment w:val="baseline"/>
              <w:rPr>
                <w:rStyle w:val="eop"/>
                <w:sz w:val="20"/>
                <w:szCs w:val="20"/>
              </w:rPr>
            </w:pPr>
            <w:r w:rsidRPr="007424E0">
              <w:rPr>
                <w:rStyle w:val="normaltextrun"/>
                <w:b/>
                <w:bCs/>
                <w:sz w:val="20"/>
                <w:szCs w:val="20"/>
              </w:rPr>
              <w:t>Answer</w:t>
            </w:r>
            <w:r w:rsidRPr="007424E0">
              <w:rPr>
                <w:rStyle w:val="normaltextrun"/>
                <w:sz w:val="20"/>
                <w:szCs w:val="20"/>
              </w:rPr>
              <w:t>:</w:t>
            </w:r>
            <w:r w:rsidRPr="007424E0">
              <w:rPr>
                <w:rStyle w:val="eop"/>
                <w:sz w:val="20"/>
                <w:szCs w:val="20"/>
              </w:rPr>
              <w:t> </w:t>
            </w:r>
          </w:p>
          <w:p w14:paraId="009ADDD4" w14:textId="77777777" w:rsidR="00412798" w:rsidRPr="007424E0" w:rsidRDefault="00412798" w:rsidP="000F6D48">
            <w:pPr>
              <w:pStyle w:val="paragraph"/>
              <w:spacing w:before="0" w:beforeAutospacing="0" w:after="0" w:afterAutospacing="0"/>
              <w:textAlignment w:val="baseline"/>
              <w:rPr>
                <w:sz w:val="20"/>
                <w:szCs w:val="20"/>
              </w:rPr>
            </w:pPr>
            <w:r w:rsidRPr="007424E0">
              <w:rPr>
                <w:sz w:val="20"/>
                <w:szCs w:val="20"/>
              </w:rPr>
              <w:t xml:space="preserve">First, please note that per </w:t>
            </w:r>
            <w:r w:rsidRPr="007424E0">
              <w:rPr>
                <w:i/>
                <w:iCs/>
                <w:sz w:val="20"/>
                <w:szCs w:val="20"/>
              </w:rPr>
              <w:t>Part I: Overview</w:t>
            </w:r>
            <w:r w:rsidRPr="007424E0">
              <w:rPr>
                <w:sz w:val="20"/>
                <w:szCs w:val="20"/>
              </w:rPr>
              <w:t xml:space="preserve"> of this Q&amp;A document, DCA does not have a separate process for project-specific questions. All questions are addressed publicly. </w:t>
            </w:r>
          </w:p>
          <w:p w14:paraId="503CBD25" w14:textId="77777777" w:rsidR="00412798" w:rsidRPr="007424E0" w:rsidRDefault="00412798" w:rsidP="000F6D48">
            <w:pPr>
              <w:pStyle w:val="paragraph"/>
              <w:spacing w:before="0" w:beforeAutospacing="0" w:after="0" w:afterAutospacing="0"/>
              <w:textAlignment w:val="baseline"/>
              <w:rPr>
                <w:sz w:val="20"/>
                <w:szCs w:val="20"/>
              </w:rPr>
            </w:pPr>
            <w:r w:rsidRPr="007424E0">
              <w:rPr>
                <w:sz w:val="20"/>
                <w:szCs w:val="20"/>
              </w:rPr>
              <w:t xml:space="preserve"> </w:t>
            </w:r>
          </w:p>
          <w:p w14:paraId="45312652" w14:textId="77777777" w:rsidR="00412798" w:rsidRPr="007424E0" w:rsidRDefault="00412798" w:rsidP="000F6D48">
            <w:pPr>
              <w:pStyle w:val="paragraph"/>
              <w:spacing w:before="0" w:beforeAutospacing="0" w:after="0" w:afterAutospacing="0"/>
              <w:textAlignment w:val="baseline"/>
              <w:rPr>
                <w:rStyle w:val="eop"/>
                <w:sz w:val="20"/>
                <w:szCs w:val="20"/>
              </w:rPr>
            </w:pPr>
            <w:r w:rsidRPr="007424E0">
              <w:rPr>
                <w:rStyle w:val="normaltextrun"/>
                <w:sz w:val="20"/>
                <w:szCs w:val="20"/>
              </w:rPr>
              <w:t xml:space="preserve">We have included the portion of the question above that asks: “Do Public Housing Authorities qualify as a ‘local’ entity for purposes of subsection </w:t>
            </w:r>
            <w:r w:rsidRPr="007424E0">
              <w:rPr>
                <w:rStyle w:val="normaltextrun"/>
                <w:b/>
                <w:bCs/>
                <w:sz w:val="20"/>
                <w:szCs w:val="20"/>
              </w:rPr>
              <w:t>A. Qualifying Sources for Favorable Financing</w:t>
            </w:r>
            <w:r w:rsidRPr="007424E0">
              <w:rPr>
                <w:rStyle w:val="normaltextrun"/>
                <w:sz w:val="20"/>
                <w:szCs w:val="20"/>
              </w:rPr>
              <w:t>, option 11. Other Federal, State, or local grant funds or loans?” </w:t>
            </w:r>
            <w:r w:rsidRPr="007424E0">
              <w:rPr>
                <w:rStyle w:val="eop"/>
                <w:sz w:val="20"/>
                <w:szCs w:val="20"/>
              </w:rPr>
              <w:t> </w:t>
            </w:r>
          </w:p>
          <w:p w14:paraId="0997E9D7" w14:textId="77777777" w:rsidR="00412798" w:rsidRPr="007424E0" w:rsidRDefault="00412798" w:rsidP="000F6D48">
            <w:pPr>
              <w:pStyle w:val="paragraph"/>
              <w:numPr>
                <w:ilvl w:val="0"/>
                <w:numId w:val="4"/>
              </w:numPr>
              <w:spacing w:before="0" w:beforeAutospacing="0" w:after="0" w:afterAutospacing="0"/>
              <w:textAlignment w:val="baseline"/>
              <w:rPr>
                <w:sz w:val="20"/>
                <w:szCs w:val="20"/>
              </w:rPr>
            </w:pPr>
            <w:r w:rsidRPr="007424E0">
              <w:rPr>
                <w:rStyle w:val="normaltextrun"/>
                <w:sz w:val="20"/>
                <w:szCs w:val="20"/>
              </w:rPr>
              <w:t>The answer to this question is, “Yes. PHAs qualify as a ‘local’ entity for purposes of option 11.” </w:t>
            </w:r>
            <w:r w:rsidRPr="007424E0">
              <w:rPr>
                <w:rStyle w:val="eop"/>
                <w:sz w:val="20"/>
                <w:szCs w:val="20"/>
              </w:rPr>
              <w:t> </w:t>
            </w:r>
          </w:p>
          <w:p w14:paraId="23F28C9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2B091CA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The remainder of the question did not seek clarification about DCA policy. Rather, the question is seeking confirmation that specific circumstances will qualify for points. DCA does not pre-approve the eligibility of specific circumstances through the Q&amp;A process. If there is a QAP provision that is unclear given your circumstances, please re-submit the question including both the QAP provision in question and an explanation of what is ambiguous about the QAP language. </w:t>
            </w:r>
            <w:r w:rsidRPr="007424E0">
              <w:rPr>
                <w:rStyle w:val="eop"/>
                <w:sz w:val="20"/>
                <w:szCs w:val="20"/>
              </w:rPr>
              <w:t> </w:t>
            </w:r>
          </w:p>
        </w:tc>
      </w:tr>
      <w:tr w:rsidR="00412798" w:rsidRPr="007424E0" w14:paraId="0918153A" w14:textId="77777777" w:rsidTr="64301FE8">
        <w:trPr>
          <w:jc w:val="center"/>
        </w:trPr>
        <w:tc>
          <w:tcPr>
            <w:tcW w:w="1697" w:type="dxa"/>
            <w:shd w:val="clear" w:color="auto" w:fill="auto"/>
            <w:tcMar>
              <w:top w:w="72" w:type="dxa"/>
              <w:left w:w="115" w:type="dxa"/>
              <w:bottom w:w="72" w:type="dxa"/>
              <w:right w:w="115" w:type="dxa"/>
            </w:tcMar>
            <w:vAlign w:val="center"/>
          </w:tcPr>
          <w:p w14:paraId="02E0DBC5"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3/31/22</w:t>
            </w:r>
          </w:p>
        </w:tc>
        <w:tc>
          <w:tcPr>
            <w:tcW w:w="2663" w:type="dxa"/>
            <w:shd w:val="clear" w:color="auto" w:fill="auto"/>
            <w:tcMar>
              <w:top w:w="72" w:type="dxa"/>
              <w:left w:w="115" w:type="dxa"/>
              <w:bottom w:w="72" w:type="dxa"/>
              <w:right w:w="115" w:type="dxa"/>
            </w:tcMar>
            <w:vAlign w:val="center"/>
          </w:tcPr>
          <w:p w14:paraId="075BB4C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3.05</w:t>
            </w:r>
          </w:p>
          <w:p w14:paraId="643360E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Desirable/Undesirable Activities</w:t>
            </w:r>
          </w:p>
        </w:tc>
        <w:tc>
          <w:tcPr>
            <w:tcW w:w="9585" w:type="dxa"/>
            <w:shd w:val="clear" w:color="auto" w:fill="auto"/>
            <w:tcMar>
              <w:top w:w="72" w:type="dxa"/>
              <w:left w:w="115" w:type="dxa"/>
              <w:bottom w:w="72" w:type="dxa"/>
              <w:right w:w="115" w:type="dxa"/>
            </w:tcMar>
            <w:vAlign w:val="center"/>
          </w:tcPr>
          <w:p w14:paraId="2219859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rFonts w:eastAsia="MS Mincho"/>
                <w:sz w:val="20"/>
                <w:szCs w:val="20"/>
              </w:rPr>
              <w:t xml:space="preserve">: </w:t>
            </w:r>
            <w:r w:rsidRPr="007424E0">
              <w:rPr>
                <w:rStyle w:val="normaltextrun"/>
                <w:sz w:val="20"/>
                <w:szCs w:val="20"/>
              </w:rPr>
              <w:t>Q22_0107_01</w:t>
            </w:r>
            <w:r w:rsidRPr="007424E0">
              <w:rPr>
                <w:rStyle w:val="eop"/>
                <w:sz w:val="20"/>
                <w:szCs w:val="20"/>
              </w:rPr>
              <w:t> </w:t>
            </w:r>
          </w:p>
          <w:p w14:paraId="482753F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Regarding </w:t>
            </w:r>
            <w:r w:rsidRPr="007424E0">
              <w:rPr>
                <w:rStyle w:val="normaltextrun"/>
                <w:rFonts w:eastAsia="MS Mincho"/>
                <w:sz w:val="20"/>
                <w:szCs w:val="20"/>
              </w:rPr>
              <w:t>(</w:t>
            </w:r>
            <w:r w:rsidRPr="007424E0">
              <w:rPr>
                <w:rStyle w:val="normaltextrun"/>
                <w:b/>
                <w:bCs/>
                <w:sz w:val="20"/>
                <w:szCs w:val="20"/>
              </w:rPr>
              <w:t>Scoring Criteria) Desirable/Undesirable Activities</w:t>
            </w:r>
            <w:r w:rsidRPr="007424E0">
              <w:rPr>
                <w:rStyle w:val="normaltextrun"/>
                <w:sz w:val="20"/>
                <w:szCs w:val="20"/>
              </w:rPr>
              <w:t>, subsection</w:t>
            </w:r>
            <w:r w:rsidRPr="007424E0">
              <w:rPr>
                <w:rStyle w:val="normaltextrun"/>
                <w:rFonts w:eastAsia="MS Mincho"/>
                <w:b/>
                <w:bCs/>
                <w:sz w:val="20"/>
                <w:szCs w:val="20"/>
              </w:rPr>
              <w:t xml:space="preserve"> </w:t>
            </w:r>
            <w:r w:rsidRPr="007424E0">
              <w:rPr>
                <w:rStyle w:val="normaltextrun"/>
                <w:b/>
                <w:bCs/>
                <w:sz w:val="20"/>
                <w:szCs w:val="20"/>
              </w:rPr>
              <w:t>A. Desirable Activities, 2. Eligibility</w:t>
            </w:r>
            <w:r w:rsidRPr="007424E0">
              <w:rPr>
                <w:rStyle w:val="normaltextrun"/>
                <w:rFonts w:eastAsia="MS Mincho"/>
                <w:sz w:val="20"/>
                <w:szCs w:val="20"/>
              </w:rPr>
              <w:t xml:space="preserve"> </w:t>
            </w:r>
            <w:r w:rsidRPr="007424E0">
              <w:rPr>
                <w:rStyle w:val="normaltextrun"/>
                <w:sz w:val="20"/>
                <w:szCs w:val="20"/>
              </w:rPr>
              <w:t>option (b): “Retail/clothing/department store (full range of clothing/household items)</w:t>
            </w:r>
            <w:r w:rsidRPr="007424E0">
              <w:rPr>
                <w:rStyle w:val="normaltextrun"/>
                <w:rFonts w:eastAsia="MS Mincho"/>
                <w:sz w:val="20"/>
                <w:szCs w:val="20"/>
              </w:rPr>
              <w:t>.” </w:t>
            </w:r>
            <w:r w:rsidRPr="007424E0">
              <w:rPr>
                <w:rStyle w:val="eop"/>
                <w:rFonts w:eastAsia="MS Mincho"/>
                <w:sz w:val="20"/>
                <w:szCs w:val="20"/>
              </w:rPr>
              <w:t> </w:t>
            </w:r>
          </w:p>
          <w:p w14:paraId="27CDF21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rFonts w:eastAsia="MS Mincho"/>
                <w:sz w:val="20"/>
                <w:szCs w:val="20"/>
              </w:rPr>
              <w:t> </w:t>
            </w:r>
          </w:p>
          <w:p w14:paraId="22CD4CC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What is defined as a </w:t>
            </w:r>
            <w:r w:rsidRPr="007424E0">
              <w:rPr>
                <w:rStyle w:val="normaltextrun"/>
                <w:rFonts w:eastAsia="MS Mincho"/>
                <w:sz w:val="20"/>
                <w:szCs w:val="20"/>
              </w:rPr>
              <w:t>“</w:t>
            </w:r>
            <w:r w:rsidRPr="007424E0">
              <w:rPr>
                <w:rStyle w:val="normaltextrun"/>
                <w:sz w:val="20"/>
                <w:szCs w:val="20"/>
              </w:rPr>
              <w:t>household item?</w:t>
            </w:r>
            <w:r w:rsidRPr="007424E0">
              <w:rPr>
                <w:rStyle w:val="normaltextrun"/>
                <w:rFonts w:eastAsia="MS Mincho"/>
                <w:sz w:val="20"/>
                <w:szCs w:val="20"/>
              </w:rPr>
              <w:t>”</w:t>
            </w:r>
            <w:r w:rsidRPr="007424E0">
              <w:rPr>
                <w:rStyle w:val="eop"/>
                <w:rFonts w:eastAsia="MS Mincho"/>
                <w:sz w:val="20"/>
                <w:szCs w:val="20"/>
              </w:rPr>
              <w:t> </w:t>
            </w:r>
          </w:p>
          <w:p w14:paraId="390626E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rFonts w:eastAsia="MS Mincho"/>
                <w:sz w:val="20"/>
                <w:szCs w:val="20"/>
              </w:rPr>
              <w:t> </w:t>
            </w:r>
          </w:p>
          <w:p w14:paraId="3C0F853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rFonts w:eastAsia="MS Mincho"/>
                <w:sz w:val="20"/>
                <w:szCs w:val="20"/>
              </w:rPr>
              <w:t>:</w:t>
            </w:r>
            <w:r w:rsidRPr="007424E0">
              <w:rPr>
                <w:rStyle w:val="eop"/>
                <w:rFonts w:eastAsia="MS Mincho"/>
                <w:sz w:val="20"/>
                <w:szCs w:val="20"/>
              </w:rPr>
              <w:t> </w:t>
            </w:r>
          </w:p>
          <w:p w14:paraId="3A76A79C" w14:textId="77777777" w:rsidR="00412798" w:rsidRPr="007424E0" w:rsidRDefault="00412798" w:rsidP="000F6D48">
            <w:pPr>
              <w:pStyle w:val="paragraph"/>
              <w:spacing w:before="0" w:beforeAutospacing="0" w:after="0" w:afterAutospacing="0"/>
              <w:textAlignment w:val="baseline"/>
              <w:rPr>
                <w:rStyle w:val="eop"/>
                <w:sz w:val="20"/>
                <w:szCs w:val="20"/>
              </w:rPr>
            </w:pPr>
            <w:r w:rsidRPr="007424E0">
              <w:rPr>
                <w:rStyle w:val="normaltextrun"/>
                <w:sz w:val="20"/>
                <w:szCs w:val="20"/>
              </w:rPr>
              <w:t>“Household item” is defined more specifically. Because of this, the descriptor “full range” is more important for purposes of determining eligibility for stores that sell general merchandise that would be considered “household items.” </w:t>
            </w:r>
            <w:r w:rsidRPr="007424E0">
              <w:rPr>
                <w:rStyle w:val="eop"/>
                <w:sz w:val="20"/>
                <w:szCs w:val="20"/>
              </w:rPr>
              <w:t> </w:t>
            </w:r>
          </w:p>
          <w:p w14:paraId="7508E595" w14:textId="77777777" w:rsidR="00412798" w:rsidRPr="007424E0" w:rsidRDefault="00412798" w:rsidP="000F6D48">
            <w:pPr>
              <w:pStyle w:val="paragraph"/>
              <w:spacing w:before="0" w:beforeAutospacing="0" w:after="0" w:afterAutospacing="0"/>
              <w:textAlignment w:val="baseline"/>
              <w:rPr>
                <w:sz w:val="20"/>
                <w:szCs w:val="20"/>
              </w:rPr>
            </w:pPr>
          </w:p>
          <w:p w14:paraId="715C8421"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For example: </w:t>
            </w:r>
            <w:r w:rsidRPr="007424E0">
              <w:rPr>
                <w:rStyle w:val="eop"/>
                <w:sz w:val="20"/>
                <w:szCs w:val="20"/>
              </w:rPr>
              <w:t> </w:t>
            </w:r>
          </w:p>
          <w:p w14:paraId="0545E1B3" w14:textId="77777777" w:rsidR="00412798" w:rsidRPr="007424E0" w:rsidRDefault="00412798" w:rsidP="000F6D48">
            <w:pPr>
              <w:pStyle w:val="paragraph"/>
              <w:numPr>
                <w:ilvl w:val="0"/>
                <w:numId w:val="11"/>
              </w:numPr>
              <w:spacing w:before="0" w:beforeAutospacing="0" w:after="0" w:afterAutospacing="0"/>
              <w:textAlignment w:val="baseline"/>
              <w:rPr>
                <w:rStyle w:val="eop"/>
                <w:sz w:val="20"/>
                <w:szCs w:val="20"/>
              </w:rPr>
            </w:pPr>
            <w:r w:rsidRPr="007424E0">
              <w:rPr>
                <w:rStyle w:val="normaltextrun"/>
                <w:sz w:val="20"/>
                <w:szCs w:val="20"/>
              </w:rPr>
              <w:t>A store that focuses on one type of merchandise would not qualify under this option, except for clothing because it is stated explicitly in the QAP. </w:t>
            </w:r>
            <w:r w:rsidRPr="007424E0">
              <w:rPr>
                <w:rStyle w:val="eop"/>
                <w:sz w:val="20"/>
                <w:szCs w:val="20"/>
              </w:rPr>
              <w:t> </w:t>
            </w:r>
          </w:p>
          <w:p w14:paraId="64F03F4E" w14:textId="77777777" w:rsidR="00412798" w:rsidRPr="007424E0" w:rsidRDefault="00412798" w:rsidP="000F6D48">
            <w:pPr>
              <w:pStyle w:val="paragraph"/>
              <w:numPr>
                <w:ilvl w:val="0"/>
                <w:numId w:val="11"/>
              </w:numPr>
              <w:spacing w:before="0" w:beforeAutospacing="0" w:after="0" w:afterAutospacing="0"/>
              <w:textAlignment w:val="baseline"/>
              <w:rPr>
                <w:rStyle w:val="eop"/>
                <w:sz w:val="20"/>
                <w:szCs w:val="20"/>
              </w:rPr>
            </w:pPr>
            <w:r w:rsidRPr="007424E0">
              <w:rPr>
                <w:rStyle w:val="normaltextrun"/>
                <w:sz w:val="20"/>
                <w:szCs w:val="20"/>
              </w:rPr>
              <w:t>An example of a store that has been approved as selling a “full range” of household items in the past is Family Dollar. </w:t>
            </w:r>
            <w:r w:rsidRPr="007424E0">
              <w:rPr>
                <w:rStyle w:val="eop"/>
                <w:sz w:val="20"/>
                <w:szCs w:val="20"/>
              </w:rPr>
              <w:t> </w:t>
            </w:r>
          </w:p>
          <w:p w14:paraId="6FB984C6" w14:textId="77777777" w:rsidR="00412798" w:rsidRPr="007424E0" w:rsidRDefault="00412798" w:rsidP="000F6D48">
            <w:pPr>
              <w:pStyle w:val="paragraph"/>
              <w:numPr>
                <w:ilvl w:val="0"/>
                <w:numId w:val="11"/>
              </w:numPr>
              <w:spacing w:before="0" w:beforeAutospacing="0" w:after="0" w:afterAutospacing="0"/>
              <w:textAlignment w:val="baseline"/>
              <w:rPr>
                <w:sz w:val="20"/>
                <w:szCs w:val="20"/>
              </w:rPr>
            </w:pPr>
            <w:r w:rsidRPr="007424E0">
              <w:rPr>
                <w:rStyle w:val="normaltextrun"/>
                <w:sz w:val="20"/>
                <w:szCs w:val="20"/>
              </w:rPr>
              <w:lastRenderedPageBreak/>
              <w:t>An example of a store that has been denied eligibility is a gas station with a convenience store (denied due to the limited range of merchandise sold). </w:t>
            </w:r>
            <w:r w:rsidRPr="007424E0">
              <w:rPr>
                <w:rStyle w:val="eop"/>
                <w:sz w:val="20"/>
                <w:szCs w:val="20"/>
              </w:rPr>
              <w:t> </w:t>
            </w:r>
            <w:r w:rsidRPr="007424E0">
              <w:rPr>
                <w:rStyle w:val="eop"/>
                <w:sz w:val="20"/>
                <w:szCs w:val="20"/>
              </w:rPr>
              <w:br/>
            </w:r>
          </w:p>
          <w:p w14:paraId="3B27A04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As stated in </w:t>
            </w:r>
            <w:r w:rsidRPr="007424E0">
              <w:rPr>
                <w:rStyle w:val="normaltextrun"/>
                <w:b/>
                <w:bCs/>
                <w:sz w:val="20"/>
                <w:szCs w:val="20"/>
              </w:rPr>
              <w:t>(Scoring Criteria) Documentation and Justifications</w:t>
            </w:r>
            <w:r w:rsidRPr="007424E0">
              <w:rPr>
                <w:rStyle w:val="normaltextrun"/>
                <w:sz w:val="20"/>
                <w:szCs w:val="20"/>
              </w:rPr>
              <w:t>, “Applications must explain any alternate document to a minimum document.” If it is not self-evident for your proposed establishment, please include supporting documentation and elaborate in the comments section.</w:t>
            </w:r>
          </w:p>
          <w:p w14:paraId="7A3CC9D6"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498447C9" w14:textId="77777777" w:rsidTr="64301FE8">
        <w:trPr>
          <w:jc w:val="center"/>
        </w:trPr>
        <w:tc>
          <w:tcPr>
            <w:tcW w:w="1697" w:type="dxa"/>
            <w:shd w:val="clear" w:color="auto" w:fill="auto"/>
            <w:tcMar>
              <w:top w:w="72" w:type="dxa"/>
              <w:left w:w="115" w:type="dxa"/>
              <w:bottom w:w="72" w:type="dxa"/>
              <w:right w:w="115" w:type="dxa"/>
            </w:tcMar>
            <w:vAlign w:val="center"/>
          </w:tcPr>
          <w:p w14:paraId="7BF2F68F"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3/31/22</w:t>
            </w:r>
          </w:p>
        </w:tc>
        <w:tc>
          <w:tcPr>
            <w:tcW w:w="2663" w:type="dxa"/>
            <w:shd w:val="clear" w:color="auto" w:fill="auto"/>
            <w:tcMar>
              <w:top w:w="72" w:type="dxa"/>
              <w:left w:w="115" w:type="dxa"/>
              <w:bottom w:w="72" w:type="dxa"/>
              <w:right w:w="115" w:type="dxa"/>
            </w:tcMar>
            <w:vAlign w:val="center"/>
          </w:tcPr>
          <w:p w14:paraId="32E9B76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3.17</w:t>
            </w:r>
          </w:p>
          <w:p w14:paraId="4B2D89D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2D0CCE8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Minority- and Women-owned Business Engagement </w:t>
            </w:r>
          </w:p>
        </w:tc>
        <w:tc>
          <w:tcPr>
            <w:tcW w:w="9585" w:type="dxa"/>
            <w:shd w:val="clear" w:color="auto" w:fill="auto"/>
            <w:tcMar>
              <w:top w:w="72" w:type="dxa"/>
              <w:left w:w="115" w:type="dxa"/>
              <w:bottom w:w="72" w:type="dxa"/>
              <w:right w:w="115" w:type="dxa"/>
            </w:tcMar>
            <w:vAlign w:val="center"/>
          </w:tcPr>
          <w:p w14:paraId="5F5BBBF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Q22_0328_01 </w:t>
            </w:r>
          </w:p>
          <w:p w14:paraId="5D4742B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Per the QAP’s definition of “Related Parties,” I am a Related Party to a qualified developer. </w:t>
            </w:r>
            <w:r w:rsidRPr="007424E0">
              <w:rPr>
                <w:rFonts w:ascii="Times New Roman" w:eastAsia="Times New Roman" w:hAnsi="Times New Roman" w:cs="Times New Roman"/>
                <w:b/>
                <w:bCs/>
                <w:sz w:val="20"/>
                <w:szCs w:val="20"/>
              </w:rPr>
              <w:t>(Scoring Criteria) Minority- and Women-Owned Business Engagement</w:t>
            </w:r>
            <w:r w:rsidRPr="007424E0">
              <w:rPr>
                <w:rFonts w:ascii="Times New Roman" w:eastAsia="Times New Roman" w:hAnsi="Times New Roman" w:cs="Times New Roman"/>
                <w:sz w:val="20"/>
                <w:szCs w:val="20"/>
              </w:rPr>
              <w:t xml:space="preserve"> states that one of the requirements of a “Qualified Business” (QB) is:  </w:t>
            </w:r>
          </w:p>
          <w:p w14:paraId="11D7E2C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2234316" w14:textId="77777777" w:rsidR="00412798" w:rsidRPr="007424E0" w:rsidRDefault="00412798" w:rsidP="000F6D48">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w:t>
            </w:r>
            <w:r w:rsidRPr="007424E0">
              <w:rPr>
                <w:rFonts w:ascii="Times New Roman" w:eastAsia="Times New Roman" w:hAnsi="Times New Roman" w:cs="Times New Roman"/>
                <w:i/>
                <w:iCs/>
                <w:sz w:val="20"/>
                <w:szCs w:val="20"/>
              </w:rPr>
              <w:t>QB is not a Related Party to an individual or entity that meets the requirements under Requirements for Experience (Certifying Entity).</w:t>
            </w:r>
            <w:r w:rsidRPr="007424E0">
              <w:rPr>
                <w:rFonts w:ascii="Times New Roman" w:eastAsia="Times New Roman" w:hAnsi="Times New Roman" w:cs="Times New Roman"/>
                <w:sz w:val="20"/>
                <w:szCs w:val="20"/>
              </w:rPr>
              <w:t>” </w:t>
            </w:r>
          </w:p>
          <w:p w14:paraId="3DD15A3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37EC4C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At the QAP Workshop, DCA staff told me that if I receive Probationary approval during the Pre-Application process, then I would still be eligible as a QB under this Scoring section. I am confirming this through the Q&amp;A process, since this was just verbal guidance.  </w:t>
            </w:r>
          </w:p>
          <w:p w14:paraId="5150B7A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0A1561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8703F1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above-referenced guidance provided by DCA staff at the 2022 QAP Workshop was incorrect. As stated in the above QAP excerpt, if you are a Related Party to a qualified developer, this will disqualify your otherwise Qualified Business for purposes of </w:t>
            </w:r>
            <w:r w:rsidRPr="007424E0">
              <w:rPr>
                <w:rFonts w:ascii="Times New Roman" w:eastAsia="Times New Roman" w:hAnsi="Times New Roman" w:cs="Times New Roman"/>
                <w:b/>
                <w:bCs/>
                <w:sz w:val="20"/>
                <w:szCs w:val="20"/>
              </w:rPr>
              <w:t>Minority- and Women-Owned Business Engagement</w:t>
            </w:r>
            <w:r w:rsidRPr="007424E0">
              <w:rPr>
                <w:rFonts w:ascii="Times New Roman" w:eastAsia="Times New Roman" w:hAnsi="Times New Roman" w:cs="Times New Roman"/>
                <w:sz w:val="20"/>
                <w:szCs w:val="20"/>
              </w:rPr>
              <w:t>, even if you meet all other QB requirements.  </w:t>
            </w:r>
          </w:p>
          <w:p w14:paraId="3532336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61EB81A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All applicants should be reminded that you cannot rely on any verbal statements from the QAP Workshop for purposes of application preparation. If you need to rely on verbal guidance, please submit it for confirmation through this Q&amp;A process. </w:t>
            </w:r>
            <w:hyperlink r:id="rId56" w:tgtFrame="_blank" w:history="1">
              <w:r w:rsidRPr="007424E0">
                <w:rPr>
                  <w:rFonts w:ascii="Times New Roman" w:eastAsia="Times New Roman" w:hAnsi="Times New Roman" w:cs="Times New Roman"/>
                  <w:sz w:val="20"/>
                  <w:szCs w:val="20"/>
                  <w:u w:val="single"/>
                </w:rPr>
                <w:t>Click here</w:t>
              </w:r>
            </w:hyperlink>
            <w:r w:rsidRPr="007424E0">
              <w:rPr>
                <w:rFonts w:ascii="Times New Roman" w:eastAsia="Times New Roman" w:hAnsi="Times New Roman" w:cs="Times New Roman"/>
                <w:sz w:val="20"/>
                <w:szCs w:val="20"/>
              </w:rPr>
              <w:t xml:space="preserve"> to review the full disclaimer.</w:t>
            </w:r>
          </w:p>
          <w:p w14:paraId="22DB1368" w14:textId="77777777" w:rsidR="00412798" w:rsidRPr="007424E0" w:rsidRDefault="00412798" w:rsidP="000F6D48">
            <w:pPr>
              <w:pStyle w:val="paragraph"/>
              <w:spacing w:before="0" w:beforeAutospacing="0" w:after="0" w:afterAutospacing="0"/>
              <w:textAlignment w:val="baseline"/>
              <w:rPr>
                <w:rStyle w:val="normaltextrun"/>
                <w:b/>
                <w:bCs/>
                <w:sz w:val="20"/>
                <w:szCs w:val="20"/>
              </w:rPr>
            </w:pPr>
          </w:p>
        </w:tc>
      </w:tr>
      <w:tr w:rsidR="00412798" w:rsidRPr="007424E0" w14:paraId="73DCF23C" w14:textId="77777777" w:rsidTr="64301FE8">
        <w:trPr>
          <w:jc w:val="center"/>
        </w:trPr>
        <w:tc>
          <w:tcPr>
            <w:tcW w:w="1697" w:type="dxa"/>
            <w:shd w:val="clear" w:color="auto" w:fill="auto"/>
            <w:tcMar>
              <w:top w:w="72" w:type="dxa"/>
              <w:left w:w="115" w:type="dxa"/>
              <w:bottom w:w="72" w:type="dxa"/>
              <w:right w:w="115" w:type="dxa"/>
            </w:tcMar>
            <w:vAlign w:val="center"/>
          </w:tcPr>
          <w:p w14:paraId="72C2BD0A"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3/31/22</w:t>
            </w:r>
          </w:p>
        </w:tc>
        <w:tc>
          <w:tcPr>
            <w:tcW w:w="2663" w:type="dxa"/>
            <w:shd w:val="clear" w:color="auto" w:fill="auto"/>
            <w:tcMar>
              <w:top w:w="72" w:type="dxa"/>
              <w:left w:w="115" w:type="dxa"/>
              <w:bottom w:w="72" w:type="dxa"/>
              <w:right w:w="115" w:type="dxa"/>
            </w:tcMar>
            <w:vAlign w:val="center"/>
          </w:tcPr>
          <w:p w14:paraId="33DB0C5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3.21</w:t>
            </w:r>
          </w:p>
          <w:p w14:paraId="75761CA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Scoring Criteria;</w:t>
            </w:r>
          </w:p>
          <w:p w14:paraId="4F354C5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Favorable Financing</w:t>
            </w:r>
          </w:p>
        </w:tc>
        <w:tc>
          <w:tcPr>
            <w:tcW w:w="9585" w:type="dxa"/>
            <w:shd w:val="clear" w:color="auto" w:fill="auto"/>
            <w:tcMar>
              <w:top w:w="72" w:type="dxa"/>
              <w:left w:w="115" w:type="dxa"/>
              <w:bottom w:w="72" w:type="dxa"/>
              <w:right w:w="115" w:type="dxa"/>
            </w:tcMar>
            <w:vAlign w:val="center"/>
          </w:tcPr>
          <w:p w14:paraId="4ABD94C5" w14:textId="77777777" w:rsidR="00412798" w:rsidRPr="007424E0" w:rsidRDefault="00412798" w:rsidP="000F6D48">
            <w:pPr>
              <w:keepNext/>
              <w:keepLines/>
              <w:jc w:val="center"/>
              <w:rPr>
                <w:rFonts w:ascii="Times New Roman" w:hAnsi="Times New Roman" w:cs="Times New Roman"/>
                <w:sz w:val="20"/>
                <w:szCs w:val="20"/>
              </w:rPr>
            </w:pPr>
            <w:r w:rsidRPr="007424E0">
              <w:rPr>
                <w:rStyle w:val="normaltextrun"/>
                <w:rFonts w:ascii="Times New Roman" w:hAnsi="Times New Roman" w:cs="Times New Roman"/>
                <w:b/>
                <w:bCs/>
                <w:i/>
                <w:iCs/>
                <w:color w:val="FF0000"/>
                <w:sz w:val="20"/>
                <w:szCs w:val="20"/>
              </w:rPr>
              <w:t>This Q&amp;A references the 9% Round but includes information relevant to 4%/Bonds applications.</w:t>
            </w:r>
          </w:p>
          <w:p w14:paraId="66011F22" w14:textId="77777777" w:rsidR="00412798" w:rsidRPr="007424E0" w:rsidRDefault="00412798" w:rsidP="000F6D48">
            <w:pPr>
              <w:pStyle w:val="paragraph"/>
              <w:keepNext/>
              <w:keepLines/>
              <w:spacing w:before="0" w:beforeAutospacing="0" w:after="0" w:afterAutospacing="0"/>
              <w:textAlignment w:val="baseline"/>
              <w:rPr>
                <w:rStyle w:val="normaltextrun"/>
                <w:rFonts w:eastAsiaTheme="minorHAnsi"/>
                <w:b/>
                <w:bCs/>
                <w:sz w:val="20"/>
                <w:szCs w:val="20"/>
              </w:rPr>
            </w:pPr>
          </w:p>
          <w:p w14:paraId="541445D3" w14:textId="77777777" w:rsidR="00412798" w:rsidRPr="007424E0" w:rsidRDefault="00412798" w:rsidP="000F6D48">
            <w:pPr>
              <w:pStyle w:val="paragraph"/>
              <w:keepNext/>
              <w:keepLines/>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Q22_0104_01</w:t>
            </w:r>
            <w:r w:rsidRPr="007424E0">
              <w:rPr>
                <w:rStyle w:val="eop"/>
                <w:sz w:val="20"/>
                <w:szCs w:val="20"/>
              </w:rPr>
              <w:t> </w:t>
            </w:r>
          </w:p>
          <w:p w14:paraId="28C78DC4" w14:textId="77777777" w:rsidR="00412798" w:rsidRPr="007424E0" w:rsidRDefault="00412798" w:rsidP="000F6D48">
            <w:pPr>
              <w:pStyle w:val="paragraph"/>
              <w:keepNext/>
              <w:keepLines/>
              <w:spacing w:before="0" w:beforeAutospacing="0" w:after="0" w:afterAutospacing="0"/>
              <w:textAlignment w:val="baseline"/>
              <w:rPr>
                <w:sz w:val="20"/>
                <w:szCs w:val="20"/>
              </w:rPr>
            </w:pPr>
            <w:r w:rsidRPr="007424E0">
              <w:rPr>
                <w:rStyle w:val="normaltextrun"/>
                <w:sz w:val="20"/>
                <w:szCs w:val="20"/>
              </w:rPr>
              <w:t xml:space="preserve">The local government has committed to providing the infrastructure for the development of affordable housing on a future LIHTC project.  It is a </w:t>
            </w:r>
            <w:r w:rsidRPr="007424E0">
              <w:rPr>
                <w:rStyle w:val="contextualspellingandgrammarerror"/>
                <w:rFonts w:eastAsiaTheme="majorEastAsia"/>
                <w:sz w:val="20"/>
                <w:szCs w:val="20"/>
              </w:rPr>
              <w:t>two phase</w:t>
            </w:r>
            <w:r w:rsidRPr="007424E0">
              <w:rPr>
                <w:rStyle w:val="normaltextrun"/>
                <w:sz w:val="20"/>
                <w:szCs w:val="20"/>
              </w:rPr>
              <w:t xml:space="preserve"> project that will require roads, stormwater lines, water lines, sidewalks, etc.  The total cost of the infrastructure is approximately $4,000,000; or approximately $2,000,000 per phase based on the layout.  However, due to the configuration of the site, it would be impractical and inefficient to build the infrastructure in phases. </w:t>
            </w:r>
            <w:r w:rsidRPr="007424E0">
              <w:rPr>
                <w:rStyle w:val="eop"/>
                <w:sz w:val="20"/>
                <w:szCs w:val="20"/>
              </w:rPr>
              <w:t> </w:t>
            </w:r>
          </w:p>
          <w:p w14:paraId="0A965114" w14:textId="77777777" w:rsidR="00412798" w:rsidRPr="007424E0" w:rsidRDefault="00412798" w:rsidP="000F6D48">
            <w:pPr>
              <w:pStyle w:val="paragraph"/>
              <w:numPr>
                <w:ilvl w:val="0"/>
                <w:numId w:val="12"/>
              </w:numPr>
              <w:spacing w:before="0" w:beforeAutospacing="0" w:after="0" w:afterAutospacing="0"/>
              <w:ind w:left="1080" w:firstLine="0"/>
              <w:textAlignment w:val="baseline"/>
              <w:rPr>
                <w:sz w:val="20"/>
                <w:szCs w:val="20"/>
              </w:rPr>
            </w:pPr>
            <w:r w:rsidRPr="007424E0">
              <w:rPr>
                <w:rStyle w:val="normaltextrun"/>
                <w:sz w:val="20"/>
                <w:szCs w:val="20"/>
              </w:rPr>
              <w:t>Would DCA consider allowing the construction of all the infrastructure in one phase of development and then assigning costs to Phase I and to Phase II in order to be eligible to score points under Favorable Financing for its share of the improvements that were completed with the first phase?  </w:t>
            </w:r>
            <w:r w:rsidRPr="007424E0">
              <w:rPr>
                <w:rStyle w:val="eop"/>
                <w:sz w:val="20"/>
                <w:szCs w:val="20"/>
              </w:rPr>
              <w:t> </w:t>
            </w:r>
          </w:p>
          <w:p w14:paraId="43B11A92" w14:textId="77777777" w:rsidR="00412798" w:rsidRPr="007424E0" w:rsidRDefault="00412798" w:rsidP="000F6D48">
            <w:pPr>
              <w:pStyle w:val="paragraph"/>
              <w:numPr>
                <w:ilvl w:val="0"/>
                <w:numId w:val="13"/>
              </w:numPr>
              <w:spacing w:before="0" w:beforeAutospacing="0" w:after="0" w:afterAutospacing="0"/>
              <w:ind w:left="1080" w:firstLine="0"/>
              <w:textAlignment w:val="baseline"/>
              <w:rPr>
                <w:sz w:val="20"/>
                <w:szCs w:val="20"/>
              </w:rPr>
            </w:pPr>
            <w:r w:rsidRPr="007424E0">
              <w:rPr>
                <w:rStyle w:val="normaltextrun"/>
                <w:sz w:val="20"/>
                <w:szCs w:val="20"/>
              </w:rPr>
              <w:t>Would the provision of the funding in two separate funding documents aid DCA in making this approval to cover two phases?  </w:t>
            </w:r>
            <w:r w:rsidRPr="007424E0">
              <w:rPr>
                <w:rStyle w:val="eop"/>
                <w:sz w:val="20"/>
                <w:szCs w:val="20"/>
              </w:rPr>
              <w:t> </w:t>
            </w:r>
          </w:p>
          <w:p w14:paraId="7C55369E" w14:textId="77777777" w:rsidR="00412798" w:rsidRPr="007424E0" w:rsidRDefault="00412798" w:rsidP="000F6D48">
            <w:pPr>
              <w:pStyle w:val="paragraph"/>
              <w:numPr>
                <w:ilvl w:val="0"/>
                <w:numId w:val="13"/>
              </w:numPr>
              <w:spacing w:before="0" w:beforeAutospacing="0" w:after="0" w:afterAutospacing="0"/>
              <w:ind w:left="1080" w:firstLine="0"/>
              <w:textAlignment w:val="baseline"/>
              <w:rPr>
                <w:sz w:val="20"/>
                <w:szCs w:val="20"/>
              </w:rPr>
            </w:pPr>
            <w:r w:rsidRPr="007424E0">
              <w:rPr>
                <w:rStyle w:val="normaltextrun"/>
                <w:sz w:val="20"/>
                <w:szCs w:val="20"/>
              </w:rPr>
              <w:t>Can DCA support this concept to develop all the infrastructure at one time and assign costs per phase to meet the Favorable Financing scoring requirements.  </w:t>
            </w:r>
            <w:r w:rsidRPr="007424E0">
              <w:rPr>
                <w:rStyle w:val="eop"/>
                <w:sz w:val="20"/>
                <w:szCs w:val="20"/>
              </w:rPr>
              <w:t> </w:t>
            </w:r>
          </w:p>
          <w:p w14:paraId="6C1D3498" w14:textId="77777777" w:rsidR="00412798" w:rsidRPr="007424E0" w:rsidRDefault="00412798" w:rsidP="000F6D48">
            <w:pPr>
              <w:pStyle w:val="paragraph"/>
              <w:numPr>
                <w:ilvl w:val="0"/>
                <w:numId w:val="13"/>
              </w:numPr>
              <w:spacing w:before="0" w:beforeAutospacing="0" w:after="0" w:afterAutospacing="0"/>
              <w:ind w:left="1080" w:firstLine="0"/>
              <w:textAlignment w:val="baseline"/>
              <w:rPr>
                <w:sz w:val="20"/>
                <w:szCs w:val="20"/>
              </w:rPr>
            </w:pPr>
            <w:r w:rsidRPr="007424E0">
              <w:rPr>
                <w:rStyle w:val="normaltextrun"/>
                <w:sz w:val="20"/>
                <w:szCs w:val="20"/>
              </w:rPr>
              <w:t xml:space="preserve">This funding source will qualify under “11. Other Federal, State, or local grant funds or loans.” </w:t>
            </w:r>
            <w:r w:rsidRPr="007424E0">
              <w:rPr>
                <w:rStyle w:val="scxw52255993"/>
                <w:sz w:val="20"/>
                <w:szCs w:val="20"/>
              </w:rPr>
              <w:t> </w:t>
            </w:r>
            <w:r w:rsidRPr="007424E0">
              <w:rPr>
                <w:rStyle w:val="eop"/>
                <w:sz w:val="20"/>
                <w:szCs w:val="20"/>
              </w:rPr>
              <w:t> </w:t>
            </w:r>
          </w:p>
          <w:p w14:paraId="3777AC5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51A9E6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693CB73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The local government would indeed need to provide multiple funding documents so that DCA staff can confirm how much is attributable to the phase 1 application. Assuming all Favorable Financing requirements are </w:t>
            </w:r>
            <w:r w:rsidRPr="007424E0">
              <w:rPr>
                <w:rStyle w:val="contextualspellingandgrammarerror"/>
                <w:rFonts w:eastAsiaTheme="majorEastAsia"/>
                <w:sz w:val="20"/>
                <w:szCs w:val="20"/>
              </w:rPr>
              <w:t>met</w:t>
            </w:r>
            <w:r w:rsidRPr="007424E0">
              <w:rPr>
                <w:rStyle w:val="normaltextrun"/>
                <w:sz w:val="20"/>
                <w:szCs w:val="20"/>
              </w:rPr>
              <w:t xml:space="preserve"> and the applicant details the methodology for proportionally allocating costs between each phase, then the phase 1 amount would be allowable for purposes of Favorable Financing under the 2022 9% Competitive Round. </w:t>
            </w:r>
            <w:r w:rsidRPr="007424E0">
              <w:rPr>
                <w:rStyle w:val="eop"/>
                <w:sz w:val="20"/>
                <w:szCs w:val="20"/>
              </w:rPr>
              <w:t> </w:t>
            </w:r>
          </w:p>
          <w:p w14:paraId="594E2108"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25561E81"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sz w:val="20"/>
                <w:szCs w:val="20"/>
              </w:rPr>
              <w:t>However, DCA cannot provide any guidance about whether the costs attributable to phase 2 will be allowable under Favorable Financing in a future application, because that would be clarifying policy for a future QAP. DCA can only provide guidance related to the 2022 QAP. </w:t>
            </w:r>
            <w:r w:rsidRPr="007424E0">
              <w:rPr>
                <w:rStyle w:val="eop"/>
                <w:sz w:val="20"/>
                <w:szCs w:val="20"/>
              </w:rPr>
              <w:t> </w:t>
            </w:r>
          </w:p>
        </w:tc>
      </w:tr>
      <w:tr w:rsidR="00412798" w:rsidRPr="007424E0" w14:paraId="4600E599" w14:textId="77777777" w:rsidTr="64301FE8">
        <w:trPr>
          <w:jc w:val="center"/>
        </w:trPr>
        <w:tc>
          <w:tcPr>
            <w:tcW w:w="1697" w:type="dxa"/>
            <w:shd w:val="clear" w:color="auto" w:fill="auto"/>
            <w:tcMar>
              <w:top w:w="72" w:type="dxa"/>
              <w:left w:w="115" w:type="dxa"/>
              <w:bottom w:w="72" w:type="dxa"/>
              <w:right w:w="115" w:type="dxa"/>
            </w:tcMar>
            <w:vAlign w:val="center"/>
          </w:tcPr>
          <w:p w14:paraId="7E45CA8D"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3/31/22</w:t>
            </w:r>
          </w:p>
        </w:tc>
        <w:tc>
          <w:tcPr>
            <w:tcW w:w="2663" w:type="dxa"/>
            <w:shd w:val="clear" w:color="auto" w:fill="auto"/>
            <w:tcMar>
              <w:top w:w="72" w:type="dxa"/>
              <w:left w:w="115" w:type="dxa"/>
              <w:bottom w:w="72" w:type="dxa"/>
              <w:right w:w="115" w:type="dxa"/>
            </w:tcMar>
            <w:vAlign w:val="center"/>
          </w:tcPr>
          <w:p w14:paraId="56786CA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3.27</w:t>
            </w:r>
          </w:p>
          <w:p w14:paraId="64ECE5A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Scoring Criteria; </w:t>
            </w:r>
          </w:p>
          <w:p w14:paraId="6F33579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PBRA Contracts</w:t>
            </w:r>
          </w:p>
        </w:tc>
        <w:tc>
          <w:tcPr>
            <w:tcW w:w="9585" w:type="dxa"/>
            <w:shd w:val="clear" w:color="auto" w:fill="auto"/>
            <w:tcMar>
              <w:top w:w="72" w:type="dxa"/>
              <w:left w:w="115" w:type="dxa"/>
              <w:bottom w:w="72" w:type="dxa"/>
              <w:right w:w="115" w:type="dxa"/>
            </w:tcMar>
            <w:vAlign w:val="center"/>
          </w:tcPr>
          <w:p w14:paraId="1FB320F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xml:space="preserve">: </w:t>
            </w:r>
            <w:r w:rsidRPr="007424E0">
              <w:rPr>
                <w:rFonts w:ascii="Times New Roman" w:eastAsia="Times New Roman" w:hAnsi="Times New Roman" w:cs="Times New Roman"/>
                <w:b/>
                <w:bCs/>
                <w:sz w:val="20"/>
                <w:szCs w:val="20"/>
              </w:rPr>
              <w:t>Q22_0307_01</w:t>
            </w:r>
            <w:r w:rsidRPr="007424E0">
              <w:rPr>
                <w:rFonts w:ascii="Times New Roman" w:eastAsia="Times New Roman" w:hAnsi="Times New Roman" w:cs="Times New Roman"/>
                <w:sz w:val="20"/>
                <w:szCs w:val="20"/>
              </w:rPr>
              <w:t> </w:t>
            </w:r>
          </w:p>
          <w:p w14:paraId="360505C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Would an applicant be eligible for points under </w:t>
            </w:r>
            <w:r w:rsidRPr="007424E0">
              <w:rPr>
                <w:rFonts w:ascii="Times New Roman" w:eastAsia="Times New Roman" w:hAnsi="Times New Roman" w:cs="Times New Roman"/>
                <w:b/>
                <w:bCs/>
                <w:sz w:val="20"/>
                <w:szCs w:val="20"/>
              </w:rPr>
              <w:t>(Scoring Criteria) PBRA Contracts</w:t>
            </w:r>
            <w:r w:rsidRPr="007424E0">
              <w:rPr>
                <w:rFonts w:ascii="Times New Roman" w:eastAsia="Times New Roman" w:hAnsi="Times New Roman" w:cs="Times New Roman"/>
                <w:sz w:val="20"/>
                <w:szCs w:val="20"/>
              </w:rPr>
              <w:t xml:space="preserve"> if the PBRA would be conditional upon receipt of a Credit award, but the PBRA contract would be in effect on or before the units are placed in service? </w:t>
            </w:r>
          </w:p>
          <w:p w14:paraId="79BBF09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A09EBB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29A55028"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Assuming all other requirements related to the associated PBRA agreements are met (e.g., requirements listed in </w:t>
            </w:r>
            <w:r w:rsidRPr="007424E0">
              <w:rPr>
                <w:rFonts w:ascii="Times New Roman" w:eastAsia="Times New Roman" w:hAnsi="Times New Roman" w:cs="Times New Roman"/>
                <w:b/>
                <w:bCs/>
                <w:sz w:val="20"/>
                <w:szCs w:val="20"/>
              </w:rPr>
              <w:t>(Threshold Criteria) Project Feasibility)</w:t>
            </w:r>
            <w:r w:rsidRPr="007424E0">
              <w:rPr>
                <w:rFonts w:ascii="Times New Roman" w:eastAsia="Times New Roman" w:hAnsi="Times New Roman" w:cs="Times New Roman"/>
                <w:sz w:val="20"/>
                <w:szCs w:val="20"/>
              </w:rPr>
              <w:t xml:space="preserve">, such PBRA contracts would be eligible for points under </w:t>
            </w:r>
            <w:r w:rsidRPr="007424E0">
              <w:rPr>
                <w:rFonts w:ascii="Times New Roman" w:eastAsia="Times New Roman" w:hAnsi="Times New Roman" w:cs="Times New Roman"/>
                <w:b/>
                <w:bCs/>
                <w:sz w:val="20"/>
                <w:szCs w:val="20"/>
              </w:rPr>
              <w:t>(Scoring Criteria) PBRA Contracts</w:t>
            </w:r>
            <w:r w:rsidRPr="007424E0">
              <w:rPr>
                <w:rFonts w:ascii="Times New Roman" w:eastAsia="Times New Roman" w:hAnsi="Times New Roman" w:cs="Times New Roman"/>
                <w:sz w:val="20"/>
                <w:szCs w:val="20"/>
              </w:rPr>
              <w:t>. The contracts being conditional on a tax credit award is not a disqualifying factor.  </w:t>
            </w:r>
          </w:p>
        </w:tc>
      </w:tr>
      <w:tr w:rsidR="00412798" w:rsidRPr="007424E0" w14:paraId="28AAFA7D" w14:textId="77777777" w:rsidTr="64301FE8">
        <w:trPr>
          <w:jc w:val="center"/>
        </w:trPr>
        <w:tc>
          <w:tcPr>
            <w:tcW w:w="1697" w:type="dxa"/>
            <w:shd w:val="clear" w:color="auto" w:fill="auto"/>
            <w:tcMar>
              <w:top w:w="72" w:type="dxa"/>
              <w:left w:w="115" w:type="dxa"/>
              <w:bottom w:w="72" w:type="dxa"/>
              <w:right w:w="115" w:type="dxa"/>
            </w:tcMar>
            <w:vAlign w:val="center"/>
          </w:tcPr>
          <w:p w14:paraId="2B74FAF8"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3/22/22</w:t>
            </w:r>
          </w:p>
        </w:tc>
        <w:tc>
          <w:tcPr>
            <w:tcW w:w="2663" w:type="dxa"/>
            <w:shd w:val="clear" w:color="auto" w:fill="auto"/>
            <w:tcMar>
              <w:top w:w="72" w:type="dxa"/>
              <w:left w:w="115" w:type="dxa"/>
              <w:bottom w:w="72" w:type="dxa"/>
              <w:right w:w="115" w:type="dxa"/>
            </w:tcMar>
            <w:vAlign w:val="center"/>
          </w:tcPr>
          <w:p w14:paraId="41CCD48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1.12</w:t>
            </w:r>
          </w:p>
          <w:p w14:paraId="6A0165F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Core Plan;</w:t>
            </w:r>
          </w:p>
          <w:p w14:paraId="52B11C9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Eligibility of Certain Project Configurations</w:t>
            </w:r>
          </w:p>
          <w:p w14:paraId="6FA32D6A" w14:textId="77777777" w:rsidR="00412798" w:rsidRPr="007424E0" w:rsidRDefault="00412798" w:rsidP="000F6D48">
            <w:pPr>
              <w:rPr>
                <w:rFonts w:ascii="Times New Roman" w:hAnsi="Times New Roman" w:cs="Times New Roman"/>
                <w:sz w:val="20"/>
                <w:szCs w:val="20"/>
              </w:rPr>
            </w:pPr>
          </w:p>
          <w:p w14:paraId="621223CE" w14:textId="77777777" w:rsidR="00412798" w:rsidRPr="007424E0" w:rsidRDefault="00412798" w:rsidP="000F6D48">
            <w:pPr>
              <w:rPr>
                <w:rFonts w:ascii="Times New Roman" w:hAnsi="Times New Roman" w:cs="Times New Roman"/>
                <w:sz w:val="20"/>
                <w:szCs w:val="20"/>
              </w:rPr>
            </w:pPr>
          </w:p>
          <w:p w14:paraId="6CF4900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(also 1.10 Core; 4% Federal Credit)</w:t>
            </w:r>
          </w:p>
        </w:tc>
        <w:tc>
          <w:tcPr>
            <w:tcW w:w="9585" w:type="dxa"/>
            <w:shd w:val="clear" w:color="auto" w:fill="auto"/>
            <w:tcMar>
              <w:top w:w="72" w:type="dxa"/>
              <w:left w:w="115" w:type="dxa"/>
              <w:bottom w:w="72" w:type="dxa"/>
              <w:right w:w="115" w:type="dxa"/>
            </w:tcMar>
            <w:vAlign w:val="center"/>
          </w:tcPr>
          <w:p w14:paraId="7D46D9A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Q22_Q1222_01</w:t>
            </w:r>
            <w:r w:rsidRPr="007424E0">
              <w:rPr>
                <w:rStyle w:val="eop"/>
                <w:sz w:val="20"/>
                <w:szCs w:val="20"/>
              </w:rPr>
              <w:t> </w:t>
            </w:r>
          </w:p>
          <w:p w14:paraId="2218A5A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Could a two-phase development, purchased as one project, be submitted for Credits as one project under one application, given the scoring is the same for both phases?</w:t>
            </w:r>
            <w:r w:rsidRPr="007424E0">
              <w:rPr>
                <w:rStyle w:val="eop"/>
                <w:sz w:val="20"/>
                <w:szCs w:val="20"/>
              </w:rPr>
              <w:t> </w:t>
            </w:r>
          </w:p>
          <w:p w14:paraId="2696A964"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7CED38FE"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33B0560B"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Yes, assuming the combined application meets all applicable requirements in the QAP, combining both phases of a multi-phase development for one tax credit application is allowed. </w:t>
            </w:r>
            <w:r w:rsidRPr="007424E0">
              <w:rPr>
                <w:rStyle w:val="eop"/>
                <w:sz w:val="20"/>
                <w:szCs w:val="20"/>
              </w:rPr>
              <w:t> </w:t>
            </w:r>
          </w:p>
          <w:p w14:paraId="0EE1C1E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5D7C56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Please also see the following QAP excerpts that may be applicable, depending on the circumstances: </w:t>
            </w:r>
            <w:r w:rsidRPr="007424E0">
              <w:rPr>
                <w:rStyle w:val="eop"/>
                <w:sz w:val="20"/>
                <w:szCs w:val="20"/>
              </w:rPr>
              <w:t> </w:t>
            </w:r>
          </w:p>
          <w:p w14:paraId="41BDEDFE"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2E600BBB" w14:textId="77777777" w:rsidR="00412798" w:rsidRPr="007424E0" w:rsidRDefault="00412798" w:rsidP="000F6D48">
            <w:pPr>
              <w:pStyle w:val="paragraph"/>
              <w:numPr>
                <w:ilvl w:val="0"/>
                <w:numId w:val="10"/>
              </w:numPr>
              <w:spacing w:before="0" w:beforeAutospacing="0" w:after="0" w:afterAutospacing="0"/>
              <w:ind w:left="1080" w:firstLine="0"/>
              <w:textAlignment w:val="baseline"/>
              <w:rPr>
                <w:sz w:val="20"/>
                <w:szCs w:val="20"/>
              </w:rPr>
            </w:pPr>
            <w:r w:rsidRPr="007424E0">
              <w:rPr>
                <w:rStyle w:val="normaltextrun"/>
                <w:sz w:val="20"/>
                <w:szCs w:val="20"/>
              </w:rPr>
              <w:t>(</w:t>
            </w:r>
            <w:r w:rsidRPr="007424E0">
              <w:rPr>
                <w:rStyle w:val="normaltextrun"/>
                <w:b/>
                <w:bCs/>
                <w:sz w:val="20"/>
                <w:szCs w:val="20"/>
              </w:rPr>
              <w:t>Core Plan</w:t>
            </w:r>
            <w:r w:rsidRPr="007424E0">
              <w:rPr>
                <w:rStyle w:val="normaltextrun"/>
                <w:sz w:val="20"/>
                <w:szCs w:val="20"/>
              </w:rPr>
              <w:t xml:space="preserve">), </w:t>
            </w:r>
            <w:r w:rsidRPr="007424E0">
              <w:rPr>
                <w:rStyle w:val="normaltextrun"/>
                <w:b/>
                <w:bCs/>
                <w:sz w:val="20"/>
                <w:szCs w:val="20"/>
              </w:rPr>
              <w:t>Eligibility of Certain Project Configurations</w:t>
            </w:r>
            <w:r w:rsidRPr="007424E0">
              <w:rPr>
                <w:rStyle w:val="normaltextrun"/>
                <w:sz w:val="20"/>
                <w:szCs w:val="20"/>
              </w:rPr>
              <w:t xml:space="preserve">, subsection </w:t>
            </w:r>
            <w:r w:rsidRPr="007424E0">
              <w:rPr>
                <w:rStyle w:val="normaltextrun"/>
                <w:b/>
                <w:bCs/>
                <w:sz w:val="20"/>
                <w:szCs w:val="20"/>
              </w:rPr>
              <w:t>A. Eligibility of Scattered Sites</w:t>
            </w:r>
            <w:r w:rsidRPr="007424E0">
              <w:rPr>
                <w:rStyle w:val="normaltextrun"/>
                <w:sz w:val="20"/>
                <w:szCs w:val="20"/>
              </w:rPr>
              <w:t> </w:t>
            </w:r>
            <w:r w:rsidRPr="007424E0">
              <w:rPr>
                <w:rStyle w:val="eop"/>
                <w:sz w:val="20"/>
                <w:szCs w:val="20"/>
              </w:rPr>
              <w:t> </w:t>
            </w:r>
          </w:p>
          <w:p w14:paraId="35AED256" w14:textId="77777777" w:rsidR="00412798" w:rsidRPr="007424E0" w:rsidRDefault="00412798" w:rsidP="000F6D48">
            <w:pPr>
              <w:pStyle w:val="paragraph"/>
              <w:numPr>
                <w:ilvl w:val="0"/>
                <w:numId w:val="10"/>
              </w:numPr>
              <w:spacing w:before="0" w:beforeAutospacing="0" w:after="0" w:afterAutospacing="0"/>
              <w:ind w:left="1080" w:firstLine="0"/>
              <w:textAlignment w:val="baseline"/>
              <w:rPr>
                <w:sz w:val="20"/>
                <w:szCs w:val="20"/>
              </w:rPr>
            </w:pPr>
            <w:r w:rsidRPr="007424E0">
              <w:rPr>
                <w:rStyle w:val="normaltextrun"/>
                <w:b/>
                <w:bCs/>
                <w:sz w:val="20"/>
                <w:szCs w:val="20"/>
              </w:rPr>
              <w:t>(Core Plan) 4% Federal Credit – Bond Financed Projects</w:t>
            </w:r>
            <w:r w:rsidRPr="007424E0">
              <w:rPr>
                <w:rStyle w:val="normaltextrun"/>
                <w:sz w:val="20"/>
                <w:szCs w:val="20"/>
              </w:rPr>
              <w:t xml:space="preserve">, subsection </w:t>
            </w:r>
            <w:r w:rsidRPr="007424E0">
              <w:rPr>
                <w:rStyle w:val="normaltextrun"/>
                <w:b/>
                <w:bCs/>
                <w:sz w:val="20"/>
                <w:szCs w:val="20"/>
              </w:rPr>
              <w:t>B. Application Restrictions:</w:t>
            </w:r>
            <w:r w:rsidRPr="007424E0">
              <w:rPr>
                <w:rStyle w:val="normaltextrun"/>
                <w:sz w:val="20"/>
                <w:szCs w:val="20"/>
              </w:rPr>
              <w:t xml:space="preserve"> For purposes of 4% Credit Applications, “Scattered site applications are only eligible for consideration if proposing rehabilitation of properties funded by USDA, a RAD conversion, or approved during the Pre-Application process.” </w:t>
            </w:r>
            <w:r w:rsidRPr="007424E0">
              <w:rPr>
                <w:rStyle w:val="eop"/>
                <w:sz w:val="20"/>
                <w:szCs w:val="20"/>
              </w:rPr>
              <w:t> </w:t>
            </w:r>
          </w:p>
          <w:p w14:paraId="0EC7F913" w14:textId="77777777" w:rsidR="00412798" w:rsidRPr="007424E0" w:rsidRDefault="00412798" w:rsidP="000F6D48">
            <w:pPr>
              <w:textAlignment w:val="baseline"/>
              <w:rPr>
                <w:rFonts w:ascii="Times New Roman" w:eastAsia="Times New Roman" w:hAnsi="Times New Roman" w:cs="Times New Roman"/>
                <w:b/>
                <w:bCs/>
                <w:sz w:val="20"/>
                <w:szCs w:val="20"/>
              </w:rPr>
            </w:pPr>
          </w:p>
        </w:tc>
      </w:tr>
      <w:tr w:rsidR="00412798" w:rsidRPr="007424E0" w14:paraId="713B3D04" w14:textId="77777777" w:rsidTr="64301FE8">
        <w:trPr>
          <w:jc w:val="center"/>
        </w:trPr>
        <w:tc>
          <w:tcPr>
            <w:tcW w:w="1697" w:type="dxa"/>
            <w:shd w:val="clear" w:color="auto" w:fill="auto"/>
            <w:tcMar>
              <w:top w:w="72" w:type="dxa"/>
              <w:left w:w="115" w:type="dxa"/>
              <w:bottom w:w="72" w:type="dxa"/>
              <w:right w:w="115" w:type="dxa"/>
            </w:tcMar>
            <w:vAlign w:val="center"/>
          </w:tcPr>
          <w:p w14:paraId="425843CF" w14:textId="77777777" w:rsidR="00412798" w:rsidRPr="007424E0" w:rsidRDefault="00412798" w:rsidP="000F6D48">
            <w:pPr>
              <w:rPr>
                <w:rFonts w:ascii="Times New Roman" w:hAnsi="Times New Roman" w:cs="Times New Roman"/>
                <w:noProof/>
                <w:sz w:val="20"/>
                <w:szCs w:val="20"/>
              </w:rPr>
            </w:pPr>
            <w:r w:rsidRPr="007424E0">
              <w:rPr>
                <w:rFonts w:ascii="Times New Roman" w:hAnsi="Times New Roman" w:cs="Times New Roman"/>
                <w:noProof/>
                <w:sz w:val="20"/>
                <w:szCs w:val="20"/>
              </w:rPr>
              <w:t>3/22/22</w:t>
            </w:r>
          </w:p>
        </w:tc>
        <w:tc>
          <w:tcPr>
            <w:tcW w:w="2663" w:type="dxa"/>
            <w:shd w:val="clear" w:color="auto" w:fill="auto"/>
            <w:tcMar>
              <w:top w:w="72" w:type="dxa"/>
              <w:left w:w="115" w:type="dxa"/>
              <w:bottom w:w="72" w:type="dxa"/>
              <w:right w:w="115" w:type="dxa"/>
            </w:tcMar>
            <w:vAlign w:val="center"/>
          </w:tcPr>
          <w:p w14:paraId="4F2E311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3.08</w:t>
            </w:r>
          </w:p>
          <w:p w14:paraId="3A1E37D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Scoring Criteria; </w:t>
            </w:r>
          </w:p>
          <w:p w14:paraId="34510FF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Revitalization/Redevelopment Plans</w:t>
            </w:r>
          </w:p>
        </w:tc>
        <w:tc>
          <w:tcPr>
            <w:tcW w:w="9585" w:type="dxa"/>
            <w:shd w:val="clear" w:color="auto" w:fill="auto"/>
            <w:tcMar>
              <w:top w:w="72" w:type="dxa"/>
              <w:left w:w="115" w:type="dxa"/>
              <w:bottom w:w="72" w:type="dxa"/>
              <w:right w:w="115" w:type="dxa"/>
            </w:tcMar>
            <w:vAlign w:val="center"/>
          </w:tcPr>
          <w:p w14:paraId="24DD6C6A"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Q22_0302_04</w:t>
            </w:r>
            <w:r w:rsidRPr="007424E0">
              <w:rPr>
                <w:rStyle w:val="eop"/>
                <w:sz w:val="20"/>
                <w:szCs w:val="20"/>
              </w:rPr>
              <w:t> </w:t>
            </w:r>
          </w:p>
          <w:p w14:paraId="5D94EC8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Regarding </w:t>
            </w:r>
            <w:r w:rsidRPr="007424E0">
              <w:rPr>
                <w:rStyle w:val="normaltextrun"/>
                <w:b/>
                <w:bCs/>
                <w:sz w:val="20"/>
                <w:szCs w:val="20"/>
              </w:rPr>
              <w:t>(Scoring Criteria) Revitalization/Redevelopment Plans</w:t>
            </w:r>
            <w:r w:rsidRPr="007424E0">
              <w:rPr>
                <w:rStyle w:val="normaltextrun"/>
                <w:sz w:val="20"/>
                <w:szCs w:val="20"/>
              </w:rPr>
              <w:t>, subsection</w:t>
            </w:r>
            <w:r w:rsidRPr="007424E0">
              <w:rPr>
                <w:rStyle w:val="normaltextrun"/>
                <w:b/>
                <w:bCs/>
                <w:sz w:val="20"/>
                <w:szCs w:val="20"/>
              </w:rPr>
              <w:t xml:space="preserve"> A. Revitalization Plan/Qualified Census Tract</w:t>
            </w:r>
            <w:r w:rsidRPr="007424E0">
              <w:rPr>
                <w:rStyle w:val="normaltextrun"/>
                <w:sz w:val="20"/>
                <w:szCs w:val="20"/>
              </w:rPr>
              <w:t>,</w:t>
            </w:r>
            <w:r w:rsidRPr="007424E0">
              <w:rPr>
                <w:rStyle w:val="scxw120489810"/>
                <w:rFonts w:eastAsiaTheme="majorEastAsia"/>
                <w:sz w:val="20"/>
                <w:szCs w:val="20"/>
              </w:rPr>
              <w:t> </w:t>
            </w:r>
            <w:r w:rsidRPr="007424E0">
              <w:rPr>
                <w:rStyle w:val="normaltextrun"/>
                <w:sz w:val="20"/>
                <w:szCs w:val="20"/>
              </w:rPr>
              <w:t>to be eligible for the “One (1) additional point [for] Local Government …financial commitment to advancing the CRP”, does the investment have to be located within a 0.5-mile radius of the proposed site, considering to be eligible for at least 1 point under subsection B. Third-Party Capital Investment, the investment would need to be within a 0.5-mile radius of the site?</w:t>
            </w:r>
            <w:r w:rsidRPr="007424E0">
              <w:rPr>
                <w:rStyle w:val="eop"/>
                <w:sz w:val="20"/>
                <w:szCs w:val="20"/>
              </w:rPr>
              <w:t> </w:t>
            </w:r>
          </w:p>
          <w:p w14:paraId="35421470"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4316E507"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605D1D4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The QAP states:</w:t>
            </w:r>
            <w:r w:rsidRPr="007424E0">
              <w:rPr>
                <w:rStyle w:val="eop"/>
                <w:sz w:val="20"/>
                <w:szCs w:val="20"/>
              </w:rPr>
              <w:t> </w:t>
            </w:r>
          </w:p>
          <w:p w14:paraId="6F39F20E"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D07F02F" w14:textId="77777777" w:rsidR="00412798" w:rsidRPr="007424E0" w:rsidRDefault="00412798" w:rsidP="000F6D48">
            <w:pPr>
              <w:pStyle w:val="paragraph"/>
              <w:spacing w:before="0" w:beforeAutospacing="0" w:after="0" w:afterAutospacing="0"/>
              <w:ind w:left="720"/>
              <w:textAlignment w:val="baseline"/>
              <w:rPr>
                <w:sz w:val="20"/>
                <w:szCs w:val="20"/>
              </w:rPr>
            </w:pPr>
            <w:r w:rsidRPr="007424E0">
              <w:rPr>
                <w:rStyle w:val="normaltextrun"/>
                <w:i/>
                <w:iCs/>
                <w:sz w:val="20"/>
                <w:szCs w:val="20"/>
              </w:rPr>
              <w:t xml:space="preserve">“Applications eligible for the above points are also eligible for any or </w:t>
            </w:r>
            <w:r w:rsidRPr="007424E0">
              <w:rPr>
                <w:rStyle w:val="advancedproofingissue"/>
                <w:i/>
                <w:iCs/>
                <w:sz w:val="20"/>
                <w:szCs w:val="20"/>
              </w:rPr>
              <w:t>all of</w:t>
            </w:r>
            <w:r w:rsidRPr="007424E0">
              <w:rPr>
                <w:rStyle w:val="normaltextrun"/>
                <w:i/>
                <w:iCs/>
                <w:sz w:val="20"/>
                <w:szCs w:val="20"/>
              </w:rPr>
              <w:t xml:space="preserve"> the following:</w:t>
            </w:r>
            <w:r w:rsidRPr="007424E0">
              <w:rPr>
                <w:rStyle w:val="eop"/>
                <w:sz w:val="20"/>
                <w:szCs w:val="20"/>
              </w:rPr>
              <w:t> </w:t>
            </w:r>
          </w:p>
          <w:p w14:paraId="54960088" w14:textId="77777777" w:rsidR="00412798" w:rsidRPr="007424E0" w:rsidRDefault="00412798" w:rsidP="000F6D48">
            <w:pPr>
              <w:pStyle w:val="paragraph"/>
              <w:numPr>
                <w:ilvl w:val="0"/>
                <w:numId w:val="9"/>
              </w:numPr>
              <w:spacing w:before="0" w:beforeAutospacing="0" w:after="0" w:afterAutospacing="0"/>
              <w:ind w:left="2160" w:firstLine="0"/>
              <w:textAlignment w:val="baseline"/>
              <w:rPr>
                <w:sz w:val="20"/>
                <w:szCs w:val="20"/>
              </w:rPr>
            </w:pPr>
            <w:r w:rsidRPr="007424E0">
              <w:rPr>
                <w:rStyle w:val="normaltextrun"/>
                <w:b/>
                <w:bCs/>
                <w:i/>
                <w:iCs/>
                <w:sz w:val="20"/>
                <w:szCs w:val="20"/>
              </w:rPr>
              <w:t>One (1) additional point</w:t>
            </w:r>
            <w:r w:rsidRPr="007424E0">
              <w:rPr>
                <w:rStyle w:val="normaltextrun"/>
                <w:i/>
                <w:iCs/>
                <w:sz w:val="20"/>
                <w:szCs w:val="20"/>
              </w:rPr>
              <w:t xml:space="preserve"> if the Local Government demonstrates financial commitment to advancing the CRP in the form of funds raised, funds allocated, tax incentives, or local government fee waivers. Funds raised or allocated are only eligible for this point if the amount would be eligible for at least one (1) point under subsection </w:t>
            </w:r>
            <w:r w:rsidRPr="007424E0">
              <w:rPr>
                <w:rStyle w:val="normaltextrun"/>
                <w:sz w:val="20"/>
                <w:szCs w:val="20"/>
              </w:rPr>
              <w:t>B. Third-Party Capital Investment</w:t>
            </w:r>
            <w:r w:rsidRPr="007424E0">
              <w:rPr>
                <w:rStyle w:val="normaltextrun"/>
                <w:i/>
                <w:iCs/>
                <w:sz w:val="20"/>
                <w:szCs w:val="20"/>
              </w:rPr>
              <w:t>.”</w:t>
            </w:r>
            <w:r w:rsidRPr="007424E0">
              <w:rPr>
                <w:rStyle w:val="eop"/>
                <w:sz w:val="20"/>
                <w:szCs w:val="20"/>
              </w:rPr>
              <w:t> </w:t>
            </w:r>
          </w:p>
          <w:p w14:paraId="199F49D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EE13858" w14:textId="77777777" w:rsidR="00412798" w:rsidRPr="007424E0" w:rsidRDefault="00412798" w:rsidP="000F6D48">
            <w:pPr>
              <w:pStyle w:val="paragraph"/>
              <w:spacing w:before="0" w:beforeAutospacing="0" w:after="0" w:afterAutospacing="0"/>
              <w:textAlignment w:val="baseline"/>
              <w:rPr>
                <w:rStyle w:val="normaltextrun"/>
                <w:sz w:val="20"/>
                <w:szCs w:val="20"/>
              </w:rPr>
            </w:pPr>
            <w:r w:rsidRPr="007424E0">
              <w:rPr>
                <w:rStyle w:val="normaltextrun"/>
                <w:sz w:val="20"/>
                <w:szCs w:val="20"/>
              </w:rPr>
              <w:lastRenderedPageBreak/>
              <w:t xml:space="preserve">To be eligible for this point, just the </w:t>
            </w:r>
            <w:r w:rsidRPr="007424E0">
              <w:rPr>
                <w:rStyle w:val="normaltextrun"/>
                <w:sz w:val="20"/>
                <w:szCs w:val="20"/>
                <w:u w:val="single"/>
              </w:rPr>
              <w:t>amount</w:t>
            </w:r>
            <w:r w:rsidRPr="007424E0">
              <w:rPr>
                <w:rStyle w:val="normaltextrun"/>
                <w:sz w:val="20"/>
                <w:szCs w:val="20"/>
              </w:rPr>
              <w:t xml:space="preserve"> of funds raised or allocated must be eligible for at least one (1) point under subsection </w:t>
            </w:r>
            <w:r w:rsidRPr="007424E0">
              <w:rPr>
                <w:rStyle w:val="normaltextrun"/>
                <w:i/>
                <w:iCs/>
                <w:sz w:val="20"/>
                <w:szCs w:val="20"/>
              </w:rPr>
              <w:t>B. Third-Party Capital Investment</w:t>
            </w:r>
            <w:r w:rsidRPr="007424E0">
              <w:rPr>
                <w:rStyle w:val="normaltextrun"/>
                <w:sz w:val="20"/>
                <w:szCs w:val="20"/>
              </w:rPr>
              <w:t>. The Local Government financial commitment must advance the CRP but is not required to occur within 0.5-mile radius of the proposed site.</w:t>
            </w:r>
            <w:r w:rsidRPr="007424E0">
              <w:rPr>
                <w:rStyle w:val="eop"/>
                <w:sz w:val="20"/>
                <w:szCs w:val="20"/>
              </w:rPr>
              <w:t> </w:t>
            </w:r>
          </w:p>
        </w:tc>
      </w:tr>
      <w:tr w:rsidR="00412798" w:rsidRPr="007424E0" w14:paraId="23A265B0" w14:textId="77777777" w:rsidTr="64301FE8">
        <w:trPr>
          <w:jc w:val="center"/>
        </w:trPr>
        <w:tc>
          <w:tcPr>
            <w:tcW w:w="1697" w:type="dxa"/>
            <w:shd w:val="clear" w:color="auto" w:fill="auto"/>
            <w:tcMar>
              <w:top w:w="72" w:type="dxa"/>
              <w:left w:w="115" w:type="dxa"/>
              <w:bottom w:w="72" w:type="dxa"/>
              <w:right w:w="115" w:type="dxa"/>
            </w:tcMar>
            <w:vAlign w:val="center"/>
          </w:tcPr>
          <w:p w14:paraId="08A0B360"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3/9/22</w:t>
            </w:r>
          </w:p>
        </w:tc>
        <w:tc>
          <w:tcPr>
            <w:tcW w:w="2663" w:type="dxa"/>
            <w:shd w:val="clear" w:color="auto" w:fill="auto"/>
            <w:tcMar>
              <w:top w:w="72" w:type="dxa"/>
              <w:left w:w="115" w:type="dxa"/>
              <w:bottom w:w="72" w:type="dxa"/>
              <w:right w:w="115" w:type="dxa"/>
            </w:tcMar>
            <w:vAlign w:val="center"/>
          </w:tcPr>
          <w:p w14:paraId="180E132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2.03</w:t>
            </w:r>
          </w:p>
          <w:p w14:paraId="6F01E8F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3752C96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Tenancy Characteristics</w:t>
            </w:r>
          </w:p>
        </w:tc>
        <w:tc>
          <w:tcPr>
            <w:tcW w:w="9585" w:type="dxa"/>
            <w:shd w:val="clear" w:color="auto" w:fill="auto"/>
            <w:tcMar>
              <w:top w:w="72" w:type="dxa"/>
              <w:left w:w="115" w:type="dxa"/>
              <w:bottom w:w="72" w:type="dxa"/>
              <w:right w:w="115" w:type="dxa"/>
            </w:tcMar>
            <w:vAlign w:val="center"/>
          </w:tcPr>
          <w:p w14:paraId="7E0582D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Q1222_01 </w:t>
            </w:r>
          </w:p>
          <w:p w14:paraId="3479F0D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Can a project have both Family and Elderly tenancy, with a small portion of units set aside for Elderly? </w:t>
            </w:r>
          </w:p>
          <w:p w14:paraId="451A17F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1515413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B74559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QAP states in </w:t>
            </w:r>
            <w:r w:rsidRPr="007424E0">
              <w:rPr>
                <w:rFonts w:ascii="Times New Roman" w:eastAsia="Times New Roman" w:hAnsi="Times New Roman" w:cs="Times New Roman"/>
                <w:b/>
                <w:bCs/>
                <w:sz w:val="20"/>
                <w:szCs w:val="20"/>
              </w:rPr>
              <w:t>Threshold, Tenancy Characteristics</w:t>
            </w:r>
            <w:r w:rsidRPr="007424E0">
              <w:rPr>
                <w:rFonts w:ascii="Times New Roman" w:eastAsia="Times New Roman" w:hAnsi="Times New Roman" w:cs="Times New Roman"/>
                <w:sz w:val="20"/>
                <w:szCs w:val="20"/>
              </w:rPr>
              <w:t>: </w:t>
            </w:r>
          </w:p>
          <w:p w14:paraId="6905586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0D1E3920" w14:textId="77777777" w:rsidR="00412798" w:rsidRPr="007424E0" w:rsidRDefault="00412798" w:rsidP="000F6D48">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w:t>
            </w:r>
            <w:r w:rsidRPr="007424E0">
              <w:rPr>
                <w:rFonts w:ascii="Times New Roman" w:eastAsia="Times New Roman" w:hAnsi="Times New Roman" w:cs="Times New Roman"/>
                <w:i/>
                <w:iCs/>
                <w:sz w:val="20"/>
                <w:szCs w:val="20"/>
              </w:rPr>
              <w:t>All Applicants must designate the proposed development as targeting one of the following tenancies [Family, Senior (Elderly or Housing for Older Persons), Other].”</w:t>
            </w:r>
            <w:r w:rsidRPr="007424E0">
              <w:rPr>
                <w:rFonts w:ascii="Times New Roman" w:eastAsia="Times New Roman" w:hAnsi="Times New Roman" w:cs="Times New Roman"/>
                <w:sz w:val="20"/>
                <w:szCs w:val="20"/>
              </w:rPr>
              <w:t> </w:t>
            </w:r>
          </w:p>
          <w:p w14:paraId="5B8226D6" w14:textId="77777777" w:rsidR="00412798" w:rsidRPr="007424E0" w:rsidRDefault="00412798" w:rsidP="000F6D48">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2B18D20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Applicants must select one tenancy per a</w:t>
            </w:r>
            <w:r w:rsidRPr="007424E0">
              <w:rPr>
                <w:rFonts w:ascii="Times New Roman" w:hAnsi="Times New Roman" w:cs="Times New Roman"/>
                <w:sz w:val="20"/>
                <w:szCs w:val="20"/>
              </w:rPr>
              <w:t>pplication</w:t>
            </w:r>
            <w:r w:rsidRPr="007424E0">
              <w:rPr>
                <w:rFonts w:ascii="Times New Roman" w:eastAsia="Times New Roman" w:hAnsi="Times New Roman" w:cs="Times New Roman"/>
                <w:sz w:val="20"/>
                <w:szCs w:val="20"/>
              </w:rPr>
              <w:t>. </w:t>
            </w:r>
          </w:p>
          <w:p w14:paraId="723D70A3"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p>
          <w:p w14:paraId="3A171C38"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Style w:val="normaltextrun"/>
                <w:rFonts w:ascii="Times New Roman" w:eastAsia="Times New Roman" w:hAnsi="Times New Roman" w:cs="Times New Roman"/>
                <w:sz w:val="20"/>
                <w:szCs w:val="20"/>
              </w:rPr>
              <w:t>Included in this question was the comment that “[This tenancy circumstance] is not contemplated within the current QAP but was common on some projects a few decades ago.” DCA has logged this public input for purposes of 2023 QAP policy development.</w:t>
            </w:r>
          </w:p>
        </w:tc>
      </w:tr>
      <w:tr w:rsidR="00412798" w:rsidRPr="007424E0" w14:paraId="1FB97884" w14:textId="77777777" w:rsidTr="64301FE8">
        <w:trPr>
          <w:jc w:val="center"/>
        </w:trPr>
        <w:tc>
          <w:tcPr>
            <w:tcW w:w="1697" w:type="dxa"/>
            <w:shd w:val="clear" w:color="auto" w:fill="auto"/>
            <w:tcMar>
              <w:top w:w="72" w:type="dxa"/>
              <w:left w:w="115" w:type="dxa"/>
              <w:bottom w:w="72" w:type="dxa"/>
              <w:right w:w="115" w:type="dxa"/>
            </w:tcMar>
            <w:vAlign w:val="center"/>
          </w:tcPr>
          <w:p w14:paraId="2823E682"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3/9/22</w:t>
            </w:r>
          </w:p>
        </w:tc>
        <w:tc>
          <w:tcPr>
            <w:tcW w:w="2663" w:type="dxa"/>
            <w:shd w:val="clear" w:color="auto" w:fill="auto"/>
            <w:tcMar>
              <w:top w:w="72" w:type="dxa"/>
              <w:left w:w="115" w:type="dxa"/>
              <w:bottom w:w="72" w:type="dxa"/>
              <w:right w:w="115" w:type="dxa"/>
            </w:tcMar>
            <w:vAlign w:val="center"/>
          </w:tcPr>
          <w:p w14:paraId="044ECD5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2.20 </w:t>
            </w:r>
          </w:p>
          <w:p w14:paraId="5E283A5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48536DE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Experience, Capacity, and Performance Requirements for General Partner and Developer Entities</w:t>
            </w:r>
          </w:p>
          <w:p w14:paraId="43AD1821" w14:textId="77777777" w:rsidR="00412798" w:rsidRPr="007424E0" w:rsidRDefault="00412798" w:rsidP="000F6D48">
            <w:pPr>
              <w:rPr>
                <w:rFonts w:ascii="Times New Roman" w:hAnsi="Times New Roman" w:cs="Times New Roman"/>
                <w:sz w:val="20"/>
                <w:szCs w:val="20"/>
              </w:rPr>
            </w:pPr>
          </w:p>
          <w:p w14:paraId="62838D91" w14:textId="77777777" w:rsidR="00412798" w:rsidRPr="007424E0" w:rsidRDefault="00412798" w:rsidP="000F6D48">
            <w:pPr>
              <w:rPr>
                <w:rFonts w:ascii="Times New Roman" w:hAnsi="Times New Roman" w:cs="Times New Roman"/>
                <w:sz w:val="20"/>
                <w:szCs w:val="20"/>
              </w:rPr>
            </w:pPr>
          </w:p>
          <w:p w14:paraId="6BDADCD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(also 3.17 Scoring; Minority- and Women-Owned Business Engagement)</w:t>
            </w:r>
          </w:p>
        </w:tc>
        <w:tc>
          <w:tcPr>
            <w:tcW w:w="9585" w:type="dxa"/>
            <w:shd w:val="clear" w:color="auto" w:fill="auto"/>
            <w:tcMar>
              <w:top w:w="72" w:type="dxa"/>
              <w:left w:w="115" w:type="dxa"/>
              <w:bottom w:w="72" w:type="dxa"/>
              <w:right w:w="115" w:type="dxa"/>
            </w:tcMar>
            <w:vAlign w:val="center"/>
          </w:tcPr>
          <w:p w14:paraId="4658581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Q22_0309_05</w:t>
            </w:r>
            <w:r w:rsidRPr="007424E0">
              <w:rPr>
                <w:rStyle w:val="eop"/>
                <w:sz w:val="20"/>
                <w:szCs w:val="20"/>
              </w:rPr>
              <w:t> </w:t>
            </w:r>
          </w:p>
          <w:p w14:paraId="4639292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9ED789E" w14:textId="77777777" w:rsidR="00412798" w:rsidRPr="007424E0" w:rsidRDefault="00412798" w:rsidP="000F6D48">
            <w:pPr>
              <w:pStyle w:val="paragraph"/>
              <w:numPr>
                <w:ilvl w:val="0"/>
                <w:numId w:val="8"/>
              </w:numPr>
              <w:spacing w:before="0" w:beforeAutospacing="0" w:after="0" w:afterAutospacing="0"/>
              <w:ind w:left="1080" w:firstLine="0"/>
              <w:textAlignment w:val="baseline"/>
              <w:rPr>
                <w:rFonts w:eastAsia="MS Mincho"/>
                <w:sz w:val="20"/>
                <w:szCs w:val="20"/>
              </w:rPr>
            </w:pPr>
            <w:r w:rsidRPr="007424E0">
              <w:rPr>
                <w:rStyle w:val="normaltextrun"/>
                <w:rFonts w:eastAsia="MS Mincho"/>
                <w:sz w:val="20"/>
                <w:szCs w:val="20"/>
              </w:rPr>
              <w:t>Can you provide some examples of the "evidence" of full-time employment and material participation in successful Tax Credit projects that an MBE needs to provide to qualify under Probationary Participation. If the MBE developer gained experience as an employee at another development company, then the Partnership documents, etc. would not reflect their material contribution. Can the developer provide a letter from their prior employer?</w:t>
            </w:r>
            <w:r w:rsidRPr="007424E0">
              <w:rPr>
                <w:rStyle w:val="scxw67467753"/>
                <w:rFonts w:eastAsia="MS Mincho"/>
                <w:sz w:val="20"/>
                <w:szCs w:val="20"/>
              </w:rPr>
              <w:t> </w:t>
            </w:r>
            <w:r w:rsidRPr="007424E0">
              <w:rPr>
                <w:rFonts w:eastAsia="MS Mincho"/>
                <w:sz w:val="20"/>
                <w:szCs w:val="20"/>
              </w:rPr>
              <w:br/>
            </w:r>
            <w:r w:rsidRPr="007424E0">
              <w:rPr>
                <w:rStyle w:val="eop"/>
                <w:rFonts w:eastAsia="MS Mincho"/>
                <w:sz w:val="20"/>
                <w:szCs w:val="20"/>
              </w:rPr>
              <w:t> </w:t>
            </w:r>
          </w:p>
          <w:p w14:paraId="46391400" w14:textId="77777777" w:rsidR="00412798" w:rsidRPr="007424E0" w:rsidRDefault="00412798" w:rsidP="000F6D48">
            <w:pPr>
              <w:pStyle w:val="paragraph"/>
              <w:numPr>
                <w:ilvl w:val="0"/>
                <w:numId w:val="8"/>
              </w:numPr>
              <w:spacing w:before="0" w:beforeAutospacing="0" w:after="0" w:afterAutospacing="0"/>
              <w:ind w:left="1080" w:firstLine="0"/>
              <w:textAlignment w:val="baseline"/>
              <w:rPr>
                <w:rFonts w:eastAsia="MS Mincho"/>
                <w:sz w:val="20"/>
                <w:szCs w:val="20"/>
              </w:rPr>
            </w:pPr>
            <w:r w:rsidRPr="007424E0">
              <w:rPr>
                <w:rStyle w:val="normaltextrun"/>
                <w:rFonts w:eastAsia="MS Mincho"/>
                <w:sz w:val="20"/>
                <w:szCs w:val="20"/>
              </w:rPr>
              <w:t>What type of evidence is acceptable to show that I have participated in successful Tax Credit deals? Some of my work was with another development company that I no longer work for. Will a letter from my prior employer be acceptable?</w:t>
            </w:r>
            <w:r w:rsidRPr="007424E0">
              <w:rPr>
                <w:rStyle w:val="eop"/>
                <w:rFonts w:eastAsia="MS Mincho"/>
                <w:sz w:val="20"/>
                <w:szCs w:val="20"/>
              </w:rPr>
              <w:t> </w:t>
            </w:r>
          </w:p>
          <w:p w14:paraId="16C10C3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6FF112C"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02428161"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 </w:t>
            </w:r>
            <w:r w:rsidRPr="007424E0">
              <w:rPr>
                <w:rStyle w:val="eop"/>
                <w:sz w:val="20"/>
                <w:szCs w:val="20"/>
              </w:rPr>
              <w:t> </w:t>
            </w:r>
          </w:p>
          <w:p w14:paraId="4C6A2926"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Please provide any evidence available to substantiate full-time employment and material participation. If DCA requires further evidence during the Pre-Application review, staff will reach out to solicit additional information. </w:t>
            </w:r>
            <w:r w:rsidRPr="007424E0">
              <w:rPr>
                <w:rStyle w:val="eop"/>
                <w:sz w:val="20"/>
                <w:szCs w:val="20"/>
              </w:rPr>
              <w:t> </w:t>
            </w:r>
          </w:p>
        </w:tc>
      </w:tr>
      <w:tr w:rsidR="00412798" w:rsidRPr="007424E0" w14:paraId="118AC34F" w14:textId="77777777" w:rsidTr="64301FE8">
        <w:trPr>
          <w:jc w:val="center"/>
        </w:trPr>
        <w:tc>
          <w:tcPr>
            <w:tcW w:w="1697" w:type="dxa"/>
            <w:shd w:val="clear" w:color="auto" w:fill="auto"/>
            <w:tcMar>
              <w:top w:w="72" w:type="dxa"/>
              <w:left w:w="115" w:type="dxa"/>
              <w:bottom w:w="72" w:type="dxa"/>
              <w:right w:w="115" w:type="dxa"/>
            </w:tcMar>
            <w:vAlign w:val="center"/>
          </w:tcPr>
          <w:p w14:paraId="2951250A"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3/9/22</w:t>
            </w:r>
          </w:p>
        </w:tc>
        <w:tc>
          <w:tcPr>
            <w:tcW w:w="2663" w:type="dxa"/>
            <w:shd w:val="clear" w:color="auto" w:fill="auto"/>
            <w:tcMar>
              <w:top w:w="72" w:type="dxa"/>
              <w:left w:w="115" w:type="dxa"/>
              <w:bottom w:w="72" w:type="dxa"/>
              <w:right w:w="115" w:type="dxa"/>
            </w:tcMar>
            <w:vAlign w:val="center"/>
          </w:tcPr>
          <w:p w14:paraId="2906B63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2.25</w:t>
            </w:r>
          </w:p>
          <w:p w14:paraId="018A388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lastRenderedPageBreak/>
              <w:t xml:space="preserve">Threshold Criteria; </w:t>
            </w:r>
          </w:p>
          <w:p w14:paraId="2EA82C66"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sz w:val="20"/>
                <w:szCs w:val="20"/>
              </w:rPr>
              <w:t>Occupied Developments</w:t>
            </w:r>
          </w:p>
        </w:tc>
        <w:tc>
          <w:tcPr>
            <w:tcW w:w="9585" w:type="dxa"/>
            <w:shd w:val="clear" w:color="auto" w:fill="auto"/>
            <w:tcMar>
              <w:top w:w="72" w:type="dxa"/>
              <w:left w:w="115" w:type="dxa"/>
              <w:bottom w:w="72" w:type="dxa"/>
              <w:right w:w="115" w:type="dxa"/>
            </w:tcMar>
            <w:vAlign w:val="center"/>
          </w:tcPr>
          <w:p w14:paraId="04BC213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lastRenderedPageBreak/>
              <w:t>Question</w:t>
            </w:r>
            <w:r w:rsidRPr="007424E0">
              <w:rPr>
                <w:rFonts w:ascii="Times New Roman" w:eastAsia="Times New Roman" w:hAnsi="Times New Roman" w:cs="Times New Roman"/>
                <w:sz w:val="20"/>
                <w:szCs w:val="20"/>
              </w:rPr>
              <w:t>: Q22_0304_45 </w:t>
            </w:r>
          </w:p>
          <w:p w14:paraId="4053305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lastRenderedPageBreak/>
              <w:t>Page 40 of the 2022 Relocation Manual says that the "Initiation of Negotiation" date for LIHTC-only developments is the date the Applicant executes the Limited Partnership Agreement. Can you please confirm this is the date of the Amended and Restated Agreement when the property is syndicated? </w:t>
            </w:r>
          </w:p>
          <w:p w14:paraId="5272EE6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1E31F28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7D32664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Yes, this is the date of the Amended and Restated Agreement when the property is syndicated. </w:t>
            </w:r>
          </w:p>
        </w:tc>
      </w:tr>
      <w:tr w:rsidR="00412798" w:rsidRPr="007424E0" w14:paraId="4AC997CC" w14:textId="77777777" w:rsidTr="64301FE8">
        <w:trPr>
          <w:jc w:val="center"/>
        </w:trPr>
        <w:tc>
          <w:tcPr>
            <w:tcW w:w="1697" w:type="dxa"/>
            <w:shd w:val="clear" w:color="auto" w:fill="auto"/>
            <w:tcMar>
              <w:top w:w="72" w:type="dxa"/>
              <w:left w:w="115" w:type="dxa"/>
              <w:bottom w:w="72" w:type="dxa"/>
              <w:right w:w="115" w:type="dxa"/>
            </w:tcMar>
            <w:vAlign w:val="center"/>
          </w:tcPr>
          <w:p w14:paraId="13735796"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3/9/22</w:t>
            </w:r>
          </w:p>
        </w:tc>
        <w:tc>
          <w:tcPr>
            <w:tcW w:w="2663" w:type="dxa"/>
            <w:shd w:val="clear" w:color="auto" w:fill="auto"/>
            <w:tcMar>
              <w:top w:w="72" w:type="dxa"/>
              <w:left w:w="115" w:type="dxa"/>
              <w:bottom w:w="72" w:type="dxa"/>
              <w:right w:w="115" w:type="dxa"/>
            </w:tcMar>
            <w:vAlign w:val="center"/>
          </w:tcPr>
          <w:p w14:paraId="4AF3DD9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2.28</w:t>
            </w:r>
          </w:p>
          <w:p w14:paraId="0888203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69482F8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DCA Underwriting Policies</w:t>
            </w:r>
          </w:p>
        </w:tc>
        <w:tc>
          <w:tcPr>
            <w:tcW w:w="9585" w:type="dxa"/>
            <w:shd w:val="clear" w:color="auto" w:fill="auto"/>
            <w:tcMar>
              <w:top w:w="72" w:type="dxa"/>
              <w:left w:w="115" w:type="dxa"/>
              <w:bottom w:w="72" w:type="dxa"/>
              <w:right w:w="115" w:type="dxa"/>
            </w:tcMar>
            <w:vAlign w:val="center"/>
          </w:tcPr>
          <w:p w14:paraId="11541035"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Q22_0309_01 </w:t>
            </w:r>
          </w:p>
          <w:p w14:paraId="60FE83A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(Threshold Criteria) DCA Underwriting Policies</w:t>
            </w:r>
            <w:r w:rsidRPr="007424E0">
              <w:rPr>
                <w:rFonts w:ascii="Times New Roman" w:eastAsia="Times New Roman" w:hAnsi="Times New Roman" w:cs="Times New Roman"/>
                <w:sz w:val="20"/>
                <w:szCs w:val="20"/>
              </w:rPr>
              <w:t xml:space="preserve">: requirement </w:t>
            </w:r>
            <w:r w:rsidRPr="007424E0">
              <w:rPr>
                <w:rFonts w:ascii="Times New Roman" w:eastAsia="Times New Roman" w:hAnsi="Times New Roman" w:cs="Times New Roman"/>
                <w:b/>
                <w:bCs/>
                <w:sz w:val="20"/>
                <w:szCs w:val="20"/>
              </w:rPr>
              <w:t>11. Distribution across Unit / Bedroom Sizes</w:t>
            </w:r>
            <w:r w:rsidRPr="007424E0">
              <w:rPr>
                <w:rFonts w:ascii="Times New Roman" w:eastAsia="Times New Roman" w:hAnsi="Times New Roman" w:cs="Times New Roman"/>
                <w:sz w:val="20"/>
                <w:szCs w:val="20"/>
              </w:rPr>
              <w:t>: "a) Rent. Projects with a multi-tiered rent structure must distribute the rents across unit sizes, unit types and buildings. These units need not be fixed, but may float in the same way high HOME rent and low HOME rent units may float within a project so long as the units and interior amenities are comparable." </w:t>
            </w:r>
          </w:p>
          <w:p w14:paraId="1F0D01D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510D92F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Can DCA confirm if this section is only applicable to Income Average unit mixes, or might it also apply to standard 40/60 deals as well?  For instance, if a 40/60 set-aside deal has x-number of units set aside at 60% AMI and x-number of units as market rate, would this distribution requirement apply, considering the combination of 60% units and market rate might be considered a "muti-tiered rent structure".  Likewise, considering a 40/60 set-aside deal that has elected deeper targeting to 58% overall, and has x-number of units at 60% AMI and x-number of units at 50% AMI, would the 60% and 50% units in this scenario be subject to this distribution requirement, as this might be considered a "multi-tiered rent structure"?  </w:t>
            </w:r>
          </w:p>
          <w:p w14:paraId="10CAF39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54F042C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Is a Pre-Application waiver for Distribution Across Unit / Bedroom Sizes only necessary if the applicant is electing an Income Average set-aside and the unit mix difference between the proposed and exact units is not within 2 units? </w:t>
            </w:r>
          </w:p>
          <w:p w14:paraId="203F5C8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9CCBD3F"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7E84E171" w14:textId="77777777" w:rsidR="00412798" w:rsidRPr="007424E0" w:rsidRDefault="00412798" w:rsidP="000F6D48">
            <w:pPr>
              <w:textAlignment w:val="baseline"/>
              <w:rPr>
                <w:rStyle w:val="normaltextrun"/>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above-referenced requirement for “Projects with a multi-tiered rent structure” only applies to applications electing the Average Income Set Aside. See DCA’s Average Income Policy for more information (</w:t>
            </w:r>
            <w:hyperlink r:id="rId57" w:tgtFrame="_blank" w:history="1">
              <w:r w:rsidRPr="007424E0">
                <w:rPr>
                  <w:rFonts w:ascii="Times New Roman" w:eastAsia="Times New Roman" w:hAnsi="Times New Roman" w:cs="Times New Roman"/>
                  <w:sz w:val="20"/>
                  <w:szCs w:val="20"/>
                  <w:u w:val="single"/>
                </w:rPr>
                <w:t>click here</w:t>
              </w:r>
            </w:hyperlink>
            <w:r w:rsidRPr="007424E0">
              <w:rPr>
                <w:rFonts w:ascii="Times New Roman" w:eastAsia="Times New Roman" w:hAnsi="Times New Roman" w:cs="Times New Roman"/>
                <w:sz w:val="20"/>
                <w:szCs w:val="20"/>
              </w:rPr>
              <w:t xml:space="preserve"> for DCA’s Compliance Monitoring homepage, visit the “Tax Credit” page, download “</w:t>
            </w:r>
            <w:r w:rsidRPr="007424E0">
              <w:rPr>
                <w:rFonts w:ascii="Times New Roman" w:eastAsia="Times New Roman" w:hAnsi="Times New Roman" w:cs="Times New Roman"/>
                <w:b/>
                <w:bCs/>
                <w:sz w:val="20"/>
                <w:szCs w:val="20"/>
              </w:rPr>
              <w:t>DCA's Average Income Policy (updated 2021)</w:t>
            </w:r>
            <w:r w:rsidRPr="007424E0">
              <w:rPr>
                <w:rFonts w:ascii="Times New Roman" w:eastAsia="Times New Roman" w:hAnsi="Times New Roman" w:cs="Times New Roman"/>
                <w:sz w:val="20"/>
                <w:szCs w:val="20"/>
              </w:rPr>
              <w:t xml:space="preserve">, and view subsection </w:t>
            </w:r>
            <w:r w:rsidRPr="007424E0">
              <w:rPr>
                <w:rFonts w:ascii="Times New Roman" w:eastAsia="Times New Roman" w:hAnsi="Times New Roman" w:cs="Times New Roman"/>
                <w:b/>
                <w:bCs/>
                <w:sz w:val="20"/>
                <w:szCs w:val="20"/>
              </w:rPr>
              <w:t>B. DCA adopted requirements and interpretations</w:t>
            </w:r>
            <w:r w:rsidRPr="007424E0">
              <w:rPr>
                <w:rFonts w:ascii="Times New Roman" w:eastAsia="Times New Roman" w:hAnsi="Times New Roman" w:cs="Times New Roman"/>
                <w:sz w:val="20"/>
                <w:szCs w:val="20"/>
              </w:rPr>
              <w:t>”). </w:t>
            </w:r>
          </w:p>
        </w:tc>
      </w:tr>
      <w:tr w:rsidR="00412798" w:rsidRPr="007424E0" w14:paraId="579485DE" w14:textId="77777777" w:rsidTr="64301FE8">
        <w:trPr>
          <w:jc w:val="center"/>
        </w:trPr>
        <w:tc>
          <w:tcPr>
            <w:tcW w:w="1697" w:type="dxa"/>
            <w:shd w:val="clear" w:color="auto" w:fill="auto"/>
            <w:tcMar>
              <w:top w:w="72" w:type="dxa"/>
              <w:left w:w="115" w:type="dxa"/>
              <w:bottom w:w="72" w:type="dxa"/>
              <w:right w:w="115" w:type="dxa"/>
            </w:tcMar>
            <w:vAlign w:val="center"/>
          </w:tcPr>
          <w:p w14:paraId="32D14EBE"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3/8/22</w:t>
            </w:r>
          </w:p>
        </w:tc>
        <w:tc>
          <w:tcPr>
            <w:tcW w:w="2663" w:type="dxa"/>
            <w:shd w:val="clear" w:color="auto" w:fill="auto"/>
            <w:tcMar>
              <w:top w:w="72" w:type="dxa"/>
              <w:left w:w="115" w:type="dxa"/>
              <w:bottom w:w="72" w:type="dxa"/>
              <w:right w:w="115" w:type="dxa"/>
            </w:tcMar>
            <w:vAlign w:val="center"/>
          </w:tcPr>
          <w:p w14:paraId="22C69C8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2.25</w:t>
            </w:r>
          </w:p>
          <w:p w14:paraId="386EAD4C"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Threshold Criteria; </w:t>
            </w:r>
          </w:p>
          <w:p w14:paraId="08FB0B7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Occupied Developments</w:t>
            </w:r>
          </w:p>
        </w:tc>
        <w:tc>
          <w:tcPr>
            <w:tcW w:w="9585" w:type="dxa"/>
            <w:shd w:val="clear" w:color="auto" w:fill="auto"/>
            <w:tcMar>
              <w:top w:w="72" w:type="dxa"/>
              <w:left w:w="115" w:type="dxa"/>
              <w:bottom w:w="72" w:type="dxa"/>
              <w:right w:w="115" w:type="dxa"/>
            </w:tcMar>
            <w:vAlign w:val="center"/>
          </w:tcPr>
          <w:p w14:paraId="21F27E76"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Q22_0302_03</w:t>
            </w:r>
          </w:p>
          <w:p w14:paraId="6EEA463D"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In the 2022 Supplemental Pre-Application workbook (</w:t>
            </w:r>
            <w:hyperlink r:id="rId58" w:history="1">
              <w:r w:rsidRPr="007424E0">
                <w:rPr>
                  <w:rStyle w:val="Hyperlink"/>
                  <w:rFonts w:ascii="Times New Roman" w:eastAsia="Times New Roman" w:hAnsi="Times New Roman" w:cs="Times New Roman"/>
                  <w:color w:val="auto"/>
                  <w:sz w:val="20"/>
                  <w:szCs w:val="20"/>
                </w:rPr>
                <w:t>click here</w:t>
              </w:r>
            </w:hyperlink>
            <w:r w:rsidRPr="007424E0">
              <w:rPr>
                <w:rFonts w:ascii="Times New Roman" w:eastAsia="Times New Roman" w:hAnsi="Times New Roman" w:cs="Times New Roman"/>
                <w:sz w:val="20"/>
                <w:szCs w:val="20"/>
              </w:rPr>
              <w:t xml:space="preserve">), a Relocation Summary tab is included. The Instructions tab of this workbook includes the following related language: </w:t>
            </w:r>
          </w:p>
          <w:p w14:paraId="2C95760B" w14:textId="77777777" w:rsidR="00412798" w:rsidRPr="007424E0" w:rsidRDefault="00412798" w:rsidP="000F6D48">
            <w:pPr>
              <w:rPr>
                <w:rFonts w:ascii="Times New Roman" w:eastAsia="Times New Roman" w:hAnsi="Times New Roman" w:cs="Times New Roman"/>
                <w:sz w:val="20"/>
                <w:szCs w:val="20"/>
              </w:rPr>
            </w:pPr>
          </w:p>
          <w:p w14:paraId="7CDE3C6A" w14:textId="77777777" w:rsidR="00412798" w:rsidRPr="007424E0" w:rsidRDefault="00412798" w:rsidP="000F6D48">
            <w:pPr>
              <w:ind w:left="720"/>
              <w:rPr>
                <w:rFonts w:ascii="Times New Roman" w:eastAsia="Times New Roman" w:hAnsi="Times New Roman" w:cs="Times New Roman"/>
                <w:i/>
                <w:iCs/>
                <w:sz w:val="20"/>
                <w:szCs w:val="20"/>
              </w:rPr>
            </w:pPr>
            <w:r w:rsidRPr="007424E0">
              <w:rPr>
                <w:rFonts w:ascii="Times New Roman" w:eastAsia="Times New Roman" w:hAnsi="Times New Roman" w:cs="Times New Roman"/>
                <w:i/>
                <w:iCs/>
                <w:sz w:val="20"/>
                <w:szCs w:val="20"/>
              </w:rPr>
              <w:t xml:space="preserve">"The Relocation Summary Form, for use only by applicants for Federal funding that have existing occupied residential buildings or businesses on the proposed site, is included in the excel workbook to be attached to your application on </w:t>
            </w:r>
            <w:proofErr w:type="spellStart"/>
            <w:r w:rsidRPr="007424E0">
              <w:rPr>
                <w:rFonts w:ascii="Times New Roman" w:eastAsia="Times New Roman" w:hAnsi="Times New Roman" w:cs="Times New Roman"/>
                <w:i/>
                <w:iCs/>
                <w:sz w:val="20"/>
                <w:szCs w:val="20"/>
              </w:rPr>
              <w:t>Emphasys</w:t>
            </w:r>
            <w:proofErr w:type="spellEnd"/>
            <w:r w:rsidRPr="007424E0">
              <w:rPr>
                <w:rFonts w:ascii="Times New Roman" w:eastAsia="Times New Roman" w:hAnsi="Times New Roman" w:cs="Times New Roman"/>
                <w:i/>
                <w:iCs/>
                <w:sz w:val="20"/>
                <w:szCs w:val="20"/>
              </w:rPr>
              <w:t>."</w:t>
            </w:r>
          </w:p>
          <w:p w14:paraId="74C0A617" w14:textId="77777777" w:rsidR="00412798" w:rsidRPr="007424E0" w:rsidRDefault="00412798" w:rsidP="000F6D48">
            <w:pPr>
              <w:rPr>
                <w:rFonts w:ascii="Times New Roman" w:eastAsia="Times New Roman" w:hAnsi="Times New Roman" w:cs="Times New Roman"/>
                <w:sz w:val="20"/>
                <w:szCs w:val="20"/>
              </w:rPr>
            </w:pPr>
          </w:p>
          <w:p w14:paraId="1DB0BCAA"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Can DCA confirm if it is necessary to complete this section if there is relocation involved, but there is no Federal funding involved (</w:t>
            </w:r>
            <w:proofErr w:type="spellStart"/>
            <w:r w:rsidRPr="007424E0">
              <w:rPr>
                <w:rFonts w:ascii="Times New Roman" w:eastAsia="Times New Roman" w:hAnsi="Times New Roman" w:cs="Times New Roman"/>
                <w:sz w:val="20"/>
                <w:szCs w:val="20"/>
              </w:rPr>
              <w:t>ie</w:t>
            </w:r>
            <w:proofErr w:type="spellEnd"/>
            <w:r w:rsidRPr="007424E0">
              <w:rPr>
                <w:rFonts w:ascii="Times New Roman" w:eastAsia="Times New Roman" w:hAnsi="Times New Roman" w:cs="Times New Roman"/>
                <w:sz w:val="20"/>
                <w:szCs w:val="20"/>
              </w:rPr>
              <w:t xml:space="preserve"> HOME, CDBG, etc.)?</w:t>
            </w:r>
          </w:p>
          <w:p w14:paraId="2042866C" w14:textId="77777777" w:rsidR="00412798" w:rsidRPr="007424E0" w:rsidRDefault="00412798" w:rsidP="000F6D48">
            <w:pPr>
              <w:contextualSpacing/>
              <w:rPr>
                <w:rFonts w:ascii="Times New Roman" w:hAnsi="Times New Roman" w:cs="Times New Roman"/>
                <w:sz w:val="20"/>
                <w:szCs w:val="20"/>
              </w:rPr>
            </w:pPr>
          </w:p>
          <w:p w14:paraId="332BADB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2DB3D5B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The 2022 QAP states under </w:t>
            </w:r>
            <w:r w:rsidRPr="007424E0">
              <w:rPr>
                <w:rFonts w:ascii="Times New Roman" w:hAnsi="Times New Roman" w:cs="Times New Roman"/>
                <w:b/>
                <w:bCs/>
                <w:sz w:val="20"/>
                <w:szCs w:val="20"/>
              </w:rPr>
              <w:t>(Threshold Criteria) Occupied Developments</w:t>
            </w:r>
            <w:r w:rsidRPr="007424E0">
              <w:rPr>
                <w:rFonts w:ascii="Times New Roman" w:hAnsi="Times New Roman" w:cs="Times New Roman"/>
                <w:sz w:val="20"/>
                <w:szCs w:val="20"/>
              </w:rPr>
              <w:t>, “</w:t>
            </w:r>
            <w:r w:rsidRPr="007424E0">
              <w:rPr>
                <w:rFonts w:ascii="Times New Roman" w:hAnsi="Times New Roman" w:cs="Times New Roman"/>
                <w:i/>
                <w:iCs/>
                <w:sz w:val="20"/>
                <w:szCs w:val="20"/>
              </w:rPr>
              <w:t>All proposed developments with residents and non-residential tenants on-site since the earlier of pre-application, three months prior to Application Submission, and application for federal funds (if applicable) must meet the application and documentation submission requirements below and in the 2022 DCA Relocation Manual.</w:t>
            </w:r>
            <w:r w:rsidRPr="007424E0">
              <w:rPr>
                <w:rFonts w:ascii="Times New Roman" w:hAnsi="Times New Roman" w:cs="Times New Roman"/>
                <w:sz w:val="20"/>
                <w:szCs w:val="20"/>
              </w:rPr>
              <w:t>”</w:t>
            </w:r>
          </w:p>
          <w:p w14:paraId="671B9D75" w14:textId="77777777" w:rsidR="00412798" w:rsidRPr="007424E0" w:rsidRDefault="00412798" w:rsidP="000F6D48">
            <w:pPr>
              <w:rPr>
                <w:rFonts w:ascii="Times New Roman" w:hAnsi="Times New Roman" w:cs="Times New Roman"/>
                <w:sz w:val="20"/>
                <w:szCs w:val="20"/>
              </w:rPr>
            </w:pPr>
          </w:p>
          <w:p w14:paraId="29747DA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For purposes of the 2022 Pre-Application process, all developments with structures onsite occupied by residents and non-residential tenants must complete the Relocation Summary tab, regardless of whether the application is for Housing Tax Credits only or also includes federal funding as a source.   </w:t>
            </w:r>
          </w:p>
          <w:p w14:paraId="75044115" w14:textId="77777777" w:rsidR="00412798" w:rsidRPr="007424E0" w:rsidRDefault="00412798" w:rsidP="000F6D48">
            <w:pPr>
              <w:rPr>
                <w:rFonts w:ascii="Times New Roman" w:hAnsi="Times New Roman" w:cs="Times New Roman"/>
                <w:sz w:val="20"/>
                <w:szCs w:val="20"/>
              </w:rPr>
            </w:pPr>
          </w:p>
          <w:p w14:paraId="3F41BA4A" w14:textId="77777777" w:rsidR="00412798" w:rsidRPr="007424E0" w:rsidRDefault="00412798" w:rsidP="000F6D48">
            <w:pPr>
              <w:contextualSpacing/>
              <w:rPr>
                <w:rFonts w:ascii="Times New Roman" w:hAnsi="Times New Roman" w:cs="Times New Roman"/>
                <w:b/>
                <w:bCs/>
                <w:sz w:val="20"/>
                <w:szCs w:val="20"/>
              </w:rPr>
            </w:pPr>
            <w:r w:rsidRPr="007424E0">
              <w:rPr>
                <w:rFonts w:ascii="Times New Roman" w:eastAsia="Times New Roman" w:hAnsi="Times New Roman" w:cs="Times New Roman"/>
                <w:sz w:val="20"/>
                <w:szCs w:val="20"/>
              </w:rPr>
              <w:t xml:space="preserve">An updated version of the </w:t>
            </w:r>
            <w:r w:rsidRPr="007424E0">
              <w:rPr>
                <w:rFonts w:ascii="Times New Roman" w:eastAsia="Times New Roman" w:hAnsi="Times New Roman" w:cs="Times New Roman"/>
                <w:i/>
                <w:iCs/>
                <w:sz w:val="20"/>
                <w:szCs w:val="20"/>
              </w:rPr>
              <w:t xml:space="preserve">2022 Supplemental Pre-Application </w:t>
            </w:r>
            <w:r w:rsidRPr="007424E0">
              <w:rPr>
                <w:rFonts w:ascii="Times New Roman" w:eastAsia="Times New Roman" w:hAnsi="Times New Roman" w:cs="Times New Roman"/>
                <w:sz w:val="20"/>
                <w:szCs w:val="20"/>
              </w:rPr>
              <w:t>form has been posted to the DCA website (</w:t>
            </w:r>
            <w:hyperlink r:id="rId59" w:history="1">
              <w:r w:rsidRPr="007424E0">
                <w:rPr>
                  <w:rStyle w:val="Hyperlink"/>
                  <w:rFonts w:ascii="Times New Roman" w:eastAsia="Times New Roman" w:hAnsi="Times New Roman" w:cs="Times New Roman"/>
                  <w:color w:val="auto"/>
                  <w:sz w:val="20"/>
                  <w:szCs w:val="20"/>
                </w:rPr>
                <w:t>click here</w:t>
              </w:r>
            </w:hyperlink>
            <w:r w:rsidRPr="007424E0">
              <w:rPr>
                <w:rFonts w:ascii="Times New Roman" w:eastAsia="Times New Roman" w:hAnsi="Times New Roman" w:cs="Times New Roman"/>
                <w:sz w:val="20"/>
                <w:szCs w:val="20"/>
              </w:rPr>
              <w:t>).</w:t>
            </w:r>
          </w:p>
        </w:tc>
      </w:tr>
      <w:tr w:rsidR="00412798" w:rsidRPr="007424E0" w14:paraId="49B0A043" w14:textId="77777777" w:rsidTr="64301FE8">
        <w:trPr>
          <w:jc w:val="center"/>
        </w:trPr>
        <w:tc>
          <w:tcPr>
            <w:tcW w:w="1697" w:type="dxa"/>
            <w:shd w:val="clear" w:color="auto" w:fill="auto"/>
            <w:tcMar>
              <w:top w:w="72" w:type="dxa"/>
              <w:left w:w="115" w:type="dxa"/>
              <w:bottom w:w="72" w:type="dxa"/>
              <w:right w:w="115" w:type="dxa"/>
            </w:tcMar>
            <w:vAlign w:val="center"/>
          </w:tcPr>
          <w:p w14:paraId="77E07F72"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3/8/22</w:t>
            </w:r>
          </w:p>
        </w:tc>
        <w:tc>
          <w:tcPr>
            <w:tcW w:w="2663" w:type="dxa"/>
            <w:shd w:val="clear" w:color="auto" w:fill="auto"/>
            <w:tcMar>
              <w:top w:w="72" w:type="dxa"/>
              <w:left w:w="115" w:type="dxa"/>
              <w:bottom w:w="72" w:type="dxa"/>
              <w:right w:w="115" w:type="dxa"/>
            </w:tcMar>
            <w:vAlign w:val="center"/>
          </w:tcPr>
          <w:p w14:paraId="7A86248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2.28</w:t>
            </w:r>
          </w:p>
          <w:p w14:paraId="073479CF"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0331AC2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DCA Underwriting Policies</w:t>
            </w:r>
          </w:p>
        </w:tc>
        <w:tc>
          <w:tcPr>
            <w:tcW w:w="9585" w:type="dxa"/>
            <w:shd w:val="clear" w:color="auto" w:fill="auto"/>
            <w:tcMar>
              <w:top w:w="72" w:type="dxa"/>
              <w:left w:w="115" w:type="dxa"/>
              <w:bottom w:w="72" w:type="dxa"/>
              <w:right w:w="115" w:type="dxa"/>
            </w:tcMar>
            <w:vAlign w:val="center"/>
          </w:tcPr>
          <w:p w14:paraId="23A71A1C"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Q1025_01</w:t>
            </w:r>
          </w:p>
          <w:p w14:paraId="5CA15CE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Regarding DCA Underwriting Policies: why can 100% Project-Based Section 8 projects not be underwritten at a 1.15 if lender and investor approves?</w:t>
            </w:r>
          </w:p>
          <w:p w14:paraId="35759AED" w14:textId="77777777" w:rsidR="00412798" w:rsidRPr="007424E0" w:rsidRDefault="00412798" w:rsidP="000F6D48">
            <w:pPr>
              <w:contextualSpacing/>
              <w:rPr>
                <w:rFonts w:ascii="Times New Roman" w:hAnsi="Times New Roman" w:cs="Times New Roman"/>
                <w:sz w:val="20"/>
                <w:szCs w:val="20"/>
              </w:rPr>
            </w:pPr>
          </w:p>
          <w:p w14:paraId="7BC558DA"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5CEE8C78" w14:textId="77777777" w:rsidR="00412798" w:rsidRPr="007424E0" w:rsidRDefault="00412798" w:rsidP="000F6D48">
            <w:pPr>
              <w:contextualSpacing/>
              <w:rPr>
                <w:rFonts w:ascii="Times New Roman" w:hAnsi="Times New Roman" w:cs="Times New Roman"/>
                <w:b/>
                <w:bCs/>
                <w:sz w:val="20"/>
                <w:szCs w:val="20"/>
              </w:rPr>
            </w:pPr>
            <w:r w:rsidRPr="007424E0">
              <w:rPr>
                <w:rFonts w:ascii="Times New Roman" w:hAnsi="Times New Roman" w:cs="Times New Roman"/>
                <w:sz w:val="20"/>
                <w:szCs w:val="20"/>
              </w:rPr>
              <w:t xml:space="preserve">The above question is referencing the following requirement in </w:t>
            </w:r>
            <w:r w:rsidRPr="007424E0">
              <w:rPr>
                <w:rFonts w:ascii="Times New Roman" w:hAnsi="Times New Roman" w:cs="Times New Roman"/>
                <w:b/>
                <w:bCs/>
                <w:sz w:val="20"/>
                <w:szCs w:val="20"/>
              </w:rPr>
              <w:t xml:space="preserve">(Threshold Criteria) DCA Underwriting Policies, 7. Debt Coverage Ratio (DCR): </w:t>
            </w:r>
            <w:r w:rsidRPr="007424E0">
              <w:rPr>
                <w:rFonts w:ascii="Times New Roman" w:hAnsi="Times New Roman" w:cs="Times New Roman"/>
                <w:sz w:val="20"/>
                <w:szCs w:val="20"/>
              </w:rPr>
              <w:t>“As part of its financial feasibility analysis, DCA will require that developments with debt meet, at a minimum, a 1.20 debt coverage ratio for each year of the Compliance Period for new construction and 1.25 for developments involving rehabilitation”</w:t>
            </w:r>
          </w:p>
          <w:p w14:paraId="468FB960" w14:textId="77777777" w:rsidR="00412798" w:rsidRPr="007424E0" w:rsidRDefault="00412798" w:rsidP="000F6D48">
            <w:pPr>
              <w:contextualSpacing/>
              <w:rPr>
                <w:rFonts w:ascii="Times New Roman" w:hAnsi="Times New Roman" w:cs="Times New Roman"/>
                <w:sz w:val="20"/>
                <w:szCs w:val="20"/>
              </w:rPr>
            </w:pPr>
          </w:p>
          <w:p w14:paraId="12C7734A"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DCA does not adjust the underwriting standards outlined in the QAP based on lender or investor requirements, except in certain circumstances outlined in QAP. For example, from the same above-referenced section: “</w:t>
            </w:r>
            <w:r w:rsidRPr="007424E0">
              <w:rPr>
                <w:rFonts w:ascii="Times New Roman" w:eastAsia="Calibri" w:hAnsi="Times New Roman" w:cs="Times New Roman"/>
                <w:i/>
                <w:iCs/>
                <w:sz w:val="20"/>
                <w:szCs w:val="20"/>
              </w:rPr>
              <w:t>DCA may waive its minimum debt coverage ratio for USDA 515 developments that clearly demonstrate feasibility, or reduce it to match other government program funding requirements provided that confirmation from the agency of the required DCR is included in their funding commitment.</w:t>
            </w:r>
            <w:r w:rsidRPr="007424E0">
              <w:rPr>
                <w:rFonts w:ascii="Times New Roman" w:eastAsia="Calibri" w:hAnsi="Times New Roman" w:cs="Times New Roman"/>
                <w:sz w:val="20"/>
                <w:szCs w:val="20"/>
              </w:rPr>
              <w:t>”</w:t>
            </w:r>
            <w:r w:rsidRPr="007424E0">
              <w:rPr>
                <w:rFonts w:ascii="Times New Roman" w:hAnsi="Times New Roman" w:cs="Times New Roman"/>
                <w:sz w:val="20"/>
                <w:szCs w:val="20"/>
              </w:rPr>
              <w:br/>
            </w:r>
          </w:p>
          <w:p w14:paraId="089EA87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Please note that requirements differ for applications without debt (from the same section as above): </w:t>
            </w:r>
            <w:r w:rsidRPr="007424E0">
              <w:rPr>
                <w:rFonts w:ascii="Times New Roman" w:eastAsia="Calibri" w:hAnsi="Times New Roman" w:cs="Times New Roman"/>
                <w:i/>
                <w:iCs/>
                <w:sz w:val="20"/>
                <w:szCs w:val="20"/>
              </w:rPr>
              <w:t xml:space="preserve">“Deals with no hard debt are allowed, but will be subject to additional scrutiny from DCA. Developments submitted with no hard debt will not have a DCR but will be required to undergo a subsidy layering review. This will be determined by a ratio of Effective Gross Income to Total Annual Expenses (including reserve for replacement). A ratio of 1.10 for </w:t>
            </w:r>
            <w:r w:rsidRPr="007424E0">
              <w:rPr>
                <w:rFonts w:ascii="Times New Roman" w:eastAsia="Calibri" w:hAnsi="Times New Roman" w:cs="Times New Roman"/>
                <w:i/>
                <w:iCs/>
                <w:sz w:val="20"/>
                <w:szCs w:val="20"/>
              </w:rPr>
              <w:lastRenderedPageBreak/>
              <w:t xml:space="preserve">new construction and 1.15 for developments involving rehabilitation is the minimum required to be considered feasible by DCA in Years 1-15.” </w:t>
            </w:r>
          </w:p>
        </w:tc>
      </w:tr>
      <w:tr w:rsidR="00412798" w:rsidRPr="007424E0" w14:paraId="09B97FAD" w14:textId="77777777" w:rsidTr="64301FE8">
        <w:trPr>
          <w:jc w:val="center"/>
        </w:trPr>
        <w:tc>
          <w:tcPr>
            <w:tcW w:w="1697" w:type="dxa"/>
            <w:shd w:val="clear" w:color="auto" w:fill="auto"/>
            <w:tcMar>
              <w:top w:w="72" w:type="dxa"/>
              <w:left w:w="115" w:type="dxa"/>
              <w:bottom w:w="72" w:type="dxa"/>
              <w:right w:w="115" w:type="dxa"/>
            </w:tcMar>
            <w:vAlign w:val="center"/>
          </w:tcPr>
          <w:p w14:paraId="1801006F"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3/8/22</w:t>
            </w:r>
          </w:p>
        </w:tc>
        <w:tc>
          <w:tcPr>
            <w:tcW w:w="2663" w:type="dxa"/>
            <w:shd w:val="clear" w:color="auto" w:fill="auto"/>
            <w:tcMar>
              <w:top w:w="72" w:type="dxa"/>
              <w:left w:w="115" w:type="dxa"/>
              <w:bottom w:w="72" w:type="dxa"/>
              <w:right w:w="115" w:type="dxa"/>
            </w:tcMar>
            <w:vAlign w:val="center"/>
          </w:tcPr>
          <w:p w14:paraId="797A70D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2.28</w:t>
            </w:r>
          </w:p>
          <w:p w14:paraId="69481C75"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0E78967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DCA Underwriting Policies</w:t>
            </w:r>
          </w:p>
        </w:tc>
        <w:tc>
          <w:tcPr>
            <w:tcW w:w="9585" w:type="dxa"/>
            <w:shd w:val="clear" w:color="auto" w:fill="auto"/>
            <w:tcMar>
              <w:top w:w="72" w:type="dxa"/>
              <w:left w:w="115" w:type="dxa"/>
              <w:bottom w:w="72" w:type="dxa"/>
              <w:right w:w="115" w:type="dxa"/>
            </w:tcMar>
            <w:vAlign w:val="center"/>
          </w:tcPr>
          <w:p w14:paraId="433009A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Q1025_02 </w:t>
            </w:r>
          </w:p>
          <w:p w14:paraId="24EFF42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Regarding DCA Underwriting Policies: why are 100% Project-Based Section 8 projects subjected to a 7% vacancy requirement when given proof that they could be at a 5% vacancy? </w:t>
            </w:r>
          </w:p>
          <w:p w14:paraId="2476993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4E0C86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E74965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DCA has a Pre-Application process in which applicants can submit a waiver of underwriting policies (“0104 Underwriting Waiver” in the </w:t>
            </w:r>
            <w:proofErr w:type="spellStart"/>
            <w:r w:rsidRPr="007424E0">
              <w:rPr>
                <w:rFonts w:ascii="Times New Roman" w:eastAsia="Times New Roman" w:hAnsi="Times New Roman" w:cs="Times New Roman"/>
                <w:sz w:val="20"/>
                <w:szCs w:val="20"/>
              </w:rPr>
              <w:t>Emphasys</w:t>
            </w:r>
            <w:proofErr w:type="spellEnd"/>
            <w:r w:rsidRPr="007424E0">
              <w:rPr>
                <w:rFonts w:ascii="Times New Roman" w:eastAsia="Times New Roman" w:hAnsi="Times New Roman" w:cs="Times New Roman"/>
                <w:sz w:val="20"/>
                <w:szCs w:val="20"/>
              </w:rPr>
              <w:t xml:space="preserve"> Pre-Application).  The Pre-Application should include documentation to substantiate the request.</w:t>
            </w:r>
          </w:p>
        </w:tc>
      </w:tr>
      <w:tr w:rsidR="00412798" w:rsidRPr="007424E0" w14:paraId="77464FBA" w14:textId="77777777" w:rsidTr="64301FE8">
        <w:trPr>
          <w:jc w:val="center"/>
        </w:trPr>
        <w:tc>
          <w:tcPr>
            <w:tcW w:w="1697" w:type="dxa"/>
            <w:shd w:val="clear" w:color="auto" w:fill="auto"/>
            <w:tcMar>
              <w:top w:w="72" w:type="dxa"/>
              <w:left w:w="115" w:type="dxa"/>
              <w:bottom w:w="72" w:type="dxa"/>
              <w:right w:w="115" w:type="dxa"/>
            </w:tcMar>
            <w:vAlign w:val="center"/>
          </w:tcPr>
          <w:p w14:paraId="2C63B623"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3/8/22</w:t>
            </w:r>
          </w:p>
        </w:tc>
        <w:tc>
          <w:tcPr>
            <w:tcW w:w="2663" w:type="dxa"/>
            <w:shd w:val="clear" w:color="auto" w:fill="auto"/>
            <w:tcMar>
              <w:top w:w="72" w:type="dxa"/>
              <w:left w:w="115" w:type="dxa"/>
              <w:bottom w:w="72" w:type="dxa"/>
              <w:right w:w="115" w:type="dxa"/>
            </w:tcMar>
            <w:vAlign w:val="center"/>
          </w:tcPr>
          <w:p w14:paraId="084F2F97"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2.28</w:t>
            </w:r>
          </w:p>
          <w:p w14:paraId="60E1634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41AAC08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DCA Underwriting Policies</w:t>
            </w:r>
          </w:p>
        </w:tc>
        <w:tc>
          <w:tcPr>
            <w:tcW w:w="9585" w:type="dxa"/>
            <w:shd w:val="clear" w:color="auto" w:fill="auto"/>
            <w:tcMar>
              <w:top w:w="72" w:type="dxa"/>
              <w:left w:w="115" w:type="dxa"/>
              <w:bottom w:w="72" w:type="dxa"/>
              <w:right w:w="115" w:type="dxa"/>
            </w:tcMar>
            <w:vAlign w:val="center"/>
          </w:tcPr>
          <w:p w14:paraId="4EA91984"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Q22_0304_06</w:t>
            </w:r>
          </w:p>
          <w:p w14:paraId="4844BD50"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 Threshold - Underwriting: 11. Distribution across Unit / Bedroom Sizes:</w:t>
            </w:r>
          </w:p>
          <w:p w14:paraId="101F702B"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o "a) Rent. Projects with a multi-tiered rent structure must distribute the</w:t>
            </w:r>
          </w:p>
          <w:p w14:paraId="211EEDC0"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rents across unit sizes, unit types and buildings. These units need not be</w:t>
            </w:r>
          </w:p>
          <w:p w14:paraId="3A93A735"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fixed, but may float in the same way high HOME rent and low HOME rent</w:t>
            </w:r>
          </w:p>
          <w:p w14:paraId="4D826888"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units may float within a project so long as the units and interior amenities</w:t>
            </w:r>
          </w:p>
          <w:p w14:paraId="1EF0FFCD"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are comparable."</w:t>
            </w:r>
          </w:p>
          <w:p w14:paraId="1E921F83"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o Can DCA provide unit/rent mix examples illustrating what might be</w:t>
            </w:r>
          </w:p>
          <w:p w14:paraId="66CF955E"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considered acceptable and unacceptable as it relates to "Projects with a</w:t>
            </w:r>
          </w:p>
          <w:p w14:paraId="44A21A81"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multi-tiered rent structure must distribute the rents across unit sizes, unit</w:t>
            </w:r>
          </w:p>
          <w:p w14:paraId="19DF9B29"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types and buildings."?</w:t>
            </w:r>
          </w:p>
          <w:p w14:paraId="325034A2"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o If a unit/rent mix is submitted within the Rent Schedule &amp; Summary tab of</w:t>
            </w:r>
          </w:p>
          <w:p w14:paraId="4A00024B"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the Pre-Application Submission Form, will DCA provide a response to the</w:t>
            </w:r>
          </w:p>
          <w:p w14:paraId="7D64D01C"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Pre-Application indicating if the distribution is acceptable or not. If</w:t>
            </w:r>
          </w:p>
          <w:p w14:paraId="1F90AC59"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determined unacceptable, I assume the applicant will have the opportunity</w:t>
            </w:r>
          </w:p>
          <w:p w14:paraId="0C3094A6"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sz w:val="20"/>
                <w:szCs w:val="20"/>
              </w:rPr>
              <w:t>to adjust the mix for what is submitted in the full application, is that correct?</w:t>
            </w:r>
          </w:p>
          <w:p w14:paraId="3EC34E44" w14:textId="77777777" w:rsidR="00412798" w:rsidRPr="007424E0" w:rsidRDefault="00412798" w:rsidP="000F6D48">
            <w:pPr>
              <w:contextualSpacing/>
              <w:rPr>
                <w:rFonts w:ascii="Times New Roman" w:hAnsi="Times New Roman" w:cs="Times New Roman"/>
                <w:sz w:val="20"/>
                <w:szCs w:val="20"/>
              </w:rPr>
            </w:pPr>
          </w:p>
          <w:p w14:paraId="659E55C0"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064C98CB"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Regarding the request for an example and confirmation of whether a specific mix conforms with the policy: please note that the Revenue and Expenses tab of the Core Application has formulas built in to determine the equal distribution among the unit and bedroom sizes automatically. Per </w:t>
            </w:r>
            <w:r w:rsidRPr="007424E0">
              <w:rPr>
                <w:rFonts w:ascii="Times New Roman" w:hAnsi="Times New Roman" w:cs="Times New Roman"/>
                <w:b/>
                <w:bCs/>
                <w:sz w:val="20"/>
                <w:szCs w:val="20"/>
              </w:rPr>
              <w:t>Q0221_02</w:t>
            </w:r>
            <w:r w:rsidRPr="007424E0">
              <w:rPr>
                <w:rFonts w:ascii="Times New Roman" w:hAnsi="Times New Roman" w:cs="Times New Roman"/>
                <w:sz w:val="20"/>
                <w:szCs w:val="20"/>
              </w:rPr>
              <w:t xml:space="preserve"> published on 2/25/22, where helpful the most up-to-date Core Application can be used for purposes of a Pre-Application waiver request (see referenced Q&amp;A for direct link). </w:t>
            </w:r>
          </w:p>
          <w:p w14:paraId="438E68C1" w14:textId="77777777" w:rsidR="00412798" w:rsidRPr="007424E0" w:rsidRDefault="00412798" w:rsidP="000F6D48">
            <w:pPr>
              <w:rPr>
                <w:rFonts w:ascii="Times New Roman" w:hAnsi="Times New Roman" w:cs="Times New Roman"/>
                <w:sz w:val="20"/>
                <w:szCs w:val="20"/>
              </w:rPr>
            </w:pPr>
          </w:p>
          <w:p w14:paraId="4955991E"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lastRenderedPageBreak/>
              <w:t>Equal distribution means the difference between the proposed and exact units is within 2 units. See DCA’s Average Income Policy for more information (</w:t>
            </w:r>
            <w:hyperlink r:id="rId60" w:history="1">
              <w:r w:rsidRPr="007424E0">
                <w:rPr>
                  <w:rStyle w:val="Hyperlink"/>
                  <w:rFonts w:ascii="Times New Roman" w:hAnsi="Times New Roman" w:cs="Times New Roman"/>
                  <w:color w:val="auto"/>
                  <w:sz w:val="20"/>
                  <w:szCs w:val="20"/>
                </w:rPr>
                <w:t>click here</w:t>
              </w:r>
            </w:hyperlink>
            <w:r w:rsidRPr="007424E0">
              <w:rPr>
                <w:rFonts w:ascii="Times New Roman" w:hAnsi="Times New Roman" w:cs="Times New Roman"/>
                <w:sz w:val="20"/>
                <w:szCs w:val="20"/>
              </w:rPr>
              <w:t xml:space="preserve"> for DCA’s Compliance Monitoring homepage, visit the “Tax Credit” page, download “</w:t>
            </w:r>
            <w:r w:rsidRPr="007424E0">
              <w:rPr>
                <w:rFonts w:ascii="Times New Roman" w:hAnsi="Times New Roman" w:cs="Times New Roman"/>
                <w:b/>
                <w:bCs/>
                <w:sz w:val="20"/>
                <w:szCs w:val="20"/>
              </w:rPr>
              <w:t>DCA's Average Income Policy (updated 2021)</w:t>
            </w:r>
            <w:r w:rsidRPr="007424E0">
              <w:rPr>
                <w:rFonts w:ascii="Times New Roman" w:hAnsi="Times New Roman" w:cs="Times New Roman"/>
                <w:sz w:val="20"/>
                <w:szCs w:val="20"/>
              </w:rPr>
              <w:t xml:space="preserve">, and view subsection </w:t>
            </w:r>
            <w:r w:rsidRPr="007424E0">
              <w:rPr>
                <w:rFonts w:ascii="Times New Roman" w:hAnsi="Times New Roman" w:cs="Times New Roman"/>
                <w:b/>
                <w:bCs/>
                <w:sz w:val="20"/>
                <w:szCs w:val="20"/>
              </w:rPr>
              <w:t>B. DCA adopted requirements and interpretations</w:t>
            </w:r>
            <w:r w:rsidRPr="007424E0">
              <w:rPr>
                <w:rFonts w:ascii="Times New Roman" w:hAnsi="Times New Roman" w:cs="Times New Roman"/>
                <w:sz w:val="20"/>
                <w:szCs w:val="20"/>
              </w:rPr>
              <w:t>”).</w:t>
            </w:r>
          </w:p>
          <w:p w14:paraId="73DFE80A" w14:textId="77777777" w:rsidR="00412798" w:rsidRPr="007424E0" w:rsidRDefault="00412798" w:rsidP="000F6D48">
            <w:pPr>
              <w:rPr>
                <w:rFonts w:ascii="Times New Roman" w:hAnsi="Times New Roman" w:cs="Times New Roman"/>
                <w:sz w:val="20"/>
                <w:szCs w:val="20"/>
              </w:rPr>
            </w:pPr>
          </w:p>
          <w:p w14:paraId="6FD5C728" w14:textId="77777777" w:rsidR="00412798" w:rsidRPr="007424E0" w:rsidRDefault="00412798" w:rsidP="000F6D48">
            <w:pPr>
              <w:contextualSpacing/>
              <w:rPr>
                <w:rFonts w:ascii="Times New Roman" w:hAnsi="Times New Roman" w:cs="Times New Roman"/>
                <w:b/>
                <w:bCs/>
                <w:sz w:val="20"/>
                <w:szCs w:val="20"/>
              </w:rPr>
            </w:pPr>
            <w:r w:rsidRPr="007424E0">
              <w:rPr>
                <w:rFonts w:ascii="Times New Roman" w:hAnsi="Times New Roman" w:cs="Times New Roman"/>
                <w:sz w:val="20"/>
                <w:szCs w:val="20"/>
              </w:rPr>
              <w:t>DCA will accept pre-applications for waivers of this requirement.</w:t>
            </w:r>
          </w:p>
        </w:tc>
      </w:tr>
      <w:tr w:rsidR="00412798" w:rsidRPr="007424E0" w14:paraId="1CDDADF6" w14:textId="77777777" w:rsidTr="64301FE8">
        <w:trPr>
          <w:jc w:val="center"/>
        </w:trPr>
        <w:tc>
          <w:tcPr>
            <w:tcW w:w="1697" w:type="dxa"/>
            <w:shd w:val="clear" w:color="auto" w:fill="auto"/>
            <w:tcMar>
              <w:top w:w="72" w:type="dxa"/>
              <w:left w:w="115" w:type="dxa"/>
              <w:bottom w:w="72" w:type="dxa"/>
              <w:right w:w="115" w:type="dxa"/>
            </w:tcMar>
            <w:vAlign w:val="center"/>
          </w:tcPr>
          <w:p w14:paraId="5F6D78B2"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3/8/22</w:t>
            </w:r>
          </w:p>
        </w:tc>
        <w:tc>
          <w:tcPr>
            <w:tcW w:w="2663" w:type="dxa"/>
            <w:shd w:val="clear" w:color="auto" w:fill="auto"/>
            <w:tcMar>
              <w:top w:w="72" w:type="dxa"/>
              <w:left w:w="115" w:type="dxa"/>
              <w:bottom w:w="72" w:type="dxa"/>
              <w:right w:w="115" w:type="dxa"/>
            </w:tcMar>
            <w:vAlign w:val="center"/>
          </w:tcPr>
          <w:p w14:paraId="05BC34B0"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2.28 </w:t>
            </w:r>
          </w:p>
          <w:p w14:paraId="203DE642"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01B72CC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DCA Underwriting Policies </w:t>
            </w:r>
          </w:p>
        </w:tc>
        <w:tc>
          <w:tcPr>
            <w:tcW w:w="9585" w:type="dxa"/>
            <w:shd w:val="clear" w:color="auto" w:fill="auto"/>
            <w:tcMar>
              <w:top w:w="72" w:type="dxa"/>
              <w:left w:w="115" w:type="dxa"/>
              <w:bottom w:w="72" w:type="dxa"/>
              <w:right w:w="115" w:type="dxa"/>
            </w:tcMar>
            <w:vAlign w:val="center"/>
          </w:tcPr>
          <w:p w14:paraId="6B3E5823"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Q22_0304_03</w:t>
            </w:r>
          </w:p>
          <w:p w14:paraId="51C8223D"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In our underwriting model, we are meeting the DCR requirements, and a waiver is not required. If, prior to closing, USDA RD changes certain underwriting metrics during their underwriting approval process, it is understood that the owner would need to accept those changes. If any changes were required that make the project no longer meet the DCA DCR requirements, can you please confirm that DCA will work with the owner to accept these changes even though a waiver request is not submitted at pre-app?</w:t>
            </w:r>
          </w:p>
          <w:p w14:paraId="05D661BE" w14:textId="77777777" w:rsidR="00412798" w:rsidRPr="007424E0" w:rsidRDefault="00412798" w:rsidP="000F6D48">
            <w:pPr>
              <w:contextualSpacing/>
              <w:rPr>
                <w:rFonts w:ascii="Times New Roman" w:hAnsi="Times New Roman" w:cs="Times New Roman"/>
                <w:sz w:val="20"/>
                <w:szCs w:val="20"/>
              </w:rPr>
            </w:pPr>
          </w:p>
          <w:p w14:paraId="0C7078DD"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51D96AA9" w14:textId="77777777" w:rsidR="00412798" w:rsidRPr="007424E0" w:rsidRDefault="00412798" w:rsidP="000F6D48">
            <w:pPr>
              <w:textAlignment w:val="baseline"/>
              <w:rPr>
                <w:rFonts w:ascii="Times New Roman" w:eastAsia="Times New Roman" w:hAnsi="Times New Roman" w:cs="Times New Roman"/>
                <w:b/>
                <w:bCs/>
                <w:sz w:val="20"/>
                <w:szCs w:val="20"/>
              </w:rPr>
            </w:pPr>
            <w:r w:rsidRPr="007424E0">
              <w:rPr>
                <w:rFonts w:ascii="Times New Roman" w:hAnsi="Times New Roman" w:cs="Times New Roman"/>
                <w:sz w:val="20"/>
                <w:szCs w:val="20"/>
              </w:rPr>
              <w:t>DCA requires a Pre-Application waiver request for any underwriting requirements that will not be met in the Full Application (May submission). DCA’s expectation is that all underwriting approved during the initial application review will be met at Final Allocation Application (8609 submission). DCA does not by default accept requirements imposed by third parties after a Full Application has been awarded. Absent seeing a specific waiver request with supporting documentation for the envisioned changes, DCA cannot provide further guidance.</w:t>
            </w:r>
          </w:p>
        </w:tc>
      </w:tr>
      <w:tr w:rsidR="00412798" w:rsidRPr="007424E0" w14:paraId="78E08BDD" w14:textId="77777777" w:rsidTr="64301FE8">
        <w:trPr>
          <w:jc w:val="center"/>
        </w:trPr>
        <w:tc>
          <w:tcPr>
            <w:tcW w:w="1697" w:type="dxa"/>
            <w:shd w:val="clear" w:color="auto" w:fill="auto"/>
            <w:tcMar>
              <w:top w:w="72" w:type="dxa"/>
              <w:left w:w="115" w:type="dxa"/>
              <w:bottom w:w="72" w:type="dxa"/>
              <w:right w:w="115" w:type="dxa"/>
            </w:tcMar>
            <w:vAlign w:val="center"/>
          </w:tcPr>
          <w:p w14:paraId="7F6784AA"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3/7/22</w:t>
            </w:r>
          </w:p>
        </w:tc>
        <w:tc>
          <w:tcPr>
            <w:tcW w:w="2663" w:type="dxa"/>
            <w:shd w:val="clear" w:color="auto" w:fill="auto"/>
            <w:tcMar>
              <w:top w:w="72" w:type="dxa"/>
              <w:left w:w="115" w:type="dxa"/>
              <w:bottom w:w="72" w:type="dxa"/>
              <w:right w:w="115" w:type="dxa"/>
            </w:tcMar>
            <w:vAlign w:val="center"/>
          </w:tcPr>
          <w:p w14:paraId="415966D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2.20</w:t>
            </w:r>
          </w:p>
          <w:p w14:paraId="1DCB345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Threshold Criteria;</w:t>
            </w:r>
          </w:p>
          <w:p w14:paraId="17A33569"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Experience, Capacity and Performance Requirements for General Partner and Developer Entities</w:t>
            </w:r>
          </w:p>
        </w:tc>
        <w:tc>
          <w:tcPr>
            <w:tcW w:w="9585" w:type="dxa"/>
            <w:shd w:val="clear" w:color="auto" w:fill="auto"/>
            <w:tcMar>
              <w:top w:w="72" w:type="dxa"/>
              <w:left w:w="115" w:type="dxa"/>
              <w:bottom w:w="72" w:type="dxa"/>
              <w:right w:w="115" w:type="dxa"/>
            </w:tcMar>
            <w:vAlign w:val="center"/>
          </w:tcPr>
          <w:p w14:paraId="6B44CE2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Q0223_04 </w:t>
            </w:r>
          </w:p>
          <w:p w14:paraId="49A5227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On the 2022 Capacity Form of the Pre-Application, it states to list projects that have not yet finished construction and/or begun lease up.  In the 2022 Performance Workbook instructions, it states that the Capacity Form should include projects the Certifying Entity is participating in but have not completed leasing.   </w:t>
            </w:r>
          </w:p>
          <w:p w14:paraId="5F2895A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33015699"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For a project that is currently leasing up, per the directions on the Capacity Form, the project would not be listed on this form because it has begun lease-up.  Per the Instructions, our project would be listed on this form because it has not completed leasing.  Could you please clarify which projects should go on the Capacity Form? </w:t>
            </w:r>
          </w:p>
          <w:p w14:paraId="5563F0E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761D3557"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599434A1"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instructions referenced are the following: </w:t>
            </w:r>
          </w:p>
          <w:p w14:paraId="25B3DF3A"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665"/>
            </w:tblGrid>
            <w:tr w:rsidR="00412798" w:rsidRPr="007424E0" w14:paraId="33C447CF" w14:textId="77777777" w:rsidTr="005F175E">
              <w:tc>
                <w:tcPr>
                  <w:tcW w:w="4665" w:type="dxa"/>
                  <w:tcBorders>
                    <w:top w:val="single" w:sz="6" w:space="0" w:color="auto"/>
                    <w:left w:val="single" w:sz="6" w:space="0" w:color="auto"/>
                    <w:bottom w:val="single" w:sz="6" w:space="0" w:color="auto"/>
                    <w:right w:val="single" w:sz="6" w:space="0" w:color="auto"/>
                  </w:tcBorders>
                  <w:shd w:val="clear" w:color="auto" w:fill="auto"/>
                  <w:hideMark/>
                </w:tcPr>
                <w:p w14:paraId="00878CA4" w14:textId="77777777" w:rsidR="00412798" w:rsidRPr="007424E0" w:rsidRDefault="00412798" w:rsidP="000F6D48">
                  <w:pPr>
                    <w:keepNext/>
                    <w:keepLines/>
                    <w:spacing w:after="0" w:line="240" w:lineRule="auto"/>
                    <w:jc w:val="cente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Performance Workbook:</w:t>
                  </w:r>
                  <w:r w:rsidRPr="007424E0">
                    <w:rPr>
                      <w:rFonts w:ascii="Times New Roman" w:eastAsia="Times New Roman" w:hAnsi="Times New Roman" w:cs="Times New Roman"/>
                      <w:sz w:val="20"/>
                      <w:szCs w:val="20"/>
                    </w:rPr>
                    <w:t> </w:t>
                  </w:r>
                </w:p>
                <w:p w14:paraId="6B2B1783" w14:textId="77777777" w:rsidR="00412798" w:rsidRPr="007424E0" w:rsidRDefault="00412798" w:rsidP="000F6D48">
                  <w:pPr>
                    <w:keepNext/>
                    <w:keepLines/>
                    <w:spacing w:after="0" w:line="240" w:lineRule="auto"/>
                    <w:jc w:val="cente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Instructions for Capacity Form</w:t>
                  </w:r>
                  <w:r w:rsidRPr="007424E0">
                    <w:rPr>
                      <w:rFonts w:ascii="Times New Roman" w:eastAsia="Times New Roman" w:hAnsi="Times New Roman" w:cs="Times New Roman"/>
                      <w:sz w:val="20"/>
                      <w:szCs w:val="20"/>
                    </w:rPr>
                    <w:t> </w:t>
                  </w:r>
                </w:p>
              </w:tc>
              <w:tc>
                <w:tcPr>
                  <w:tcW w:w="4665" w:type="dxa"/>
                  <w:tcBorders>
                    <w:top w:val="single" w:sz="6" w:space="0" w:color="auto"/>
                    <w:left w:val="nil"/>
                    <w:bottom w:val="single" w:sz="6" w:space="0" w:color="auto"/>
                    <w:right w:val="single" w:sz="6" w:space="0" w:color="auto"/>
                  </w:tcBorders>
                  <w:shd w:val="clear" w:color="auto" w:fill="auto"/>
                  <w:hideMark/>
                </w:tcPr>
                <w:p w14:paraId="6F31F5AC" w14:textId="77777777" w:rsidR="00412798" w:rsidRPr="007424E0" w:rsidRDefault="00412798" w:rsidP="000F6D48">
                  <w:pPr>
                    <w:keepNext/>
                    <w:keepLines/>
                    <w:spacing w:after="0" w:line="240" w:lineRule="auto"/>
                    <w:jc w:val="cente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Performance Workbook:</w:t>
                  </w:r>
                  <w:r w:rsidRPr="007424E0">
                    <w:rPr>
                      <w:rFonts w:ascii="Times New Roman" w:eastAsia="Times New Roman" w:hAnsi="Times New Roman" w:cs="Times New Roman"/>
                      <w:sz w:val="20"/>
                      <w:szCs w:val="20"/>
                    </w:rPr>
                    <w:t> </w:t>
                  </w:r>
                </w:p>
                <w:p w14:paraId="6AAAC13E" w14:textId="77777777" w:rsidR="00412798" w:rsidRPr="007424E0" w:rsidRDefault="00412798" w:rsidP="000F6D48">
                  <w:pPr>
                    <w:keepNext/>
                    <w:keepLines/>
                    <w:spacing w:after="0" w:line="240" w:lineRule="auto"/>
                    <w:jc w:val="cente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Capacity Form</w:t>
                  </w:r>
                  <w:r w:rsidRPr="007424E0">
                    <w:rPr>
                      <w:rFonts w:ascii="Times New Roman" w:eastAsia="Times New Roman" w:hAnsi="Times New Roman" w:cs="Times New Roman"/>
                      <w:sz w:val="20"/>
                      <w:szCs w:val="20"/>
                    </w:rPr>
                    <w:t> </w:t>
                  </w:r>
                </w:p>
              </w:tc>
            </w:tr>
            <w:tr w:rsidR="00412798" w:rsidRPr="007424E0" w14:paraId="035D1BDC" w14:textId="77777777" w:rsidTr="005F175E">
              <w:tc>
                <w:tcPr>
                  <w:tcW w:w="4665" w:type="dxa"/>
                  <w:tcBorders>
                    <w:top w:val="nil"/>
                    <w:left w:val="single" w:sz="6" w:space="0" w:color="auto"/>
                    <w:bottom w:val="single" w:sz="6" w:space="0" w:color="auto"/>
                    <w:right w:val="single" w:sz="6" w:space="0" w:color="auto"/>
                  </w:tcBorders>
                  <w:shd w:val="clear" w:color="auto" w:fill="auto"/>
                  <w:hideMark/>
                </w:tcPr>
                <w:p w14:paraId="0C039357" w14:textId="77777777" w:rsidR="00412798" w:rsidRPr="007424E0" w:rsidRDefault="00412798" w:rsidP="000F6D48">
                  <w:pPr>
                    <w:keepNext/>
                    <w:keepLines/>
                    <w:spacing w:after="0" w:line="240" w:lineRule="auto"/>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lastRenderedPageBreak/>
                    <w:t>“…list all affordable housing projects…[that] have not completed leasing.”  </w:t>
                  </w:r>
                </w:p>
              </w:tc>
              <w:tc>
                <w:tcPr>
                  <w:tcW w:w="4665" w:type="dxa"/>
                  <w:tcBorders>
                    <w:top w:val="nil"/>
                    <w:left w:val="nil"/>
                    <w:bottom w:val="single" w:sz="6" w:space="0" w:color="auto"/>
                    <w:right w:val="single" w:sz="6" w:space="0" w:color="auto"/>
                  </w:tcBorders>
                  <w:shd w:val="clear" w:color="auto" w:fill="auto"/>
                  <w:hideMark/>
                </w:tcPr>
                <w:p w14:paraId="00381A7F" w14:textId="77777777" w:rsidR="00412798" w:rsidRPr="007424E0" w:rsidRDefault="00412798" w:rsidP="000F6D48">
                  <w:pPr>
                    <w:keepNext/>
                    <w:keepLines/>
                    <w:spacing w:after="0" w:line="240" w:lineRule="auto"/>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“The Certifying Entity must list each affordable housing property currently [under review]… and/or any other multifamily development…that has not yet finished construction and/or begun lease up…” </w:t>
                  </w:r>
                </w:p>
              </w:tc>
            </w:tr>
          </w:tbl>
          <w:p w14:paraId="2602705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469D4C6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For purposes of a property that has placed in service and begun lease-up, in the above question, the applicant is interpreting the instructions on the right to mean, “list each affordable housing property…that has not yet finished construction and/or </w:t>
            </w:r>
            <w:r w:rsidRPr="007424E0">
              <w:rPr>
                <w:rFonts w:ascii="Times New Roman" w:eastAsia="Times New Roman" w:hAnsi="Times New Roman" w:cs="Times New Roman"/>
                <w:b/>
                <w:bCs/>
                <w:sz w:val="20"/>
                <w:szCs w:val="20"/>
              </w:rPr>
              <w:t>[not yet]</w:t>
            </w:r>
            <w:r w:rsidRPr="007424E0">
              <w:rPr>
                <w:rFonts w:ascii="Times New Roman" w:eastAsia="Times New Roman" w:hAnsi="Times New Roman" w:cs="Times New Roman"/>
                <w:sz w:val="20"/>
                <w:szCs w:val="20"/>
              </w:rPr>
              <w:t xml:space="preserve"> begun lease up…” This is not a correct interpretation. In the form instructions, “not yet” only refers to “finished construction.” </w:t>
            </w:r>
          </w:p>
          <w:p w14:paraId="1B89E4C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141B5D8C"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Any property that has begun lease up but has not reached stabilized occupancy should be included on the Capacity Form. </w:t>
            </w:r>
          </w:p>
        </w:tc>
      </w:tr>
      <w:tr w:rsidR="00412798" w:rsidRPr="007424E0" w14:paraId="0C0E92EE" w14:textId="77777777" w:rsidTr="64301FE8">
        <w:trPr>
          <w:jc w:val="center"/>
        </w:trPr>
        <w:tc>
          <w:tcPr>
            <w:tcW w:w="1697" w:type="dxa"/>
            <w:shd w:val="clear" w:color="auto" w:fill="auto"/>
            <w:tcMar>
              <w:top w:w="72" w:type="dxa"/>
              <w:left w:w="115" w:type="dxa"/>
              <w:bottom w:w="72" w:type="dxa"/>
              <w:right w:w="115" w:type="dxa"/>
            </w:tcMar>
            <w:vAlign w:val="center"/>
          </w:tcPr>
          <w:p w14:paraId="59628C7A"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3/7/22</w:t>
            </w:r>
          </w:p>
        </w:tc>
        <w:tc>
          <w:tcPr>
            <w:tcW w:w="2663" w:type="dxa"/>
            <w:shd w:val="clear" w:color="auto" w:fill="auto"/>
            <w:tcMar>
              <w:top w:w="72" w:type="dxa"/>
              <w:left w:w="115" w:type="dxa"/>
              <w:bottom w:w="72" w:type="dxa"/>
              <w:right w:w="115" w:type="dxa"/>
            </w:tcMar>
            <w:vAlign w:val="center"/>
          </w:tcPr>
          <w:p w14:paraId="34B41371"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2.25</w:t>
            </w:r>
          </w:p>
          <w:p w14:paraId="7B5A97D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Threshold Criteria; </w:t>
            </w:r>
          </w:p>
          <w:p w14:paraId="5D7FD903"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Occupied Developments</w:t>
            </w:r>
          </w:p>
          <w:p w14:paraId="0CB53411" w14:textId="77777777" w:rsidR="00412798" w:rsidRPr="007424E0" w:rsidRDefault="00412798" w:rsidP="000F6D48">
            <w:pPr>
              <w:contextualSpacing/>
              <w:rPr>
                <w:rFonts w:ascii="Times New Roman" w:hAnsi="Times New Roman" w:cs="Times New Roman"/>
                <w:noProof/>
                <w:sz w:val="20"/>
                <w:szCs w:val="20"/>
              </w:rPr>
            </w:pPr>
          </w:p>
        </w:tc>
        <w:tc>
          <w:tcPr>
            <w:tcW w:w="9585" w:type="dxa"/>
            <w:shd w:val="clear" w:color="auto" w:fill="auto"/>
            <w:tcMar>
              <w:top w:w="72" w:type="dxa"/>
              <w:left w:w="115" w:type="dxa"/>
              <w:bottom w:w="72" w:type="dxa"/>
              <w:right w:w="115" w:type="dxa"/>
            </w:tcMar>
            <w:vAlign w:val="center"/>
          </w:tcPr>
          <w:p w14:paraId="1E9B19D7" w14:textId="77777777" w:rsidR="00412798" w:rsidRPr="007424E0" w:rsidRDefault="00412798" w:rsidP="000F6D48">
            <w:pPr>
              <w:keepNext/>
              <w:keepLines/>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Q22_0304_05 </w:t>
            </w:r>
          </w:p>
          <w:p w14:paraId="3F3B0048" w14:textId="77777777" w:rsidR="00412798" w:rsidRPr="007424E0" w:rsidRDefault="00412798" w:rsidP="000F6D48">
            <w:pPr>
              <w:keepNext/>
              <w:keepLines/>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We are planning an acquisition rehabilitation of a property, and the property </w:t>
            </w:r>
          </w:p>
          <w:p w14:paraId="5586A651" w14:textId="77777777" w:rsidR="00412798" w:rsidRPr="007424E0" w:rsidRDefault="00412798" w:rsidP="000F6D48">
            <w:pPr>
              <w:keepNext/>
              <w:keepLines/>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is currently fully occupied. We are not planning on permanently displacing </w:t>
            </w:r>
          </w:p>
          <w:p w14:paraId="29A75B4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any residents. They all will be temporarily relocated for approximately </w:t>
            </w:r>
          </w:p>
          <w:p w14:paraId="146665B4"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10-20 days while their unit is being rehabbed. Since they are leaving their </w:t>
            </w:r>
          </w:p>
          <w:p w14:paraId="37585DDE"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unit for a short period of time and being temporarily relocated, will you </w:t>
            </w:r>
          </w:p>
          <w:p w14:paraId="5415DF5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please confirm that this is not considered an "in-place" rehab and a waiver </w:t>
            </w:r>
          </w:p>
          <w:p w14:paraId="6625262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is not required? </w:t>
            </w:r>
          </w:p>
          <w:p w14:paraId="3A3680F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57FD42F0"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29FDE388"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Yes, this is not considered an "in-place" rehab and a waiver is not required.  Please see Q0223_01 for additional discussion comparing “in-place rehab” circumstances and “temporary relocation.” </w:t>
            </w:r>
          </w:p>
        </w:tc>
      </w:tr>
      <w:tr w:rsidR="00412798" w:rsidRPr="007424E0" w14:paraId="4474E081" w14:textId="77777777" w:rsidTr="64301FE8">
        <w:trPr>
          <w:jc w:val="center"/>
        </w:trPr>
        <w:tc>
          <w:tcPr>
            <w:tcW w:w="1697" w:type="dxa"/>
            <w:shd w:val="clear" w:color="auto" w:fill="auto"/>
            <w:tcMar>
              <w:top w:w="72" w:type="dxa"/>
              <w:left w:w="115" w:type="dxa"/>
              <w:bottom w:w="72" w:type="dxa"/>
              <w:right w:w="115" w:type="dxa"/>
            </w:tcMar>
            <w:vAlign w:val="center"/>
          </w:tcPr>
          <w:p w14:paraId="2627629E"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3/7/22</w:t>
            </w:r>
          </w:p>
        </w:tc>
        <w:tc>
          <w:tcPr>
            <w:tcW w:w="2663" w:type="dxa"/>
            <w:shd w:val="clear" w:color="auto" w:fill="auto"/>
            <w:tcMar>
              <w:top w:w="72" w:type="dxa"/>
              <w:left w:w="115" w:type="dxa"/>
              <w:bottom w:w="72" w:type="dxa"/>
              <w:right w:w="115" w:type="dxa"/>
            </w:tcMar>
            <w:vAlign w:val="center"/>
          </w:tcPr>
          <w:p w14:paraId="4FFF1D0A"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2.25</w:t>
            </w:r>
          </w:p>
          <w:p w14:paraId="0909FA1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Threshold Criteria; </w:t>
            </w:r>
          </w:p>
          <w:p w14:paraId="5ECB84E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Occupied Developments</w:t>
            </w:r>
          </w:p>
        </w:tc>
        <w:tc>
          <w:tcPr>
            <w:tcW w:w="9585" w:type="dxa"/>
            <w:shd w:val="clear" w:color="auto" w:fill="auto"/>
            <w:tcMar>
              <w:top w:w="72" w:type="dxa"/>
              <w:left w:w="115" w:type="dxa"/>
              <w:bottom w:w="72" w:type="dxa"/>
              <w:right w:w="115" w:type="dxa"/>
            </w:tcMar>
            <w:vAlign w:val="center"/>
          </w:tcPr>
          <w:p w14:paraId="40B5FE70" w14:textId="77777777" w:rsidR="00412798" w:rsidRPr="007424E0" w:rsidRDefault="00412798" w:rsidP="000F6D48">
            <w:pPr>
              <w:keepNext/>
              <w:keepLines/>
              <w:contextualSpacing/>
              <w:rPr>
                <w:rFonts w:ascii="Times New Roman" w:hAnsi="Times New Roman" w:cs="Times New Roman"/>
                <w:sz w:val="20"/>
                <w:szCs w:val="20"/>
              </w:rPr>
            </w:pPr>
            <w:r w:rsidRPr="007424E0">
              <w:rPr>
                <w:rFonts w:ascii="Times New Roman" w:hAnsi="Times New Roman" w:cs="Times New Roman"/>
                <w:b/>
                <w:bCs/>
                <w:sz w:val="20"/>
                <w:szCs w:val="20"/>
              </w:rPr>
              <w:t>Question</w:t>
            </w:r>
            <w:r w:rsidRPr="007424E0">
              <w:rPr>
                <w:rFonts w:ascii="Times New Roman" w:hAnsi="Times New Roman" w:cs="Times New Roman"/>
                <w:sz w:val="20"/>
                <w:szCs w:val="20"/>
              </w:rPr>
              <w:t>: Q0223_01</w:t>
            </w:r>
          </w:p>
          <w:p w14:paraId="20EEDFD6" w14:textId="77777777" w:rsidR="00412798" w:rsidRPr="007424E0" w:rsidRDefault="00412798" w:rsidP="000F6D48">
            <w:pPr>
              <w:keepNext/>
              <w:keepLines/>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In the multifamily LIHTC Relocation template, it says that if in-place rehab is expected you must submit a waiver at pre-application. On pg. 6, under the checklist, it says that certain tabs in the relocation workbook should be completed for the Permanent Displacement Waiver. Is this the same case for the in-place rehab waiver? Or is all that is required for in-place rehab, the waiver and the draft GIN?</w:t>
            </w:r>
          </w:p>
          <w:p w14:paraId="070DE3B8" w14:textId="77777777" w:rsidR="00412798" w:rsidRPr="007424E0" w:rsidRDefault="00412798" w:rsidP="000F6D48">
            <w:pPr>
              <w:rPr>
                <w:rFonts w:ascii="Times New Roman" w:eastAsia="Times New Roman" w:hAnsi="Times New Roman" w:cs="Times New Roman"/>
                <w:sz w:val="20"/>
                <w:szCs w:val="20"/>
              </w:rPr>
            </w:pPr>
          </w:p>
          <w:p w14:paraId="3AE5CE8E" w14:textId="77777777" w:rsidR="00412798" w:rsidRPr="007424E0" w:rsidRDefault="00412798" w:rsidP="000F6D48">
            <w:pPr>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xml:space="preserve">The document I’m referencing is “Toolkit.Multifamily-LIHTCOnly.pdf” in the downloadable folder, “Relocation Documents for Multifamily - LIHTC Only”, on the DCA website (under 2022 Federal Compliance &amp; Relocation Manuals and Forms). </w:t>
            </w:r>
          </w:p>
          <w:p w14:paraId="1D31E6B8" w14:textId="77777777" w:rsidR="00412798" w:rsidRPr="007424E0" w:rsidRDefault="00412798" w:rsidP="000F6D48">
            <w:pPr>
              <w:contextualSpacing/>
              <w:rPr>
                <w:rFonts w:ascii="Times New Roman" w:hAnsi="Times New Roman" w:cs="Times New Roman"/>
                <w:sz w:val="20"/>
                <w:szCs w:val="20"/>
              </w:rPr>
            </w:pPr>
          </w:p>
          <w:p w14:paraId="1E6CDF1D" w14:textId="77777777" w:rsidR="00412798" w:rsidRPr="007424E0" w:rsidRDefault="00412798" w:rsidP="000F6D48">
            <w:pPr>
              <w:contextualSpacing/>
              <w:rPr>
                <w:rFonts w:ascii="Times New Roman" w:hAnsi="Times New Roman" w:cs="Times New Roman"/>
                <w:sz w:val="20"/>
                <w:szCs w:val="20"/>
              </w:rPr>
            </w:pPr>
            <w:r w:rsidRPr="007424E0">
              <w:rPr>
                <w:rFonts w:ascii="Times New Roman" w:hAnsi="Times New Roman" w:cs="Times New Roman"/>
                <w:b/>
                <w:bCs/>
                <w:sz w:val="20"/>
                <w:szCs w:val="20"/>
              </w:rPr>
              <w:t>Answer</w:t>
            </w:r>
            <w:r w:rsidRPr="007424E0">
              <w:rPr>
                <w:rFonts w:ascii="Times New Roman" w:hAnsi="Times New Roman" w:cs="Times New Roman"/>
                <w:sz w:val="20"/>
                <w:szCs w:val="20"/>
              </w:rPr>
              <w:t xml:space="preserve">: </w:t>
            </w:r>
          </w:p>
          <w:p w14:paraId="51B80CD6"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lastRenderedPageBreak/>
              <w:t xml:space="preserve">First, please note that in most cases, Applicants reaching out to DCA about in-place rehabilitation waivers are actually conflating the terms “temporary relocation” and “in-place rehabilitation.” Please see the below distinctions: </w:t>
            </w:r>
          </w:p>
          <w:p w14:paraId="1CD15B84"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 </w:t>
            </w:r>
          </w:p>
          <w:tbl>
            <w:tblPr>
              <w:tblStyle w:val="TableGrid"/>
              <w:tblW w:w="0" w:type="auto"/>
              <w:tblLook w:val="04A0" w:firstRow="1" w:lastRow="0" w:firstColumn="1" w:lastColumn="0" w:noHBand="0" w:noVBand="1"/>
            </w:tblPr>
            <w:tblGrid>
              <w:gridCol w:w="2244"/>
              <w:gridCol w:w="7101"/>
            </w:tblGrid>
            <w:tr w:rsidR="00412798" w:rsidRPr="007424E0" w14:paraId="4F4A5F72" w14:textId="77777777" w:rsidTr="00DD3AA4">
              <w:tc>
                <w:tcPr>
                  <w:tcW w:w="2245" w:type="dxa"/>
                </w:tcPr>
                <w:p w14:paraId="26B08E67" w14:textId="77777777" w:rsidR="00412798" w:rsidRPr="007424E0" w:rsidRDefault="00412798" w:rsidP="000F6D48">
                  <w:pPr>
                    <w:keepNext/>
                    <w:keepLines/>
                    <w:jc w:val="center"/>
                    <w:rPr>
                      <w:rFonts w:ascii="Times New Roman" w:hAnsi="Times New Roman" w:cs="Times New Roman"/>
                      <w:b/>
                      <w:bCs/>
                      <w:sz w:val="20"/>
                      <w:szCs w:val="20"/>
                    </w:rPr>
                  </w:pPr>
                  <w:r w:rsidRPr="007424E0">
                    <w:rPr>
                      <w:rFonts w:ascii="Times New Roman" w:hAnsi="Times New Roman" w:cs="Times New Roman"/>
                      <w:b/>
                      <w:bCs/>
                      <w:sz w:val="20"/>
                      <w:szCs w:val="20"/>
                    </w:rPr>
                    <w:t>Term</w:t>
                  </w:r>
                </w:p>
              </w:tc>
              <w:tc>
                <w:tcPr>
                  <w:tcW w:w="7105" w:type="dxa"/>
                </w:tcPr>
                <w:p w14:paraId="5E53C8C7" w14:textId="77777777" w:rsidR="00412798" w:rsidRPr="007424E0" w:rsidRDefault="00412798" w:rsidP="000F6D48">
                  <w:pPr>
                    <w:keepNext/>
                    <w:keepLines/>
                    <w:jc w:val="center"/>
                    <w:rPr>
                      <w:rFonts w:ascii="Times New Roman" w:hAnsi="Times New Roman" w:cs="Times New Roman"/>
                      <w:b/>
                      <w:bCs/>
                      <w:sz w:val="20"/>
                      <w:szCs w:val="20"/>
                    </w:rPr>
                  </w:pPr>
                  <w:r w:rsidRPr="007424E0">
                    <w:rPr>
                      <w:rFonts w:ascii="Times New Roman" w:hAnsi="Times New Roman" w:cs="Times New Roman"/>
                      <w:b/>
                      <w:bCs/>
                      <w:sz w:val="20"/>
                      <w:szCs w:val="20"/>
                    </w:rPr>
                    <w:t>Definition</w:t>
                  </w:r>
                </w:p>
              </w:tc>
            </w:tr>
            <w:tr w:rsidR="00412798" w:rsidRPr="007424E0" w14:paraId="5664BEE2" w14:textId="77777777" w:rsidTr="00DD3AA4">
              <w:tc>
                <w:tcPr>
                  <w:tcW w:w="2245" w:type="dxa"/>
                </w:tcPr>
                <w:p w14:paraId="733C7A7E" w14:textId="77777777" w:rsidR="00412798" w:rsidRPr="007424E0" w:rsidRDefault="00412798" w:rsidP="000F6D48">
                  <w:pPr>
                    <w:keepNext/>
                    <w:keepLines/>
                    <w:rPr>
                      <w:rFonts w:ascii="Times New Roman" w:hAnsi="Times New Roman" w:cs="Times New Roman"/>
                      <w:sz w:val="20"/>
                      <w:szCs w:val="20"/>
                    </w:rPr>
                  </w:pPr>
                  <w:r w:rsidRPr="007424E0">
                    <w:rPr>
                      <w:rFonts w:ascii="Times New Roman" w:hAnsi="Times New Roman" w:cs="Times New Roman"/>
                      <w:sz w:val="20"/>
                      <w:szCs w:val="20"/>
                    </w:rPr>
                    <w:t>Temporary relocation</w:t>
                  </w:r>
                </w:p>
              </w:tc>
              <w:tc>
                <w:tcPr>
                  <w:tcW w:w="7105" w:type="dxa"/>
                </w:tcPr>
                <w:p w14:paraId="72342B0E" w14:textId="77777777" w:rsidR="00412798" w:rsidRPr="007424E0" w:rsidRDefault="00412798" w:rsidP="000F6D48">
                  <w:pPr>
                    <w:keepNext/>
                    <w:keepLines/>
                    <w:rPr>
                      <w:rFonts w:ascii="Times New Roman" w:hAnsi="Times New Roman" w:cs="Times New Roman"/>
                      <w:sz w:val="20"/>
                      <w:szCs w:val="20"/>
                    </w:rPr>
                  </w:pPr>
                  <w:r w:rsidRPr="007424E0">
                    <w:rPr>
                      <w:rFonts w:ascii="Times New Roman" w:hAnsi="Times New Roman" w:cs="Times New Roman"/>
                      <w:sz w:val="20"/>
                      <w:szCs w:val="20"/>
                    </w:rPr>
                    <w:t>Temporary relocation refers to when an occupant must occupy temporary shelter during the rehabilitation process for at least one overnight.</w:t>
                  </w:r>
                </w:p>
              </w:tc>
            </w:tr>
            <w:tr w:rsidR="00412798" w:rsidRPr="007424E0" w14:paraId="239EA0EE" w14:textId="77777777" w:rsidTr="00DD3AA4">
              <w:tc>
                <w:tcPr>
                  <w:tcW w:w="2245" w:type="dxa"/>
                </w:tcPr>
                <w:p w14:paraId="71FBB53F" w14:textId="77777777" w:rsidR="00412798" w:rsidRPr="007424E0" w:rsidRDefault="00412798" w:rsidP="000F6D48">
                  <w:pPr>
                    <w:keepNext/>
                    <w:keepLines/>
                    <w:rPr>
                      <w:rFonts w:ascii="Times New Roman" w:hAnsi="Times New Roman" w:cs="Times New Roman"/>
                      <w:sz w:val="20"/>
                      <w:szCs w:val="20"/>
                    </w:rPr>
                  </w:pPr>
                  <w:r w:rsidRPr="007424E0">
                    <w:rPr>
                      <w:rFonts w:ascii="Times New Roman" w:hAnsi="Times New Roman" w:cs="Times New Roman"/>
                      <w:sz w:val="20"/>
                      <w:szCs w:val="20"/>
                    </w:rPr>
                    <w:t>In-place rehabilitation</w:t>
                  </w:r>
                </w:p>
              </w:tc>
              <w:tc>
                <w:tcPr>
                  <w:tcW w:w="7105" w:type="dxa"/>
                </w:tcPr>
                <w:p w14:paraId="60652739" w14:textId="77777777" w:rsidR="00412798" w:rsidRPr="007424E0" w:rsidRDefault="00412798" w:rsidP="000F6D48">
                  <w:pPr>
                    <w:keepNext/>
                    <w:keepLines/>
                    <w:rPr>
                      <w:rFonts w:ascii="Times New Roman" w:hAnsi="Times New Roman" w:cs="Times New Roman"/>
                      <w:sz w:val="20"/>
                      <w:szCs w:val="20"/>
                    </w:rPr>
                  </w:pPr>
                  <w:r w:rsidRPr="007424E0">
                    <w:rPr>
                      <w:rFonts w:ascii="Times New Roman" w:eastAsia="Calibri" w:hAnsi="Times New Roman" w:cs="Times New Roman"/>
                      <w:sz w:val="20"/>
                      <w:szCs w:val="20"/>
                    </w:rPr>
                    <w:t xml:space="preserve">In-place rehabilitation is when the resident is not relocated. The resident spends the day away (e.g., in a community center), then returns to their unit that night. This is only possible if all rehabilitation for the unit can be completed in one day. </w:t>
                  </w:r>
                </w:p>
              </w:tc>
            </w:tr>
          </w:tbl>
          <w:p w14:paraId="1790A188" w14:textId="77777777" w:rsidR="00412798" w:rsidRPr="007424E0" w:rsidRDefault="00412798" w:rsidP="000F6D48">
            <w:pPr>
              <w:rPr>
                <w:rFonts w:ascii="Times New Roman" w:hAnsi="Times New Roman" w:cs="Times New Roman"/>
                <w:sz w:val="20"/>
                <w:szCs w:val="20"/>
              </w:rPr>
            </w:pPr>
            <w:r w:rsidRPr="007424E0">
              <w:rPr>
                <w:rFonts w:ascii="Times New Roman" w:hAnsi="Times New Roman" w:cs="Times New Roman"/>
                <w:sz w:val="20"/>
                <w:szCs w:val="20"/>
              </w:rPr>
              <w:t xml:space="preserve"> </w:t>
            </w:r>
          </w:p>
          <w:p w14:paraId="2291946F" w14:textId="77777777" w:rsidR="00412798" w:rsidRPr="007424E0" w:rsidRDefault="00412798" w:rsidP="000F6D48">
            <w:pPr>
              <w:contextualSpacing/>
              <w:jc w:val="both"/>
              <w:rPr>
                <w:rFonts w:ascii="Times New Roman" w:eastAsia="Calibri" w:hAnsi="Times New Roman" w:cs="Times New Roman"/>
                <w:sz w:val="20"/>
                <w:szCs w:val="20"/>
              </w:rPr>
            </w:pPr>
            <w:r w:rsidRPr="007424E0">
              <w:rPr>
                <w:rFonts w:ascii="Times New Roman" w:eastAsia="Calibri" w:hAnsi="Times New Roman" w:cs="Times New Roman"/>
                <w:sz w:val="20"/>
                <w:szCs w:val="20"/>
              </w:rPr>
              <w:t>D</w:t>
            </w:r>
            <w:r w:rsidRPr="007424E0">
              <w:rPr>
                <w:rFonts w:ascii="Times New Roman" w:hAnsi="Times New Roman" w:cs="Times New Roman"/>
                <w:sz w:val="20"/>
                <w:szCs w:val="20"/>
              </w:rPr>
              <w:t xml:space="preserve">ue to DCA’s construction requirements, true in-place rehabilitation rarely occurs. Further, </w:t>
            </w:r>
            <w:r w:rsidRPr="007424E0">
              <w:rPr>
                <w:rFonts w:ascii="Times New Roman" w:eastAsia="Calibri" w:hAnsi="Times New Roman" w:cs="Times New Roman"/>
                <w:sz w:val="20"/>
                <w:szCs w:val="20"/>
              </w:rPr>
              <w:t xml:space="preserve">in-place rehabilitation requires significant planning and logistics. This is why a relocation waiver is required for in-place rehabilitation. </w:t>
            </w:r>
          </w:p>
          <w:p w14:paraId="45F81860" w14:textId="77777777" w:rsidR="00412798" w:rsidRPr="007424E0" w:rsidRDefault="00412798" w:rsidP="000F6D48">
            <w:pPr>
              <w:contextualSpacing/>
              <w:jc w:val="both"/>
              <w:rPr>
                <w:rFonts w:ascii="Times New Roman" w:eastAsia="Calibri" w:hAnsi="Times New Roman" w:cs="Times New Roman"/>
                <w:sz w:val="20"/>
                <w:szCs w:val="20"/>
              </w:rPr>
            </w:pPr>
          </w:p>
          <w:p w14:paraId="59CC019A" w14:textId="77777777" w:rsidR="00412798" w:rsidRPr="007424E0" w:rsidRDefault="00412798" w:rsidP="000F6D48">
            <w:pPr>
              <w:contextualSpacing/>
              <w:jc w:val="both"/>
              <w:rPr>
                <w:rFonts w:ascii="Times New Roman" w:eastAsia="Calibri" w:hAnsi="Times New Roman" w:cs="Times New Roman"/>
                <w:sz w:val="20"/>
                <w:szCs w:val="20"/>
              </w:rPr>
            </w:pPr>
            <w:r w:rsidRPr="007424E0">
              <w:rPr>
                <w:rFonts w:ascii="Times New Roman" w:eastAsia="Calibri" w:hAnsi="Times New Roman" w:cs="Times New Roman"/>
                <w:sz w:val="20"/>
                <w:szCs w:val="20"/>
              </w:rPr>
              <w:t>For applicants pursuing in-place rehabilitation as described above, the following waiver submission requirements apply (</w:t>
            </w:r>
            <w:hyperlink r:id="rId61" w:history="1">
              <w:r w:rsidRPr="007424E0">
                <w:rPr>
                  <w:rStyle w:val="Hyperlink"/>
                  <w:rFonts w:ascii="Times New Roman" w:eastAsia="Calibri" w:hAnsi="Times New Roman" w:cs="Times New Roman"/>
                  <w:color w:val="auto"/>
                  <w:sz w:val="20"/>
                  <w:szCs w:val="20"/>
                </w:rPr>
                <w:t>click here</w:t>
              </w:r>
            </w:hyperlink>
            <w:r w:rsidRPr="007424E0">
              <w:rPr>
                <w:rFonts w:ascii="Times New Roman" w:eastAsia="Calibri" w:hAnsi="Times New Roman" w:cs="Times New Roman"/>
                <w:sz w:val="20"/>
                <w:szCs w:val="20"/>
              </w:rPr>
              <w:t xml:space="preserve"> to access all references Manuals and Forms):</w:t>
            </w:r>
          </w:p>
          <w:p w14:paraId="02664BEA" w14:textId="77777777" w:rsidR="00412798" w:rsidRPr="007424E0" w:rsidRDefault="00412798" w:rsidP="000F6D48">
            <w:pPr>
              <w:contextualSpacing/>
              <w:jc w:val="both"/>
              <w:rPr>
                <w:rFonts w:ascii="Times New Roman" w:eastAsia="Calibri" w:hAnsi="Times New Roman" w:cs="Times New Roman"/>
                <w:sz w:val="20"/>
                <w:szCs w:val="20"/>
              </w:rPr>
            </w:pPr>
          </w:p>
          <w:p w14:paraId="297AF0C1" w14:textId="77777777" w:rsidR="00412798" w:rsidRPr="007424E0" w:rsidRDefault="00412798" w:rsidP="000F6D48">
            <w:pPr>
              <w:pStyle w:val="ListParagraph"/>
              <w:numPr>
                <w:ilvl w:val="0"/>
                <w:numId w:val="7"/>
              </w:numPr>
              <w:rPr>
                <w:rFonts w:ascii="Times New Roman" w:eastAsia="Calibri" w:hAnsi="Times New Roman" w:cs="Times New Roman"/>
                <w:sz w:val="20"/>
                <w:szCs w:val="20"/>
              </w:rPr>
            </w:pPr>
            <w:r w:rsidRPr="007424E0">
              <w:rPr>
                <w:rFonts w:ascii="Times New Roman" w:eastAsia="Calibri" w:hAnsi="Times New Roman" w:cs="Times New Roman"/>
                <w:sz w:val="20"/>
                <w:szCs w:val="20"/>
              </w:rPr>
              <w:t xml:space="preserve">Relocation and Displacement Plan including a Narrative describing how the In-Place Rehabilitation will occur and the provisions of what will be made available on a daily basis to residents who are waiting that day for their units to be rehabilitated. </w:t>
            </w:r>
          </w:p>
          <w:p w14:paraId="6C72DE0D" w14:textId="77777777" w:rsidR="00412798" w:rsidRPr="007424E0" w:rsidRDefault="00412798" w:rsidP="000F6D48">
            <w:pPr>
              <w:pStyle w:val="ListParagraph"/>
              <w:numPr>
                <w:ilvl w:val="1"/>
                <w:numId w:val="7"/>
              </w:numPr>
              <w:rPr>
                <w:rFonts w:ascii="Times New Roman" w:eastAsia="Calibri" w:hAnsi="Times New Roman" w:cs="Times New Roman"/>
                <w:sz w:val="20"/>
                <w:szCs w:val="20"/>
              </w:rPr>
            </w:pPr>
            <w:r w:rsidRPr="007424E0">
              <w:rPr>
                <w:rFonts w:ascii="Times New Roman" w:eastAsia="Calibri" w:hAnsi="Times New Roman" w:cs="Times New Roman"/>
                <w:sz w:val="20"/>
                <w:szCs w:val="20"/>
              </w:rPr>
              <w:t>Please see description of In-Place Waiver Relocation Requirements on pages 16 and 17 of the DCA Relocation Manual.</w:t>
            </w:r>
          </w:p>
          <w:p w14:paraId="0DBD8393" w14:textId="77777777" w:rsidR="00412798" w:rsidRPr="007424E0" w:rsidRDefault="00412798" w:rsidP="000F6D48">
            <w:pPr>
              <w:pStyle w:val="ListParagraph"/>
              <w:numPr>
                <w:ilvl w:val="1"/>
                <w:numId w:val="7"/>
              </w:numPr>
              <w:rPr>
                <w:rFonts w:ascii="Times New Roman" w:eastAsia="Calibri" w:hAnsi="Times New Roman" w:cs="Times New Roman"/>
                <w:sz w:val="20"/>
                <w:szCs w:val="20"/>
              </w:rPr>
            </w:pPr>
            <w:r w:rsidRPr="007424E0">
              <w:rPr>
                <w:rFonts w:ascii="Times New Roman" w:eastAsia="Calibri" w:hAnsi="Times New Roman" w:cs="Times New Roman"/>
                <w:sz w:val="20"/>
                <w:szCs w:val="20"/>
              </w:rPr>
              <w:t>For relevant requirements, go to “</w:t>
            </w:r>
            <w:r w:rsidRPr="007424E0">
              <w:rPr>
                <w:rFonts w:ascii="Times New Roman" w:eastAsia="Calibri" w:hAnsi="Times New Roman" w:cs="Times New Roman"/>
                <w:i/>
                <w:iCs/>
                <w:sz w:val="20"/>
                <w:szCs w:val="20"/>
              </w:rPr>
              <w:t>2022 Federal Compliance &amp; Relocation Manuals and Forms</w:t>
            </w:r>
            <w:r w:rsidRPr="007424E0">
              <w:rPr>
                <w:rFonts w:ascii="Times New Roman" w:eastAsia="Calibri" w:hAnsi="Times New Roman" w:cs="Times New Roman"/>
                <w:sz w:val="20"/>
                <w:szCs w:val="20"/>
              </w:rPr>
              <w:t>” on DCA website (</w:t>
            </w:r>
            <w:hyperlink r:id="rId62" w:history="1">
              <w:r w:rsidRPr="007424E0">
                <w:rPr>
                  <w:rStyle w:val="Hyperlink"/>
                  <w:rFonts w:ascii="Times New Roman" w:eastAsia="Calibri" w:hAnsi="Times New Roman" w:cs="Times New Roman"/>
                  <w:color w:val="auto"/>
                  <w:sz w:val="20"/>
                  <w:szCs w:val="20"/>
                </w:rPr>
                <w:t>click here</w:t>
              </w:r>
            </w:hyperlink>
            <w:r w:rsidRPr="007424E0">
              <w:rPr>
                <w:rFonts w:ascii="Times New Roman" w:eastAsia="Calibri" w:hAnsi="Times New Roman" w:cs="Times New Roman"/>
                <w:sz w:val="20"/>
                <w:szCs w:val="20"/>
              </w:rPr>
              <w:t>) -- download “</w:t>
            </w:r>
            <w:r w:rsidRPr="007424E0">
              <w:rPr>
                <w:rFonts w:ascii="Times New Roman" w:eastAsia="Calibri" w:hAnsi="Times New Roman" w:cs="Times New Roman"/>
                <w:i/>
                <w:iCs/>
                <w:sz w:val="20"/>
                <w:szCs w:val="20"/>
              </w:rPr>
              <w:t>2022 DCA Relocation Manual.pdf</w:t>
            </w:r>
            <w:r w:rsidRPr="007424E0">
              <w:rPr>
                <w:rFonts w:ascii="Times New Roman" w:eastAsia="Calibri" w:hAnsi="Times New Roman" w:cs="Times New Roman"/>
                <w:sz w:val="20"/>
                <w:szCs w:val="20"/>
              </w:rPr>
              <w:t>” -- see section “</w:t>
            </w:r>
            <w:r w:rsidRPr="007424E0">
              <w:rPr>
                <w:rFonts w:ascii="Times New Roman" w:eastAsia="Calibri" w:hAnsi="Times New Roman" w:cs="Times New Roman"/>
                <w:i/>
                <w:iCs/>
                <w:sz w:val="20"/>
                <w:szCs w:val="20"/>
              </w:rPr>
              <w:t>In-Place Rehab with Waiver</w:t>
            </w:r>
            <w:r w:rsidRPr="007424E0">
              <w:rPr>
                <w:rFonts w:ascii="Times New Roman" w:eastAsia="Calibri" w:hAnsi="Times New Roman" w:cs="Times New Roman"/>
                <w:sz w:val="20"/>
                <w:szCs w:val="20"/>
              </w:rPr>
              <w:t>.”</w:t>
            </w:r>
          </w:p>
          <w:p w14:paraId="3A6D52C7" w14:textId="77777777" w:rsidR="00412798" w:rsidRPr="007424E0" w:rsidRDefault="00412798" w:rsidP="000F6D48">
            <w:pPr>
              <w:pStyle w:val="ListParagraph"/>
              <w:numPr>
                <w:ilvl w:val="0"/>
                <w:numId w:val="7"/>
              </w:numPr>
              <w:rPr>
                <w:rFonts w:ascii="Times New Roman" w:eastAsia="Calibri" w:hAnsi="Times New Roman" w:cs="Times New Roman"/>
                <w:sz w:val="20"/>
                <w:szCs w:val="20"/>
              </w:rPr>
            </w:pPr>
            <w:r w:rsidRPr="007424E0">
              <w:rPr>
                <w:rFonts w:ascii="Times New Roman" w:eastAsia="Calibri" w:hAnsi="Times New Roman" w:cs="Times New Roman"/>
                <w:sz w:val="20"/>
                <w:szCs w:val="20"/>
              </w:rPr>
              <w:t xml:space="preserve">Updated Relocation and Displacement Workbook: Submit the Workbook based on the checklist below: </w:t>
            </w:r>
          </w:p>
          <w:p w14:paraId="0F0D74DD" w14:textId="77777777" w:rsidR="00412798" w:rsidRPr="007424E0" w:rsidRDefault="00412798" w:rsidP="000F6D48">
            <w:pPr>
              <w:pStyle w:val="ListParagraph"/>
              <w:numPr>
                <w:ilvl w:val="1"/>
                <w:numId w:val="7"/>
              </w:numPr>
              <w:rPr>
                <w:rFonts w:ascii="Times New Roman" w:eastAsia="Calibri" w:hAnsi="Times New Roman" w:cs="Times New Roman"/>
                <w:sz w:val="20"/>
                <w:szCs w:val="20"/>
              </w:rPr>
            </w:pPr>
            <w:r w:rsidRPr="007424E0">
              <w:rPr>
                <w:rFonts w:ascii="Times New Roman" w:eastAsia="Calibri" w:hAnsi="Times New Roman" w:cs="Times New Roman"/>
                <w:sz w:val="20"/>
                <w:szCs w:val="20"/>
              </w:rPr>
              <w:t>Go to “</w:t>
            </w:r>
            <w:r w:rsidRPr="007424E0">
              <w:rPr>
                <w:rFonts w:ascii="Times New Roman" w:eastAsia="Calibri" w:hAnsi="Times New Roman" w:cs="Times New Roman"/>
                <w:i/>
                <w:iCs/>
                <w:sz w:val="20"/>
                <w:szCs w:val="20"/>
              </w:rPr>
              <w:t>2022 Federal Compliance &amp; Relocation Manuals and Forms</w:t>
            </w:r>
            <w:r w:rsidRPr="007424E0">
              <w:rPr>
                <w:rFonts w:ascii="Times New Roman" w:eastAsia="Calibri" w:hAnsi="Times New Roman" w:cs="Times New Roman"/>
                <w:sz w:val="20"/>
                <w:szCs w:val="20"/>
              </w:rPr>
              <w:t>” on DCA website (</w:t>
            </w:r>
            <w:hyperlink r:id="rId63" w:history="1">
              <w:r w:rsidRPr="007424E0">
                <w:rPr>
                  <w:rStyle w:val="Hyperlink"/>
                  <w:rFonts w:ascii="Times New Roman" w:eastAsia="Calibri" w:hAnsi="Times New Roman" w:cs="Times New Roman"/>
                  <w:color w:val="auto"/>
                  <w:sz w:val="20"/>
                  <w:szCs w:val="20"/>
                </w:rPr>
                <w:t>click here</w:t>
              </w:r>
            </w:hyperlink>
            <w:r w:rsidRPr="007424E0">
              <w:rPr>
                <w:rFonts w:ascii="Times New Roman" w:eastAsia="Calibri" w:hAnsi="Times New Roman" w:cs="Times New Roman"/>
                <w:sz w:val="20"/>
                <w:szCs w:val="20"/>
              </w:rPr>
              <w:t>) -- download “</w:t>
            </w:r>
            <w:r w:rsidRPr="007424E0">
              <w:rPr>
                <w:rFonts w:ascii="Times New Roman" w:eastAsia="Calibri" w:hAnsi="Times New Roman" w:cs="Times New Roman"/>
                <w:i/>
                <w:iCs/>
                <w:sz w:val="20"/>
                <w:szCs w:val="20"/>
              </w:rPr>
              <w:t>Relocation Documents for Multifamily - LIHTC Only.zip</w:t>
            </w:r>
            <w:r w:rsidRPr="007424E0">
              <w:rPr>
                <w:rFonts w:ascii="Times New Roman" w:eastAsia="Calibri" w:hAnsi="Times New Roman" w:cs="Times New Roman"/>
                <w:sz w:val="20"/>
                <w:szCs w:val="20"/>
              </w:rPr>
              <w:t>” -- “</w:t>
            </w:r>
            <w:r w:rsidRPr="007424E0">
              <w:rPr>
                <w:rFonts w:ascii="Times New Roman" w:eastAsia="Calibri" w:hAnsi="Times New Roman" w:cs="Times New Roman"/>
                <w:i/>
                <w:iCs/>
                <w:sz w:val="20"/>
                <w:szCs w:val="20"/>
              </w:rPr>
              <w:t xml:space="preserve">Toolkit.Multifamily-LIHTCOnly.pdf” -- </w:t>
            </w:r>
            <w:r w:rsidRPr="007424E0">
              <w:rPr>
                <w:rFonts w:ascii="Times New Roman" w:eastAsia="Calibri" w:hAnsi="Times New Roman" w:cs="Times New Roman"/>
                <w:sz w:val="20"/>
                <w:szCs w:val="20"/>
              </w:rPr>
              <w:t>see</w:t>
            </w:r>
            <w:r w:rsidRPr="007424E0">
              <w:rPr>
                <w:rFonts w:ascii="Times New Roman" w:eastAsia="Calibri" w:hAnsi="Times New Roman" w:cs="Times New Roman"/>
                <w:i/>
                <w:iCs/>
                <w:sz w:val="20"/>
                <w:szCs w:val="20"/>
              </w:rPr>
              <w:t xml:space="preserve"> </w:t>
            </w:r>
            <w:r w:rsidRPr="007424E0">
              <w:rPr>
                <w:rFonts w:ascii="Times New Roman" w:eastAsia="Calibri" w:hAnsi="Times New Roman" w:cs="Times New Roman"/>
                <w:sz w:val="20"/>
                <w:szCs w:val="20"/>
              </w:rPr>
              <w:t xml:space="preserve">section </w:t>
            </w:r>
            <w:r w:rsidRPr="007424E0">
              <w:rPr>
                <w:rFonts w:ascii="Times New Roman" w:eastAsia="Calibri" w:hAnsi="Times New Roman" w:cs="Times New Roman"/>
                <w:i/>
                <w:iCs/>
                <w:sz w:val="20"/>
                <w:szCs w:val="20"/>
              </w:rPr>
              <w:t>Relocation Workbook Checklist</w:t>
            </w:r>
            <w:r w:rsidRPr="007424E0">
              <w:rPr>
                <w:rFonts w:ascii="Times New Roman" w:eastAsia="Calibri" w:hAnsi="Times New Roman" w:cs="Times New Roman"/>
                <w:sz w:val="20"/>
                <w:szCs w:val="20"/>
              </w:rPr>
              <w:t xml:space="preserve">, checklist associated with subsection </w:t>
            </w:r>
            <w:r w:rsidRPr="007424E0">
              <w:rPr>
                <w:rFonts w:ascii="Times New Roman" w:eastAsia="Calibri" w:hAnsi="Times New Roman" w:cs="Times New Roman"/>
                <w:i/>
                <w:iCs/>
                <w:sz w:val="20"/>
                <w:szCs w:val="20"/>
              </w:rPr>
              <w:t>Pre-Application Submission.</w:t>
            </w:r>
            <w:r w:rsidRPr="007424E0">
              <w:rPr>
                <w:rFonts w:ascii="Times New Roman" w:eastAsia="Calibri" w:hAnsi="Times New Roman" w:cs="Times New Roman"/>
                <w:sz w:val="20"/>
                <w:szCs w:val="20"/>
              </w:rPr>
              <w:t xml:space="preserve"> </w:t>
            </w:r>
          </w:p>
          <w:p w14:paraId="1248EA3A" w14:textId="77777777" w:rsidR="00412798" w:rsidRPr="007424E0" w:rsidRDefault="00412798" w:rsidP="000F6D48">
            <w:pPr>
              <w:pStyle w:val="ListParagraph"/>
              <w:numPr>
                <w:ilvl w:val="0"/>
                <w:numId w:val="7"/>
              </w:numPr>
              <w:rPr>
                <w:rFonts w:ascii="Times New Roman" w:eastAsia="Calibri" w:hAnsi="Times New Roman" w:cs="Times New Roman"/>
                <w:sz w:val="20"/>
                <w:szCs w:val="20"/>
              </w:rPr>
            </w:pPr>
            <w:r w:rsidRPr="007424E0">
              <w:rPr>
                <w:rFonts w:ascii="Times New Roman" w:eastAsia="Calibri" w:hAnsi="Times New Roman" w:cs="Times New Roman"/>
                <w:sz w:val="20"/>
                <w:szCs w:val="20"/>
              </w:rPr>
              <w:t xml:space="preserve">Manually fill in the Pre-Application Relocation Summary tab. </w:t>
            </w:r>
          </w:p>
          <w:p w14:paraId="124E5F6E" w14:textId="77777777" w:rsidR="00412798" w:rsidRPr="007424E0" w:rsidRDefault="00412798" w:rsidP="000F6D48">
            <w:pPr>
              <w:pStyle w:val="ListParagraph"/>
              <w:numPr>
                <w:ilvl w:val="1"/>
                <w:numId w:val="7"/>
              </w:numPr>
              <w:rPr>
                <w:rFonts w:ascii="Times New Roman" w:eastAsia="Calibri" w:hAnsi="Times New Roman" w:cs="Times New Roman"/>
                <w:sz w:val="20"/>
                <w:szCs w:val="20"/>
              </w:rPr>
            </w:pPr>
            <w:r w:rsidRPr="007424E0">
              <w:rPr>
                <w:rFonts w:ascii="Times New Roman" w:eastAsia="Calibri" w:hAnsi="Times New Roman" w:cs="Times New Roman"/>
                <w:sz w:val="20"/>
                <w:szCs w:val="20"/>
              </w:rPr>
              <w:t>Go to “</w:t>
            </w:r>
            <w:r w:rsidRPr="007424E0">
              <w:rPr>
                <w:rFonts w:ascii="Times New Roman" w:eastAsia="Calibri" w:hAnsi="Times New Roman" w:cs="Times New Roman"/>
                <w:i/>
                <w:iCs/>
                <w:sz w:val="20"/>
                <w:szCs w:val="20"/>
              </w:rPr>
              <w:t>2022 Pre-Application Forms</w:t>
            </w:r>
            <w:r w:rsidRPr="007424E0">
              <w:rPr>
                <w:rFonts w:ascii="Times New Roman" w:eastAsia="Calibri" w:hAnsi="Times New Roman" w:cs="Times New Roman"/>
                <w:sz w:val="20"/>
                <w:szCs w:val="20"/>
              </w:rPr>
              <w:t>” --  download “</w:t>
            </w:r>
            <w:r w:rsidRPr="007424E0">
              <w:rPr>
                <w:rFonts w:ascii="Times New Roman" w:eastAsia="Calibri" w:hAnsi="Times New Roman" w:cs="Times New Roman"/>
                <w:i/>
                <w:iCs/>
                <w:sz w:val="20"/>
                <w:szCs w:val="20"/>
              </w:rPr>
              <w:t>2022 Supplemental Pre-Application (includes Submission Summary tab for Fee Transmittal)</w:t>
            </w:r>
            <w:r w:rsidRPr="007424E0">
              <w:rPr>
                <w:rFonts w:ascii="Times New Roman" w:eastAsia="Calibri" w:hAnsi="Times New Roman" w:cs="Times New Roman"/>
                <w:sz w:val="20"/>
                <w:szCs w:val="20"/>
              </w:rPr>
              <w:t>” -- see “</w:t>
            </w:r>
            <w:r w:rsidRPr="007424E0">
              <w:rPr>
                <w:rFonts w:ascii="Times New Roman" w:eastAsia="Calibri" w:hAnsi="Times New Roman" w:cs="Times New Roman"/>
                <w:i/>
                <w:iCs/>
                <w:sz w:val="20"/>
                <w:szCs w:val="20"/>
              </w:rPr>
              <w:t>Relocation Summary</w:t>
            </w:r>
            <w:r w:rsidRPr="007424E0">
              <w:rPr>
                <w:rFonts w:ascii="Times New Roman" w:eastAsia="Calibri" w:hAnsi="Times New Roman" w:cs="Times New Roman"/>
                <w:sz w:val="20"/>
                <w:szCs w:val="20"/>
              </w:rPr>
              <w:t xml:space="preserve">” tab. </w:t>
            </w:r>
          </w:p>
          <w:p w14:paraId="63AFC6D1" w14:textId="77777777" w:rsidR="00412798" w:rsidRPr="007424E0" w:rsidRDefault="00412798" w:rsidP="000F6D48">
            <w:pPr>
              <w:pStyle w:val="ListParagraph"/>
              <w:numPr>
                <w:ilvl w:val="0"/>
                <w:numId w:val="7"/>
              </w:numPr>
              <w:rPr>
                <w:rFonts w:ascii="Times New Roman" w:eastAsia="Calibri" w:hAnsi="Times New Roman" w:cs="Times New Roman"/>
                <w:sz w:val="20"/>
                <w:szCs w:val="20"/>
              </w:rPr>
            </w:pPr>
            <w:r w:rsidRPr="007424E0">
              <w:rPr>
                <w:rFonts w:ascii="Times New Roman" w:eastAsia="Calibri" w:hAnsi="Times New Roman" w:cs="Times New Roman"/>
                <w:sz w:val="20"/>
                <w:szCs w:val="20"/>
              </w:rPr>
              <w:t xml:space="preserve">Written confirmation from federal agency (if applicable); and </w:t>
            </w:r>
          </w:p>
          <w:p w14:paraId="696B212E" w14:textId="77777777" w:rsidR="00412798" w:rsidRPr="007424E0" w:rsidRDefault="00412798" w:rsidP="000F6D48">
            <w:pPr>
              <w:pStyle w:val="ListParagraph"/>
              <w:numPr>
                <w:ilvl w:val="0"/>
                <w:numId w:val="7"/>
              </w:numPr>
              <w:rPr>
                <w:rFonts w:ascii="Times New Roman" w:eastAsia="Calibri" w:hAnsi="Times New Roman" w:cs="Times New Roman"/>
                <w:sz w:val="20"/>
                <w:szCs w:val="20"/>
              </w:rPr>
            </w:pPr>
            <w:r w:rsidRPr="007424E0">
              <w:rPr>
                <w:rFonts w:ascii="Times New Roman" w:eastAsia="Calibri" w:hAnsi="Times New Roman" w:cs="Times New Roman"/>
                <w:sz w:val="20"/>
                <w:szCs w:val="20"/>
              </w:rPr>
              <w:t>Any other supporting documentation.</w:t>
            </w:r>
          </w:p>
          <w:p w14:paraId="4DE4D912" w14:textId="77777777" w:rsidR="00412798" w:rsidRPr="007424E0" w:rsidRDefault="00412798" w:rsidP="000F6D48">
            <w:pPr>
              <w:contextualSpacing/>
              <w:rPr>
                <w:rFonts w:ascii="Times New Roman" w:eastAsia="Calibri" w:hAnsi="Times New Roman" w:cs="Times New Roman"/>
                <w:sz w:val="20"/>
                <w:szCs w:val="20"/>
              </w:rPr>
            </w:pPr>
          </w:p>
          <w:p w14:paraId="5F686EF0" w14:textId="77777777" w:rsidR="00412798" w:rsidRPr="007424E0" w:rsidRDefault="00412798" w:rsidP="000F6D48">
            <w:pPr>
              <w:contextualSpacing/>
              <w:rPr>
                <w:rFonts w:ascii="Times New Roman" w:eastAsia="Calibri" w:hAnsi="Times New Roman" w:cs="Times New Roman"/>
                <w:sz w:val="20"/>
                <w:szCs w:val="20"/>
              </w:rPr>
            </w:pPr>
            <w:r w:rsidRPr="007424E0">
              <w:rPr>
                <w:rFonts w:ascii="Times New Roman" w:eastAsia="Calibri" w:hAnsi="Times New Roman" w:cs="Times New Roman"/>
                <w:sz w:val="20"/>
                <w:szCs w:val="20"/>
              </w:rPr>
              <w:lastRenderedPageBreak/>
              <w:t xml:space="preserve">The same tabs in the checklist on page 6 must be completed in the Relocation Excel Workbook for an In-Place Rehab Waiver. This completed waiver documentation is required along with a copy of the GIN Draft.  </w:t>
            </w:r>
          </w:p>
        </w:tc>
      </w:tr>
      <w:tr w:rsidR="00412798" w:rsidRPr="007424E0" w14:paraId="64862C50" w14:textId="77777777" w:rsidTr="64301FE8">
        <w:trPr>
          <w:jc w:val="center"/>
        </w:trPr>
        <w:tc>
          <w:tcPr>
            <w:tcW w:w="1697" w:type="dxa"/>
            <w:shd w:val="clear" w:color="auto" w:fill="auto"/>
            <w:tcMar>
              <w:top w:w="72" w:type="dxa"/>
              <w:left w:w="115" w:type="dxa"/>
              <w:bottom w:w="72" w:type="dxa"/>
              <w:right w:w="115" w:type="dxa"/>
            </w:tcMar>
            <w:vAlign w:val="center"/>
          </w:tcPr>
          <w:p w14:paraId="52D57D3E"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lastRenderedPageBreak/>
              <w:t>3/3/22</w:t>
            </w:r>
          </w:p>
        </w:tc>
        <w:tc>
          <w:tcPr>
            <w:tcW w:w="2663" w:type="dxa"/>
            <w:shd w:val="clear" w:color="auto" w:fill="auto"/>
            <w:tcMar>
              <w:top w:w="72" w:type="dxa"/>
              <w:left w:w="115" w:type="dxa"/>
              <w:bottom w:w="72" w:type="dxa"/>
              <w:right w:w="115" w:type="dxa"/>
            </w:tcMar>
            <w:vAlign w:val="center"/>
          </w:tcPr>
          <w:p w14:paraId="63329F32"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2.25</w:t>
            </w:r>
          </w:p>
          <w:p w14:paraId="28121BAE"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Threshold Criteria;</w:t>
            </w:r>
          </w:p>
          <w:p w14:paraId="59BCA5DF"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Occupied Developments</w:t>
            </w:r>
          </w:p>
        </w:tc>
        <w:tc>
          <w:tcPr>
            <w:tcW w:w="9585" w:type="dxa"/>
            <w:shd w:val="clear" w:color="auto" w:fill="auto"/>
            <w:tcMar>
              <w:top w:w="72" w:type="dxa"/>
              <w:left w:w="115" w:type="dxa"/>
              <w:bottom w:w="72" w:type="dxa"/>
              <w:right w:w="115" w:type="dxa"/>
            </w:tcMar>
            <w:vAlign w:val="center"/>
          </w:tcPr>
          <w:p w14:paraId="353436AD"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Question</w:t>
            </w:r>
            <w:r w:rsidRPr="007424E0">
              <w:rPr>
                <w:rFonts w:ascii="Times New Roman" w:eastAsia="Times New Roman" w:hAnsi="Times New Roman" w:cs="Times New Roman"/>
                <w:sz w:val="20"/>
                <w:szCs w:val="20"/>
              </w:rPr>
              <w:t>: Q0216_02 </w:t>
            </w:r>
          </w:p>
          <w:p w14:paraId="2F225C72"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It is likely that some of our market rate residents will not qualify for a tax credit unit after re-syndication and rehabilitation. Do we need to apply for a waiver during the Pre-Application stage?  </w:t>
            </w:r>
          </w:p>
          <w:p w14:paraId="544153D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r w:rsidRPr="007424E0">
              <w:rPr>
                <w:rFonts w:ascii="Times New Roman" w:eastAsia="Times New Roman" w:hAnsi="Times New Roman" w:cs="Times New Roman"/>
                <w:sz w:val="20"/>
                <w:szCs w:val="20"/>
              </w:rPr>
              <w:br/>
            </w:r>
            <w:r w:rsidRPr="007424E0">
              <w:rPr>
                <w:rFonts w:ascii="Times New Roman" w:eastAsia="Times New Roman" w:hAnsi="Times New Roman" w:cs="Times New Roman"/>
                <w:b/>
                <w:bCs/>
                <w:sz w:val="20"/>
                <w:szCs w:val="20"/>
              </w:rPr>
              <w:t>Answer</w:t>
            </w:r>
            <w:r w:rsidRPr="007424E0">
              <w:rPr>
                <w:rFonts w:ascii="Times New Roman" w:eastAsia="Times New Roman" w:hAnsi="Times New Roman" w:cs="Times New Roman"/>
                <w:sz w:val="20"/>
                <w:szCs w:val="20"/>
              </w:rPr>
              <w:t>:  </w:t>
            </w:r>
          </w:p>
          <w:p w14:paraId="693A0B16"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Yes. The QAP states:  </w:t>
            </w:r>
          </w:p>
          <w:p w14:paraId="72C83CBB" w14:textId="77777777" w:rsidR="00412798" w:rsidRPr="007424E0" w:rsidRDefault="00412798" w:rsidP="000F6D48">
            <w:pPr>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sz w:val="20"/>
                <w:szCs w:val="20"/>
              </w:rPr>
              <w:t> </w:t>
            </w:r>
          </w:p>
          <w:p w14:paraId="06CEC7CD" w14:textId="77777777" w:rsidR="00412798" w:rsidRPr="007424E0" w:rsidRDefault="00412798" w:rsidP="000F6D48">
            <w:pPr>
              <w:ind w:left="720"/>
              <w:textAlignment w:val="baseline"/>
              <w:rPr>
                <w:rFonts w:ascii="Times New Roman" w:eastAsia="Times New Roman" w:hAnsi="Times New Roman" w:cs="Times New Roman"/>
                <w:sz w:val="20"/>
                <w:szCs w:val="20"/>
              </w:rPr>
            </w:pPr>
            <w:r w:rsidRPr="007424E0">
              <w:rPr>
                <w:rFonts w:ascii="Times New Roman" w:eastAsia="Times New Roman" w:hAnsi="Times New Roman" w:cs="Times New Roman"/>
                <w:b/>
                <w:bCs/>
                <w:sz w:val="20"/>
                <w:szCs w:val="20"/>
              </w:rPr>
              <w:t>Threshold Criteria, Occupied Developments</w:t>
            </w:r>
            <w:r w:rsidRPr="007424E0">
              <w:rPr>
                <w:rFonts w:ascii="Times New Roman" w:eastAsia="Times New Roman" w:hAnsi="Times New Roman" w:cs="Times New Roman"/>
                <w:sz w:val="20"/>
                <w:szCs w:val="20"/>
              </w:rPr>
              <w:t>: “</w:t>
            </w:r>
            <w:r w:rsidRPr="007424E0">
              <w:rPr>
                <w:rFonts w:ascii="Times New Roman" w:eastAsia="Times New Roman" w:hAnsi="Times New Roman" w:cs="Times New Roman"/>
                <w:i/>
                <w:iCs/>
                <w:sz w:val="20"/>
                <w:szCs w:val="20"/>
              </w:rPr>
              <w:t>Applicants that foresee in-place rehabilitation or permanent displacement of residents or non-residential tenants must submit a waiver request at pre-application</w:t>
            </w:r>
            <w:r w:rsidRPr="007424E0">
              <w:rPr>
                <w:rFonts w:ascii="Times New Roman" w:eastAsia="Times New Roman" w:hAnsi="Times New Roman" w:cs="Times New Roman"/>
                <w:sz w:val="20"/>
                <w:szCs w:val="20"/>
              </w:rPr>
              <w:t>.” </w:t>
            </w:r>
          </w:p>
          <w:p w14:paraId="45D3AC4F" w14:textId="77777777" w:rsidR="00412798" w:rsidRPr="007424E0" w:rsidRDefault="00412798" w:rsidP="000F6D48">
            <w:pPr>
              <w:contextualSpacing/>
              <w:rPr>
                <w:rFonts w:ascii="Times New Roman" w:hAnsi="Times New Roman" w:cs="Times New Roman"/>
                <w:b/>
                <w:bCs/>
                <w:sz w:val="20"/>
                <w:szCs w:val="20"/>
              </w:rPr>
            </w:pPr>
          </w:p>
        </w:tc>
      </w:tr>
      <w:tr w:rsidR="00412798" w:rsidRPr="007424E0" w14:paraId="67D07097" w14:textId="77777777" w:rsidTr="64301FE8">
        <w:trPr>
          <w:jc w:val="center"/>
        </w:trPr>
        <w:tc>
          <w:tcPr>
            <w:tcW w:w="1697" w:type="dxa"/>
            <w:shd w:val="clear" w:color="auto" w:fill="auto"/>
            <w:tcMar>
              <w:top w:w="72" w:type="dxa"/>
              <w:left w:w="115" w:type="dxa"/>
              <w:bottom w:w="72" w:type="dxa"/>
              <w:right w:w="115" w:type="dxa"/>
            </w:tcMar>
            <w:vAlign w:val="center"/>
          </w:tcPr>
          <w:p w14:paraId="0A5EDC32"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2/25/22</w:t>
            </w:r>
          </w:p>
        </w:tc>
        <w:tc>
          <w:tcPr>
            <w:tcW w:w="2663" w:type="dxa"/>
            <w:shd w:val="clear" w:color="auto" w:fill="auto"/>
            <w:tcMar>
              <w:top w:w="72" w:type="dxa"/>
              <w:left w:w="115" w:type="dxa"/>
              <w:bottom w:w="72" w:type="dxa"/>
              <w:right w:w="115" w:type="dxa"/>
            </w:tcMar>
            <w:vAlign w:val="center"/>
          </w:tcPr>
          <w:p w14:paraId="7432298D"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2.20</w:t>
            </w:r>
          </w:p>
          <w:p w14:paraId="4370F9B0"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 xml:space="preserve">Threshold Criteria; </w:t>
            </w:r>
          </w:p>
          <w:p w14:paraId="6027AB54" w14:textId="77777777" w:rsidR="00412798" w:rsidRPr="007424E0" w:rsidRDefault="00412798" w:rsidP="000F6D48">
            <w:pPr>
              <w:contextualSpacing/>
              <w:rPr>
                <w:rFonts w:ascii="Times New Roman" w:hAnsi="Times New Roman" w:cs="Times New Roman"/>
                <w:noProof/>
                <w:sz w:val="20"/>
                <w:szCs w:val="20"/>
              </w:rPr>
            </w:pPr>
            <w:r w:rsidRPr="007424E0">
              <w:rPr>
                <w:rFonts w:ascii="Times New Roman" w:hAnsi="Times New Roman" w:cs="Times New Roman"/>
                <w:noProof/>
                <w:sz w:val="20"/>
                <w:szCs w:val="20"/>
              </w:rPr>
              <w:t>Experience, Capacity and Performance Requirements for General Partner and Developer Entities</w:t>
            </w:r>
          </w:p>
        </w:tc>
        <w:tc>
          <w:tcPr>
            <w:tcW w:w="9585" w:type="dxa"/>
            <w:shd w:val="clear" w:color="auto" w:fill="auto"/>
            <w:tcMar>
              <w:top w:w="72" w:type="dxa"/>
              <w:left w:w="115" w:type="dxa"/>
              <w:bottom w:w="72" w:type="dxa"/>
              <w:right w:w="115" w:type="dxa"/>
            </w:tcMar>
            <w:vAlign w:val="center"/>
          </w:tcPr>
          <w:p w14:paraId="6CE49FE9"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Question</w:t>
            </w:r>
            <w:r w:rsidRPr="007424E0">
              <w:rPr>
                <w:rStyle w:val="normaltextrun"/>
                <w:sz w:val="20"/>
                <w:szCs w:val="20"/>
              </w:rPr>
              <w:t>: Q0218_02</w:t>
            </w:r>
            <w:r w:rsidRPr="007424E0">
              <w:rPr>
                <w:rStyle w:val="eop"/>
                <w:sz w:val="20"/>
                <w:szCs w:val="20"/>
              </w:rPr>
              <w:t> </w:t>
            </w:r>
          </w:p>
          <w:p w14:paraId="19D7AB27"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We were pre-qualified last year. Do we need to submit another pre-application for qualifications review this year or could we rely on last year’s qualified determination? </w:t>
            </w:r>
            <w:r w:rsidRPr="007424E0">
              <w:rPr>
                <w:rStyle w:val="eop"/>
                <w:sz w:val="20"/>
                <w:szCs w:val="20"/>
              </w:rPr>
              <w:t> </w:t>
            </w:r>
            <w:r w:rsidRPr="007424E0">
              <w:rPr>
                <w:rStyle w:val="normaltextrun"/>
                <w:sz w:val="20"/>
                <w:szCs w:val="20"/>
              </w:rPr>
              <w:t>If the latter, do we just submit last year’s qualifications approval with our Full Application? </w:t>
            </w:r>
            <w:r w:rsidRPr="007424E0">
              <w:rPr>
                <w:rStyle w:val="eop"/>
                <w:sz w:val="20"/>
                <w:szCs w:val="20"/>
              </w:rPr>
              <w:t> </w:t>
            </w:r>
          </w:p>
          <w:p w14:paraId="01CDB43D"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4B883D0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b/>
                <w:bCs/>
                <w:sz w:val="20"/>
                <w:szCs w:val="20"/>
              </w:rPr>
              <w:t>Answer</w:t>
            </w:r>
            <w:r w:rsidRPr="007424E0">
              <w:rPr>
                <w:rStyle w:val="normaltextrun"/>
                <w:sz w:val="20"/>
                <w:szCs w:val="20"/>
              </w:rPr>
              <w:t>:</w:t>
            </w:r>
            <w:r w:rsidRPr="007424E0">
              <w:rPr>
                <w:rStyle w:val="eop"/>
                <w:sz w:val="20"/>
                <w:szCs w:val="20"/>
              </w:rPr>
              <w:t> </w:t>
            </w:r>
          </w:p>
          <w:p w14:paraId="449B4B6F"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 xml:space="preserve">The 2022 QAP states in </w:t>
            </w:r>
            <w:r w:rsidRPr="007424E0">
              <w:rPr>
                <w:rStyle w:val="normaltextrun"/>
                <w:i/>
                <w:iCs/>
                <w:sz w:val="20"/>
                <w:szCs w:val="20"/>
              </w:rPr>
              <w:t>Threshold Criteria, Experience, Capacity and Performance Requirements for General Partner and Developer Entities: </w:t>
            </w:r>
            <w:r w:rsidRPr="007424E0">
              <w:rPr>
                <w:rStyle w:val="normaltextrun"/>
                <w:i/>
                <w:iCs/>
                <w:sz w:val="20"/>
                <w:szCs w:val="20"/>
              </w:rPr>
              <w:br/>
            </w:r>
            <w:r w:rsidRPr="007424E0">
              <w:rPr>
                <w:rStyle w:val="eop"/>
                <w:i/>
                <w:iCs/>
                <w:sz w:val="20"/>
                <w:szCs w:val="20"/>
              </w:rPr>
              <w:t> </w:t>
            </w:r>
          </w:p>
          <w:p w14:paraId="14A9A9C8" w14:textId="77777777" w:rsidR="00412798" w:rsidRPr="007424E0" w:rsidRDefault="00412798" w:rsidP="000F6D48">
            <w:pPr>
              <w:pStyle w:val="paragraph"/>
              <w:numPr>
                <w:ilvl w:val="0"/>
                <w:numId w:val="6"/>
              </w:numPr>
              <w:spacing w:before="0" w:beforeAutospacing="0" w:after="0" w:afterAutospacing="0"/>
              <w:textAlignment w:val="baseline"/>
              <w:rPr>
                <w:sz w:val="20"/>
                <w:szCs w:val="20"/>
              </w:rPr>
            </w:pPr>
            <w:r w:rsidRPr="007424E0">
              <w:rPr>
                <w:rStyle w:val="normaltextrun"/>
                <w:i/>
                <w:iCs/>
                <w:sz w:val="20"/>
                <w:szCs w:val="20"/>
              </w:rPr>
              <w:t>Overview</w:t>
            </w:r>
            <w:r w:rsidRPr="007424E0">
              <w:rPr>
                <w:rStyle w:val="normaltextrun"/>
                <w:sz w:val="20"/>
                <w:szCs w:val="20"/>
              </w:rPr>
              <w:t>:</w:t>
            </w:r>
            <w:r w:rsidRPr="007424E0">
              <w:rPr>
                <w:rStyle w:val="normaltextrun"/>
                <w:b/>
                <w:bCs/>
                <w:sz w:val="20"/>
                <w:szCs w:val="20"/>
              </w:rPr>
              <w:t xml:space="preserve"> </w:t>
            </w:r>
            <w:r w:rsidRPr="007424E0">
              <w:rPr>
                <w:rStyle w:val="normaltextrun"/>
                <w:sz w:val="20"/>
                <w:szCs w:val="20"/>
              </w:rPr>
              <w:t>“DCA reviews the following four areas of the proposed Project Team: Experience, Capacity, Performance, Compliance History…”</w:t>
            </w:r>
            <w:r w:rsidRPr="007424E0">
              <w:rPr>
                <w:rStyle w:val="eop"/>
                <w:sz w:val="20"/>
                <w:szCs w:val="20"/>
              </w:rPr>
              <w:t> </w:t>
            </w:r>
          </w:p>
          <w:p w14:paraId="4BE329EF" w14:textId="77777777" w:rsidR="00412798" w:rsidRPr="007424E0" w:rsidRDefault="00412798" w:rsidP="000F6D48">
            <w:pPr>
              <w:pStyle w:val="paragraph"/>
              <w:numPr>
                <w:ilvl w:val="0"/>
                <w:numId w:val="6"/>
              </w:numPr>
              <w:spacing w:before="0" w:beforeAutospacing="0" w:after="0" w:afterAutospacing="0"/>
              <w:textAlignment w:val="baseline"/>
              <w:rPr>
                <w:sz w:val="20"/>
                <w:szCs w:val="20"/>
              </w:rPr>
            </w:pPr>
            <w:r w:rsidRPr="007424E0">
              <w:rPr>
                <w:rStyle w:val="normaltextrun"/>
                <w:i/>
                <w:iCs/>
                <w:sz w:val="20"/>
                <w:szCs w:val="20"/>
              </w:rPr>
              <w:t>C. Requirements for Experience (Certifying Entity)</w:t>
            </w:r>
            <w:r w:rsidRPr="007424E0">
              <w:rPr>
                <w:rStyle w:val="normaltextrun"/>
                <w:sz w:val="20"/>
                <w:szCs w:val="20"/>
              </w:rPr>
              <w:t>: “A certifying entity that was deemed to meet experience requirements in 2021 is only exempt from submitting documentation of experience for the 2022 round. All other sections…of the performance workbook must be completed. Only those certifying entities that have received a determination letter of “Qualified” in the 2021 round will be deemed to qualify under grandfathering.”</w:t>
            </w:r>
            <w:r w:rsidRPr="007424E0">
              <w:rPr>
                <w:rStyle w:val="eop"/>
                <w:sz w:val="20"/>
                <w:szCs w:val="20"/>
              </w:rPr>
              <w:t> </w:t>
            </w:r>
          </w:p>
          <w:p w14:paraId="64CC8C37"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eop"/>
                <w:sz w:val="20"/>
                <w:szCs w:val="20"/>
              </w:rPr>
              <w:t> </w:t>
            </w:r>
          </w:p>
          <w:p w14:paraId="162C0462" w14:textId="77777777" w:rsidR="00412798" w:rsidRPr="007424E0" w:rsidRDefault="00412798" w:rsidP="000F6D48">
            <w:pPr>
              <w:pStyle w:val="paragraph"/>
              <w:spacing w:before="0" w:beforeAutospacing="0" w:after="0" w:afterAutospacing="0"/>
              <w:textAlignment w:val="baseline"/>
              <w:rPr>
                <w:sz w:val="20"/>
                <w:szCs w:val="20"/>
              </w:rPr>
            </w:pPr>
            <w:r w:rsidRPr="007424E0">
              <w:rPr>
                <w:rStyle w:val="normaltextrun"/>
                <w:sz w:val="20"/>
                <w:szCs w:val="20"/>
              </w:rPr>
              <w:t>Applicants seeking Experience approval under “grandfathering,” as described above, can submit the letter received from DCA confirming qualifications approval for the 2021 Competitive Round. All other parts of the qualifications review must be submitted in full for the 2022 Competitive Round. </w:t>
            </w:r>
          </w:p>
          <w:p w14:paraId="31B0D462" w14:textId="77777777" w:rsidR="00412798" w:rsidRPr="007424E0" w:rsidRDefault="00412798" w:rsidP="000F6D48">
            <w:pPr>
              <w:contextualSpacing/>
              <w:rPr>
                <w:rFonts w:ascii="Times New Roman" w:hAnsi="Times New Roman" w:cs="Times New Roman"/>
                <w:b/>
                <w:bCs/>
                <w:sz w:val="20"/>
                <w:szCs w:val="20"/>
              </w:rPr>
            </w:pPr>
          </w:p>
        </w:tc>
      </w:tr>
    </w:tbl>
    <w:p w14:paraId="433F1041" w14:textId="77777777" w:rsidR="009A7564" w:rsidRPr="00A938F4" w:rsidRDefault="009A7564" w:rsidP="00424900">
      <w:pPr>
        <w:spacing w:after="0" w:line="240" w:lineRule="auto"/>
        <w:contextualSpacing/>
        <w:rPr>
          <w:rFonts w:ascii="Times New Roman" w:hAnsi="Times New Roman" w:cs="Times New Roman"/>
          <w:noProof/>
        </w:rPr>
      </w:pPr>
    </w:p>
    <w:sectPr w:rsidR="009A7564" w:rsidRPr="00A938F4" w:rsidSect="00A341E3">
      <w:headerReference w:type="default" r:id="rId64"/>
      <w:footerReference w:type="default" r:id="rId65"/>
      <w:headerReference w:type="first" r:id="rId6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4DEE7" w14:textId="77777777" w:rsidR="0050644D" w:rsidRDefault="0050644D" w:rsidP="00441946">
      <w:pPr>
        <w:spacing w:after="0" w:line="240" w:lineRule="auto"/>
      </w:pPr>
      <w:r>
        <w:separator/>
      </w:r>
    </w:p>
  </w:endnote>
  <w:endnote w:type="continuationSeparator" w:id="0">
    <w:p w14:paraId="73DC3327" w14:textId="77777777" w:rsidR="0050644D" w:rsidRDefault="0050644D" w:rsidP="00441946">
      <w:pPr>
        <w:spacing w:after="0" w:line="240" w:lineRule="auto"/>
      </w:pPr>
      <w:r>
        <w:continuationSeparator/>
      </w:r>
    </w:p>
  </w:endnote>
  <w:endnote w:type="continuationNotice" w:id="1">
    <w:p w14:paraId="5016594B" w14:textId="77777777" w:rsidR="0050644D" w:rsidRDefault="005064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FDD60" w14:textId="77777777" w:rsidR="009C4ADE" w:rsidRDefault="009C4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CAB5D" w14:textId="77777777" w:rsidR="0050644D" w:rsidRDefault="0050644D" w:rsidP="00441946">
      <w:pPr>
        <w:spacing w:after="0" w:line="240" w:lineRule="auto"/>
      </w:pPr>
      <w:r>
        <w:separator/>
      </w:r>
    </w:p>
  </w:footnote>
  <w:footnote w:type="continuationSeparator" w:id="0">
    <w:p w14:paraId="1A1B8E2A" w14:textId="77777777" w:rsidR="0050644D" w:rsidRDefault="0050644D" w:rsidP="00441946">
      <w:pPr>
        <w:spacing w:after="0" w:line="240" w:lineRule="auto"/>
      </w:pPr>
      <w:r>
        <w:continuationSeparator/>
      </w:r>
    </w:p>
  </w:footnote>
  <w:footnote w:type="continuationNotice" w:id="1">
    <w:p w14:paraId="106BF1BC" w14:textId="77777777" w:rsidR="0050644D" w:rsidRDefault="005064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42CB" w14:textId="77777777" w:rsidR="009C4ADE" w:rsidRDefault="009C4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6F81A" w14:textId="761E2A05" w:rsidR="00B104DA" w:rsidRPr="00AA437D" w:rsidRDefault="00B104DA">
    <w:pPr>
      <w:pStyle w:val="Header"/>
      <w:rPr>
        <w:rFonts w:ascii="Times New Roman" w:hAnsi="Times New Roman" w:cs="Times New Roman"/>
        <w:sz w:val="24"/>
        <w:szCs w:val="24"/>
      </w:rPr>
    </w:pPr>
    <w:r w:rsidRPr="00AA437D">
      <w:rPr>
        <w:rFonts w:ascii="Times New Roman" w:hAnsi="Times New Roman" w:cs="Times New Roman"/>
        <w:sz w:val="24"/>
        <w:szCs w:val="24"/>
      </w:rPr>
      <w:t xml:space="preserve">Governor Brian Kemp </w:t>
    </w:r>
    <w:r w:rsidRPr="00AA437D">
      <w:rPr>
        <w:rFonts w:ascii="Times New Roman" w:hAnsi="Times New Roman" w:cs="Times New Roman"/>
        <w:sz w:val="24"/>
        <w:szCs w:val="24"/>
      </w:rPr>
      <w:ptab w:relativeTo="margin" w:alignment="center" w:leader="none"/>
    </w:r>
    <w:r w:rsidRPr="00AA437D">
      <w:rPr>
        <w:rFonts w:ascii="Times New Roman" w:hAnsi="Times New Roman" w:cs="Times New Roman"/>
        <w:sz w:val="24"/>
        <w:szCs w:val="24"/>
      </w:rPr>
      <w:ptab w:relativeTo="margin" w:alignment="right" w:leader="none"/>
    </w:r>
    <w:r w:rsidRPr="00AA437D">
      <w:rPr>
        <w:rFonts w:ascii="Times New Roman" w:hAnsi="Times New Roman" w:cs="Times New Roman"/>
        <w:sz w:val="24"/>
        <w:szCs w:val="24"/>
      </w:rPr>
      <w:t>Executive Director Christopher Nunn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0066"/>
    <w:multiLevelType w:val="multilevel"/>
    <w:tmpl w:val="DF4CF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A685F"/>
    <w:multiLevelType w:val="hybridMultilevel"/>
    <w:tmpl w:val="B0842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B6C7E"/>
    <w:multiLevelType w:val="multilevel"/>
    <w:tmpl w:val="D816751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E2C61"/>
    <w:multiLevelType w:val="multilevel"/>
    <w:tmpl w:val="5D84FF9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A850B7"/>
    <w:multiLevelType w:val="multilevel"/>
    <w:tmpl w:val="784C6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FF1AB1"/>
    <w:multiLevelType w:val="multilevel"/>
    <w:tmpl w:val="3F5C32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BF69ED"/>
    <w:multiLevelType w:val="multilevel"/>
    <w:tmpl w:val="FE665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BF5ABD"/>
    <w:multiLevelType w:val="multilevel"/>
    <w:tmpl w:val="86B65C0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BD2F80"/>
    <w:multiLevelType w:val="hybridMultilevel"/>
    <w:tmpl w:val="1F80C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046755"/>
    <w:multiLevelType w:val="multilevel"/>
    <w:tmpl w:val="E5B84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BD78AE"/>
    <w:multiLevelType w:val="hybridMultilevel"/>
    <w:tmpl w:val="FFFFFFFF"/>
    <w:lvl w:ilvl="0" w:tplc="0D1AF1BC">
      <w:start w:val="1"/>
      <w:numFmt w:val="decimal"/>
      <w:lvlText w:val="%1."/>
      <w:lvlJc w:val="left"/>
      <w:pPr>
        <w:ind w:left="720" w:hanging="360"/>
      </w:pPr>
    </w:lvl>
    <w:lvl w:ilvl="1" w:tplc="5142A162">
      <w:start w:val="1"/>
      <w:numFmt w:val="lowerLetter"/>
      <w:lvlText w:val="%2."/>
      <w:lvlJc w:val="left"/>
      <w:pPr>
        <w:ind w:left="1440" w:hanging="360"/>
      </w:pPr>
    </w:lvl>
    <w:lvl w:ilvl="2" w:tplc="B574BEE4">
      <w:start w:val="1"/>
      <w:numFmt w:val="lowerRoman"/>
      <w:lvlText w:val="%3."/>
      <w:lvlJc w:val="right"/>
      <w:pPr>
        <w:ind w:left="2160" w:hanging="180"/>
      </w:pPr>
    </w:lvl>
    <w:lvl w:ilvl="3" w:tplc="C3A8A1D6">
      <w:start w:val="1"/>
      <w:numFmt w:val="decimal"/>
      <w:lvlText w:val="%4."/>
      <w:lvlJc w:val="left"/>
      <w:pPr>
        <w:ind w:left="2880" w:hanging="360"/>
      </w:pPr>
    </w:lvl>
    <w:lvl w:ilvl="4" w:tplc="037C22BC">
      <w:start w:val="1"/>
      <w:numFmt w:val="lowerLetter"/>
      <w:lvlText w:val="%5."/>
      <w:lvlJc w:val="left"/>
      <w:pPr>
        <w:ind w:left="3600" w:hanging="360"/>
      </w:pPr>
    </w:lvl>
    <w:lvl w:ilvl="5" w:tplc="CFEAF66C">
      <w:start w:val="1"/>
      <w:numFmt w:val="lowerRoman"/>
      <w:lvlText w:val="%6."/>
      <w:lvlJc w:val="right"/>
      <w:pPr>
        <w:ind w:left="4320" w:hanging="180"/>
      </w:pPr>
    </w:lvl>
    <w:lvl w:ilvl="6" w:tplc="22D6F28C">
      <w:start w:val="1"/>
      <w:numFmt w:val="decimal"/>
      <w:lvlText w:val="%7."/>
      <w:lvlJc w:val="left"/>
      <w:pPr>
        <w:ind w:left="5040" w:hanging="360"/>
      </w:pPr>
    </w:lvl>
    <w:lvl w:ilvl="7" w:tplc="66368CB2">
      <w:start w:val="1"/>
      <w:numFmt w:val="lowerLetter"/>
      <w:lvlText w:val="%8."/>
      <w:lvlJc w:val="left"/>
      <w:pPr>
        <w:ind w:left="5760" w:hanging="360"/>
      </w:pPr>
    </w:lvl>
    <w:lvl w:ilvl="8" w:tplc="ECBA367E">
      <w:start w:val="1"/>
      <w:numFmt w:val="lowerRoman"/>
      <w:lvlText w:val="%9."/>
      <w:lvlJc w:val="right"/>
      <w:pPr>
        <w:ind w:left="6480" w:hanging="180"/>
      </w:pPr>
    </w:lvl>
  </w:abstractNum>
  <w:abstractNum w:abstractNumId="11" w15:restartNumberingAfterBreak="0">
    <w:nsid w:val="1A490678"/>
    <w:multiLevelType w:val="hybridMultilevel"/>
    <w:tmpl w:val="C1A68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B7961"/>
    <w:multiLevelType w:val="hybridMultilevel"/>
    <w:tmpl w:val="8B607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680C59"/>
    <w:multiLevelType w:val="multilevel"/>
    <w:tmpl w:val="D7CEAD6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5A57B1"/>
    <w:multiLevelType w:val="hybridMultilevel"/>
    <w:tmpl w:val="E38AB278"/>
    <w:lvl w:ilvl="0" w:tplc="3508BE56">
      <w:start w:val="1"/>
      <w:numFmt w:val="bullet"/>
      <w:lvlText w:val=""/>
      <w:lvlJc w:val="left"/>
      <w:pPr>
        <w:ind w:left="720" w:hanging="360"/>
      </w:pPr>
      <w:rPr>
        <w:rFonts w:ascii="Symbol" w:hAnsi="Symbol" w:hint="default"/>
      </w:rPr>
    </w:lvl>
    <w:lvl w:ilvl="1" w:tplc="8AAC5AB2">
      <w:start w:val="1"/>
      <w:numFmt w:val="bullet"/>
      <w:lvlText w:val="o"/>
      <w:lvlJc w:val="left"/>
      <w:pPr>
        <w:ind w:left="1440" w:hanging="360"/>
      </w:pPr>
      <w:rPr>
        <w:rFonts w:ascii="Courier New" w:hAnsi="Courier New" w:hint="default"/>
      </w:rPr>
    </w:lvl>
    <w:lvl w:ilvl="2" w:tplc="F77C1C70">
      <w:start w:val="1"/>
      <w:numFmt w:val="bullet"/>
      <w:lvlText w:val=""/>
      <w:lvlJc w:val="left"/>
      <w:pPr>
        <w:ind w:left="2160" w:hanging="360"/>
      </w:pPr>
      <w:rPr>
        <w:rFonts w:ascii="Wingdings" w:hAnsi="Wingdings" w:hint="default"/>
      </w:rPr>
    </w:lvl>
    <w:lvl w:ilvl="3" w:tplc="7BBC59F0">
      <w:start w:val="1"/>
      <w:numFmt w:val="bullet"/>
      <w:lvlText w:val=""/>
      <w:lvlJc w:val="left"/>
      <w:pPr>
        <w:ind w:left="2880" w:hanging="360"/>
      </w:pPr>
      <w:rPr>
        <w:rFonts w:ascii="Symbol" w:hAnsi="Symbol" w:hint="default"/>
      </w:rPr>
    </w:lvl>
    <w:lvl w:ilvl="4" w:tplc="CAAA9796">
      <w:start w:val="1"/>
      <w:numFmt w:val="bullet"/>
      <w:lvlText w:val="o"/>
      <w:lvlJc w:val="left"/>
      <w:pPr>
        <w:ind w:left="3600" w:hanging="360"/>
      </w:pPr>
      <w:rPr>
        <w:rFonts w:ascii="Courier New" w:hAnsi="Courier New" w:hint="default"/>
      </w:rPr>
    </w:lvl>
    <w:lvl w:ilvl="5" w:tplc="C3E6C694">
      <w:start w:val="1"/>
      <w:numFmt w:val="bullet"/>
      <w:lvlText w:val=""/>
      <w:lvlJc w:val="left"/>
      <w:pPr>
        <w:ind w:left="4320" w:hanging="360"/>
      </w:pPr>
      <w:rPr>
        <w:rFonts w:ascii="Wingdings" w:hAnsi="Wingdings" w:hint="default"/>
      </w:rPr>
    </w:lvl>
    <w:lvl w:ilvl="6" w:tplc="BBDA3C18">
      <w:start w:val="1"/>
      <w:numFmt w:val="bullet"/>
      <w:lvlText w:val=""/>
      <w:lvlJc w:val="left"/>
      <w:pPr>
        <w:ind w:left="5040" w:hanging="360"/>
      </w:pPr>
      <w:rPr>
        <w:rFonts w:ascii="Symbol" w:hAnsi="Symbol" w:hint="default"/>
      </w:rPr>
    </w:lvl>
    <w:lvl w:ilvl="7" w:tplc="C7BABC48">
      <w:start w:val="1"/>
      <w:numFmt w:val="bullet"/>
      <w:lvlText w:val="o"/>
      <w:lvlJc w:val="left"/>
      <w:pPr>
        <w:ind w:left="5760" w:hanging="360"/>
      </w:pPr>
      <w:rPr>
        <w:rFonts w:ascii="Courier New" w:hAnsi="Courier New" w:hint="default"/>
      </w:rPr>
    </w:lvl>
    <w:lvl w:ilvl="8" w:tplc="C1B27896">
      <w:start w:val="1"/>
      <w:numFmt w:val="bullet"/>
      <w:lvlText w:val=""/>
      <w:lvlJc w:val="left"/>
      <w:pPr>
        <w:ind w:left="6480" w:hanging="360"/>
      </w:pPr>
      <w:rPr>
        <w:rFonts w:ascii="Wingdings" w:hAnsi="Wingdings" w:hint="default"/>
      </w:rPr>
    </w:lvl>
  </w:abstractNum>
  <w:abstractNum w:abstractNumId="15" w15:restartNumberingAfterBreak="0">
    <w:nsid w:val="24935BAC"/>
    <w:multiLevelType w:val="hybridMultilevel"/>
    <w:tmpl w:val="45261214"/>
    <w:lvl w:ilvl="0" w:tplc="06100C52">
      <w:start w:val="1"/>
      <w:numFmt w:val="bullet"/>
      <w:lvlText w:val=""/>
      <w:lvlJc w:val="left"/>
      <w:pPr>
        <w:ind w:left="720" w:hanging="360"/>
      </w:pPr>
      <w:rPr>
        <w:rFonts w:ascii="Symbol" w:hAnsi="Symbol" w:hint="default"/>
      </w:rPr>
    </w:lvl>
    <w:lvl w:ilvl="1" w:tplc="EC2E264E">
      <w:start w:val="1"/>
      <w:numFmt w:val="bullet"/>
      <w:lvlText w:val=""/>
      <w:lvlJc w:val="left"/>
      <w:pPr>
        <w:ind w:left="1440" w:hanging="360"/>
      </w:pPr>
      <w:rPr>
        <w:rFonts w:ascii="Symbol" w:hAnsi="Symbol" w:hint="default"/>
      </w:rPr>
    </w:lvl>
    <w:lvl w:ilvl="2" w:tplc="E1A2A246">
      <w:start w:val="1"/>
      <w:numFmt w:val="bullet"/>
      <w:lvlText w:val=""/>
      <w:lvlJc w:val="left"/>
      <w:pPr>
        <w:ind w:left="2160" w:hanging="360"/>
      </w:pPr>
      <w:rPr>
        <w:rFonts w:ascii="Wingdings" w:hAnsi="Wingdings" w:hint="default"/>
      </w:rPr>
    </w:lvl>
    <w:lvl w:ilvl="3" w:tplc="D14839E2">
      <w:start w:val="1"/>
      <w:numFmt w:val="bullet"/>
      <w:lvlText w:val=""/>
      <w:lvlJc w:val="left"/>
      <w:pPr>
        <w:ind w:left="2880" w:hanging="360"/>
      </w:pPr>
      <w:rPr>
        <w:rFonts w:ascii="Symbol" w:hAnsi="Symbol" w:hint="default"/>
      </w:rPr>
    </w:lvl>
    <w:lvl w:ilvl="4" w:tplc="1A581950">
      <w:start w:val="1"/>
      <w:numFmt w:val="bullet"/>
      <w:lvlText w:val="o"/>
      <w:lvlJc w:val="left"/>
      <w:pPr>
        <w:ind w:left="3600" w:hanging="360"/>
      </w:pPr>
      <w:rPr>
        <w:rFonts w:ascii="Courier New" w:hAnsi="Courier New" w:hint="default"/>
      </w:rPr>
    </w:lvl>
    <w:lvl w:ilvl="5" w:tplc="7E76F61A">
      <w:start w:val="1"/>
      <w:numFmt w:val="bullet"/>
      <w:lvlText w:val=""/>
      <w:lvlJc w:val="left"/>
      <w:pPr>
        <w:ind w:left="4320" w:hanging="360"/>
      </w:pPr>
      <w:rPr>
        <w:rFonts w:ascii="Wingdings" w:hAnsi="Wingdings" w:hint="default"/>
      </w:rPr>
    </w:lvl>
    <w:lvl w:ilvl="6" w:tplc="0032F28A">
      <w:start w:val="1"/>
      <w:numFmt w:val="bullet"/>
      <w:lvlText w:val=""/>
      <w:lvlJc w:val="left"/>
      <w:pPr>
        <w:ind w:left="5040" w:hanging="360"/>
      </w:pPr>
      <w:rPr>
        <w:rFonts w:ascii="Symbol" w:hAnsi="Symbol" w:hint="default"/>
      </w:rPr>
    </w:lvl>
    <w:lvl w:ilvl="7" w:tplc="6284EDDA">
      <w:start w:val="1"/>
      <w:numFmt w:val="bullet"/>
      <w:lvlText w:val="o"/>
      <w:lvlJc w:val="left"/>
      <w:pPr>
        <w:ind w:left="5760" w:hanging="360"/>
      </w:pPr>
      <w:rPr>
        <w:rFonts w:ascii="Courier New" w:hAnsi="Courier New" w:hint="default"/>
      </w:rPr>
    </w:lvl>
    <w:lvl w:ilvl="8" w:tplc="7E48272A">
      <w:start w:val="1"/>
      <w:numFmt w:val="bullet"/>
      <w:lvlText w:val=""/>
      <w:lvlJc w:val="left"/>
      <w:pPr>
        <w:ind w:left="6480" w:hanging="360"/>
      </w:pPr>
      <w:rPr>
        <w:rFonts w:ascii="Wingdings" w:hAnsi="Wingdings" w:hint="default"/>
      </w:rPr>
    </w:lvl>
  </w:abstractNum>
  <w:abstractNum w:abstractNumId="16" w15:restartNumberingAfterBreak="0">
    <w:nsid w:val="25A851F7"/>
    <w:multiLevelType w:val="hybridMultilevel"/>
    <w:tmpl w:val="87FC5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5DB3"/>
    <w:multiLevelType w:val="multilevel"/>
    <w:tmpl w:val="EB6C36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B023E2"/>
    <w:multiLevelType w:val="multilevel"/>
    <w:tmpl w:val="A970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BD1AA4"/>
    <w:multiLevelType w:val="hybridMultilevel"/>
    <w:tmpl w:val="FFFFFFFF"/>
    <w:lvl w:ilvl="0" w:tplc="53E28808">
      <w:start w:val="1"/>
      <w:numFmt w:val="bullet"/>
      <w:lvlText w:val=""/>
      <w:lvlJc w:val="left"/>
      <w:pPr>
        <w:ind w:left="720" w:hanging="360"/>
      </w:pPr>
      <w:rPr>
        <w:rFonts w:ascii="Symbol" w:hAnsi="Symbol" w:hint="default"/>
      </w:rPr>
    </w:lvl>
    <w:lvl w:ilvl="1" w:tplc="131CA0D0">
      <w:start w:val="1"/>
      <w:numFmt w:val="bullet"/>
      <w:lvlText w:val="o"/>
      <w:lvlJc w:val="left"/>
      <w:pPr>
        <w:ind w:left="1440" w:hanging="360"/>
      </w:pPr>
      <w:rPr>
        <w:rFonts w:ascii="Courier New" w:hAnsi="Courier New" w:hint="default"/>
      </w:rPr>
    </w:lvl>
    <w:lvl w:ilvl="2" w:tplc="B2284CA0">
      <w:start w:val="1"/>
      <w:numFmt w:val="bullet"/>
      <w:lvlText w:val=""/>
      <w:lvlJc w:val="left"/>
      <w:pPr>
        <w:ind w:left="2160" w:hanging="360"/>
      </w:pPr>
      <w:rPr>
        <w:rFonts w:ascii="Wingdings" w:hAnsi="Wingdings" w:hint="default"/>
      </w:rPr>
    </w:lvl>
    <w:lvl w:ilvl="3" w:tplc="23582F7C">
      <w:start w:val="1"/>
      <w:numFmt w:val="bullet"/>
      <w:lvlText w:val=""/>
      <w:lvlJc w:val="left"/>
      <w:pPr>
        <w:ind w:left="2880" w:hanging="360"/>
      </w:pPr>
      <w:rPr>
        <w:rFonts w:ascii="Symbol" w:hAnsi="Symbol" w:hint="default"/>
      </w:rPr>
    </w:lvl>
    <w:lvl w:ilvl="4" w:tplc="0E149736">
      <w:start w:val="1"/>
      <w:numFmt w:val="bullet"/>
      <w:lvlText w:val="o"/>
      <w:lvlJc w:val="left"/>
      <w:pPr>
        <w:ind w:left="3600" w:hanging="360"/>
      </w:pPr>
      <w:rPr>
        <w:rFonts w:ascii="Courier New" w:hAnsi="Courier New" w:hint="default"/>
      </w:rPr>
    </w:lvl>
    <w:lvl w:ilvl="5" w:tplc="5C884576">
      <w:start w:val="1"/>
      <w:numFmt w:val="bullet"/>
      <w:lvlText w:val=""/>
      <w:lvlJc w:val="left"/>
      <w:pPr>
        <w:ind w:left="4320" w:hanging="360"/>
      </w:pPr>
      <w:rPr>
        <w:rFonts w:ascii="Wingdings" w:hAnsi="Wingdings" w:hint="default"/>
      </w:rPr>
    </w:lvl>
    <w:lvl w:ilvl="6" w:tplc="35821550">
      <w:start w:val="1"/>
      <w:numFmt w:val="bullet"/>
      <w:lvlText w:val=""/>
      <w:lvlJc w:val="left"/>
      <w:pPr>
        <w:ind w:left="5040" w:hanging="360"/>
      </w:pPr>
      <w:rPr>
        <w:rFonts w:ascii="Symbol" w:hAnsi="Symbol" w:hint="default"/>
      </w:rPr>
    </w:lvl>
    <w:lvl w:ilvl="7" w:tplc="FECECFA8">
      <w:start w:val="1"/>
      <w:numFmt w:val="bullet"/>
      <w:lvlText w:val="o"/>
      <w:lvlJc w:val="left"/>
      <w:pPr>
        <w:ind w:left="5760" w:hanging="360"/>
      </w:pPr>
      <w:rPr>
        <w:rFonts w:ascii="Courier New" w:hAnsi="Courier New" w:hint="default"/>
      </w:rPr>
    </w:lvl>
    <w:lvl w:ilvl="8" w:tplc="099270F8">
      <w:start w:val="1"/>
      <w:numFmt w:val="bullet"/>
      <w:lvlText w:val=""/>
      <w:lvlJc w:val="left"/>
      <w:pPr>
        <w:ind w:left="6480" w:hanging="360"/>
      </w:pPr>
      <w:rPr>
        <w:rFonts w:ascii="Wingdings" w:hAnsi="Wingdings" w:hint="default"/>
      </w:rPr>
    </w:lvl>
  </w:abstractNum>
  <w:abstractNum w:abstractNumId="20" w15:restartNumberingAfterBreak="0">
    <w:nsid w:val="2D012BA1"/>
    <w:multiLevelType w:val="multilevel"/>
    <w:tmpl w:val="E548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535D3B"/>
    <w:multiLevelType w:val="hybridMultilevel"/>
    <w:tmpl w:val="D7E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727CF4"/>
    <w:multiLevelType w:val="multilevel"/>
    <w:tmpl w:val="F5D0B1F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2B35D8"/>
    <w:multiLevelType w:val="multilevel"/>
    <w:tmpl w:val="BE8E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7732EE"/>
    <w:multiLevelType w:val="multilevel"/>
    <w:tmpl w:val="48AC44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8249D6"/>
    <w:multiLevelType w:val="hybridMultilevel"/>
    <w:tmpl w:val="B846F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F926BA"/>
    <w:multiLevelType w:val="multilevel"/>
    <w:tmpl w:val="E5BAA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9B7207"/>
    <w:multiLevelType w:val="hybridMultilevel"/>
    <w:tmpl w:val="FFFFFFFF"/>
    <w:lvl w:ilvl="0" w:tplc="B12467C2">
      <w:start w:val="1"/>
      <w:numFmt w:val="decimal"/>
      <w:lvlText w:val="%1."/>
      <w:lvlJc w:val="left"/>
      <w:pPr>
        <w:ind w:left="720" w:hanging="360"/>
      </w:pPr>
    </w:lvl>
    <w:lvl w:ilvl="1" w:tplc="02DE7416">
      <w:start w:val="1"/>
      <w:numFmt w:val="lowerLetter"/>
      <w:lvlText w:val="%2."/>
      <w:lvlJc w:val="left"/>
      <w:pPr>
        <w:ind w:left="1440" w:hanging="360"/>
      </w:pPr>
    </w:lvl>
    <w:lvl w:ilvl="2" w:tplc="01206BD8">
      <w:start w:val="1"/>
      <w:numFmt w:val="lowerRoman"/>
      <w:lvlText w:val="%3."/>
      <w:lvlJc w:val="right"/>
      <w:pPr>
        <w:ind w:left="2160" w:hanging="180"/>
      </w:pPr>
    </w:lvl>
    <w:lvl w:ilvl="3" w:tplc="BBB0CB90">
      <w:start w:val="1"/>
      <w:numFmt w:val="decimal"/>
      <w:lvlText w:val="%4."/>
      <w:lvlJc w:val="left"/>
      <w:pPr>
        <w:ind w:left="2880" w:hanging="360"/>
      </w:pPr>
    </w:lvl>
    <w:lvl w:ilvl="4" w:tplc="F574EF5E">
      <w:start w:val="1"/>
      <w:numFmt w:val="lowerLetter"/>
      <w:lvlText w:val="%5."/>
      <w:lvlJc w:val="left"/>
      <w:pPr>
        <w:ind w:left="3600" w:hanging="360"/>
      </w:pPr>
    </w:lvl>
    <w:lvl w:ilvl="5" w:tplc="6CD2239A">
      <w:start w:val="1"/>
      <w:numFmt w:val="lowerRoman"/>
      <w:lvlText w:val="%6."/>
      <w:lvlJc w:val="right"/>
      <w:pPr>
        <w:ind w:left="4320" w:hanging="180"/>
      </w:pPr>
    </w:lvl>
    <w:lvl w:ilvl="6" w:tplc="34585CE0">
      <w:start w:val="1"/>
      <w:numFmt w:val="decimal"/>
      <w:lvlText w:val="%7."/>
      <w:lvlJc w:val="left"/>
      <w:pPr>
        <w:ind w:left="5040" w:hanging="360"/>
      </w:pPr>
    </w:lvl>
    <w:lvl w:ilvl="7" w:tplc="8DF6A15C">
      <w:start w:val="1"/>
      <w:numFmt w:val="lowerLetter"/>
      <w:lvlText w:val="%8."/>
      <w:lvlJc w:val="left"/>
      <w:pPr>
        <w:ind w:left="5760" w:hanging="360"/>
      </w:pPr>
    </w:lvl>
    <w:lvl w:ilvl="8" w:tplc="BDC24FF4">
      <w:start w:val="1"/>
      <w:numFmt w:val="lowerRoman"/>
      <w:lvlText w:val="%9."/>
      <w:lvlJc w:val="right"/>
      <w:pPr>
        <w:ind w:left="6480" w:hanging="180"/>
      </w:pPr>
    </w:lvl>
  </w:abstractNum>
  <w:abstractNum w:abstractNumId="28" w15:restartNumberingAfterBreak="0">
    <w:nsid w:val="31EE4133"/>
    <w:multiLevelType w:val="multilevel"/>
    <w:tmpl w:val="287A40EC"/>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2EE21A6"/>
    <w:multiLevelType w:val="multilevel"/>
    <w:tmpl w:val="3584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C45393"/>
    <w:multiLevelType w:val="multilevel"/>
    <w:tmpl w:val="08C610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F6388A"/>
    <w:multiLevelType w:val="multilevel"/>
    <w:tmpl w:val="93F6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9662A61"/>
    <w:multiLevelType w:val="multilevel"/>
    <w:tmpl w:val="01AE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A330284"/>
    <w:multiLevelType w:val="multilevel"/>
    <w:tmpl w:val="6EAC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B3D5DEC"/>
    <w:multiLevelType w:val="multilevel"/>
    <w:tmpl w:val="CCD0FC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C0D7EEA"/>
    <w:multiLevelType w:val="multilevel"/>
    <w:tmpl w:val="396A1500"/>
    <w:lvl w:ilvl="0">
      <w:start w:val="1"/>
      <w:numFmt w:val="bullet"/>
      <w:lvlText w:val="o"/>
      <w:lvlJc w:val="left"/>
      <w:pPr>
        <w:tabs>
          <w:tab w:val="num" w:pos="720"/>
        </w:tabs>
        <w:ind w:left="720" w:hanging="360"/>
      </w:pPr>
      <w:rPr>
        <w:rFonts w:ascii="Courier New" w:hAnsi="Courier New"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3C9158E2"/>
    <w:multiLevelType w:val="multilevel"/>
    <w:tmpl w:val="60029AE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D791744"/>
    <w:multiLevelType w:val="hybridMultilevel"/>
    <w:tmpl w:val="A2C61D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CF0097"/>
    <w:multiLevelType w:val="hybridMultilevel"/>
    <w:tmpl w:val="FFFFFFFF"/>
    <w:lvl w:ilvl="0" w:tplc="8D6ABA10">
      <w:start w:val="1"/>
      <w:numFmt w:val="bullet"/>
      <w:lvlText w:val=""/>
      <w:lvlJc w:val="left"/>
      <w:pPr>
        <w:ind w:left="720" w:hanging="360"/>
      </w:pPr>
      <w:rPr>
        <w:rFonts w:ascii="Symbol" w:hAnsi="Symbol" w:hint="default"/>
      </w:rPr>
    </w:lvl>
    <w:lvl w:ilvl="1" w:tplc="8EA619A8">
      <w:start w:val="1"/>
      <w:numFmt w:val="bullet"/>
      <w:lvlText w:val="o"/>
      <w:lvlJc w:val="left"/>
      <w:pPr>
        <w:ind w:left="1440" w:hanging="360"/>
      </w:pPr>
      <w:rPr>
        <w:rFonts w:ascii="Courier New" w:hAnsi="Courier New" w:hint="default"/>
      </w:rPr>
    </w:lvl>
    <w:lvl w:ilvl="2" w:tplc="BBBA6FFA">
      <w:start w:val="1"/>
      <w:numFmt w:val="bullet"/>
      <w:lvlText w:val=""/>
      <w:lvlJc w:val="left"/>
      <w:pPr>
        <w:ind w:left="2160" w:hanging="360"/>
      </w:pPr>
      <w:rPr>
        <w:rFonts w:ascii="Wingdings" w:hAnsi="Wingdings" w:hint="default"/>
      </w:rPr>
    </w:lvl>
    <w:lvl w:ilvl="3" w:tplc="30D4855A">
      <w:start w:val="1"/>
      <w:numFmt w:val="bullet"/>
      <w:lvlText w:val=""/>
      <w:lvlJc w:val="left"/>
      <w:pPr>
        <w:ind w:left="2880" w:hanging="360"/>
      </w:pPr>
      <w:rPr>
        <w:rFonts w:ascii="Symbol" w:hAnsi="Symbol" w:hint="default"/>
      </w:rPr>
    </w:lvl>
    <w:lvl w:ilvl="4" w:tplc="408EE26A">
      <w:start w:val="1"/>
      <w:numFmt w:val="bullet"/>
      <w:lvlText w:val="o"/>
      <w:lvlJc w:val="left"/>
      <w:pPr>
        <w:ind w:left="3600" w:hanging="360"/>
      </w:pPr>
      <w:rPr>
        <w:rFonts w:ascii="Courier New" w:hAnsi="Courier New" w:hint="default"/>
      </w:rPr>
    </w:lvl>
    <w:lvl w:ilvl="5" w:tplc="7D1ACA34">
      <w:start w:val="1"/>
      <w:numFmt w:val="bullet"/>
      <w:lvlText w:val=""/>
      <w:lvlJc w:val="left"/>
      <w:pPr>
        <w:ind w:left="4320" w:hanging="360"/>
      </w:pPr>
      <w:rPr>
        <w:rFonts w:ascii="Wingdings" w:hAnsi="Wingdings" w:hint="default"/>
      </w:rPr>
    </w:lvl>
    <w:lvl w:ilvl="6" w:tplc="E3EEB68A">
      <w:start w:val="1"/>
      <w:numFmt w:val="bullet"/>
      <w:lvlText w:val=""/>
      <w:lvlJc w:val="left"/>
      <w:pPr>
        <w:ind w:left="5040" w:hanging="360"/>
      </w:pPr>
      <w:rPr>
        <w:rFonts w:ascii="Symbol" w:hAnsi="Symbol" w:hint="default"/>
      </w:rPr>
    </w:lvl>
    <w:lvl w:ilvl="7" w:tplc="3DA8BA42">
      <w:start w:val="1"/>
      <w:numFmt w:val="bullet"/>
      <w:lvlText w:val="o"/>
      <w:lvlJc w:val="left"/>
      <w:pPr>
        <w:ind w:left="5760" w:hanging="360"/>
      </w:pPr>
      <w:rPr>
        <w:rFonts w:ascii="Courier New" w:hAnsi="Courier New" w:hint="default"/>
      </w:rPr>
    </w:lvl>
    <w:lvl w:ilvl="8" w:tplc="17DA5252">
      <w:start w:val="1"/>
      <w:numFmt w:val="bullet"/>
      <w:lvlText w:val=""/>
      <w:lvlJc w:val="left"/>
      <w:pPr>
        <w:ind w:left="6480" w:hanging="360"/>
      </w:pPr>
      <w:rPr>
        <w:rFonts w:ascii="Wingdings" w:hAnsi="Wingdings" w:hint="default"/>
      </w:rPr>
    </w:lvl>
  </w:abstractNum>
  <w:abstractNum w:abstractNumId="39" w15:restartNumberingAfterBreak="0">
    <w:nsid w:val="423D5101"/>
    <w:multiLevelType w:val="multilevel"/>
    <w:tmpl w:val="A384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92841AA"/>
    <w:multiLevelType w:val="hybridMultilevel"/>
    <w:tmpl w:val="C4D0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2858A3"/>
    <w:multiLevelType w:val="hybridMultilevel"/>
    <w:tmpl w:val="59A0D71C"/>
    <w:lvl w:ilvl="0" w:tplc="6EB69728">
      <w:start w:val="1"/>
      <w:numFmt w:val="decimal"/>
      <w:lvlText w:val="%1."/>
      <w:lvlJc w:val="left"/>
      <w:pPr>
        <w:ind w:left="1080" w:hanging="360"/>
      </w:pPr>
      <w:rPr>
        <w:rFonts w:eastAsiaTheme="minorHAnsi" w:hint="default"/>
        <w:b w:val="0"/>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CD67DA1"/>
    <w:multiLevelType w:val="multilevel"/>
    <w:tmpl w:val="BAE43ED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E0978F0"/>
    <w:multiLevelType w:val="hybridMultilevel"/>
    <w:tmpl w:val="AEE29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8901A5"/>
    <w:multiLevelType w:val="hybridMultilevel"/>
    <w:tmpl w:val="A90E2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405F46"/>
    <w:multiLevelType w:val="multilevel"/>
    <w:tmpl w:val="71ECF39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6" w15:restartNumberingAfterBreak="0">
    <w:nsid w:val="50725ABE"/>
    <w:multiLevelType w:val="hybridMultilevel"/>
    <w:tmpl w:val="0418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19C261B"/>
    <w:multiLevelType w:val="hybridMultilevel"/>
    <w:tmpl w:val="789A4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1C77571"/>
    <w:multiLevelType w:val="multilevel"/>
    <w:tmpl w:val="65A03E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34C5B3F"/>
    <w:multiLevelType w:val="multilevel"/>
    <w:tmpl w:val="A1269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56A0453"/>
    <w:multiLevelType w:val="hybridMultilevel"/>
    <w:tmpl w:val="C7DCE0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6F54567"/>
    <w:multiLevelType w:val="multilevel"/>
    <w:tmpl w:val="99C21E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5A757465"/>
    <w:multiLevelType w:val="hybridMultilevel"/>
    <w:tmpl w:val="FFFFFFFF"/>
    <w:lvl w:ilvl="0" w:tplc="12CC7650">
      <w:start w:val="1"/>
      <w:numFmt w:val="decimal"/>
      <w:lvlText w:val="%1."/>
      <w:lvlJc w:val="left"/>
      <w:pPr>
        <w:ind w:left="720" w:hanging="360"/>
      </w:pPr>
    </w:lvl>
    <w:lvl w:ilvl="1" w:tplc="5D9CB1C2">
      <w:start w:val="1"/>
      <w:numFmt w:val="bullet"/>
      <w:lvlText w:val=""/>
      <w:lvlJc w:val="left"/>
      <w:pPr>
        <w:ind w:left="1440" w:hanging="360"/>
      </w:pPr>
      <w:rPr>
        <w:rFonts w:ascii="Symbol" w:hAnsi="Symbol" w:hint="default"/>
      </w:rPr>
    </w:lvl>
    <w:lvl w:ilvl="2" w:tplc="0AE8A640">
      <w:start w:val="1"/>
      <w:numFmt w:val="lowerRoman"/>
      <w:lvlText w:val="%3."/>
      <w:lvlJc w:val="right"/>
      <w:pPr>
        <w:ind w:left="2160" w:hanging="180"/>
      </w:pPr>
    </w:lvl>
    <w:lvl w:ilvl="3" w:tplc="56487FDA">
      <w:start w:val="1"/>
      <w:numFmt w:val="decimal"/>
      <w:lvlText w:val="%4."/>
      <w:lvlJc w:val="left"/>
      <w:pPr>
        <w:ind w:left="2880" w:hanging="360"/>
      </w:pPr>
    </w:lvl>
    <w:lvl w:ilvl="4" w:tplc="571E79A8">
      <w:start w:val="1"/>
      <w:numFmt w:val="lowerLetter"/>
      <w:lvlText w:val="%5."/>
      <w:lvlJc w:val="left"/>
      <w:pPr>
        <w:ind w:left="3600" w:hanging="360"/>
      </w:pPr>
    </w:lvl>
    <w:lvl w:ilvl="5" w:tplc="B9E401D8">
      <w:start w:val="1"/>
      <w:numFmt w:val="lowerRoman"/>
      <w:lvlText w:val="%6."/>
      <w:lvlJc w:val="right"/>
      <w:pPr>
        <w:ind w:left="4320" w:hanging="180"/>
      </w:pPr>
    </w:lvl>
    <w:lvl w:ilvl="6" w:tplc="12A0DC6E">
      <w:start w:val="1"/>
      <w:numFmt w:val="decimal"/>
      <w:lvlText w:val="%7."/>
      <w:lvlJc w:val="left"/>
      <w:pPr>
        <w:ind w:left="5040" w:hanging="360"/>
      </w:pPr>
    </w:lvl>
    <w:lvl w:ilvl="7" w:tplc="139C85E8">
      <w:start w:val="1"/>
      <w:numFmt w:val="lowerLetter"/>
      <w:lvlText w:val="%8."/>
      <w:lvlJc w:val="left"/>
      <w:pPr>
        <w:ind w:left="5760" w:hanging="360"/>
      </w:pPr>
    </w:lvl>
    <w:lvl w:ilvl="8" w:tplc="74F66A96">
      <w:start w:val="1"/>
      <w:numFmt w:val="lowerRoman"/>
      <w:lvlText w:val="%9."/>
      <w:lvlJc w:val="right"/>
      <w:pPr>
        <w:ind w:left="6480" w:hanging="180"/>
      </w:pPr>
    </w:lvl>
  </w:abstractNum>
  <w:abstractNum w:abstractNumId="53" w15:restartNumberingAfterBreak="0">
    <w:nsid w:val="5D945054"/>
    <w:multiLevelType w:val="multilevel"/>
    <w:tmpl w:val="F406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DBE7D17"/>
    <w:multiLevelType w:val="hybridMultilevel"/>
    <w:tmpl w:val="FFFFFFFF"/>
    <w:lvl w:ilvl="0" w:tplc="79869B0E">
      <w:start w:val="1"/>
      <w:numFmt w:val="bullet"/>
      <w:lvlText w:val=""/>
      <w:lvlJc w:val="left"/>
      <w:pPr>
        <w:ind w:left="720" w:hanging="360"/>
      </w:pPr>
      <w:rPr>
        <w:rFonts w:ascii="Symbol" w:hAnsi="Symbol" w:hint="default"/>
      </w:rPr>
    </w:lvl>
    <w:lvl w:ilvl="1" w:tplc="00A86A60">
      <w:start w:val="1"/>
      <w:numFmt w:val="bullet"/>
      <w:lvlText w:val="o"/>
      <w:lvlJc w:val="left"/>
      <w:pPr>
        <w:ind w:left="1440" w:hanging="360"/>
      </w:pPr>
      <w:rPr>
        <w:rFonts w:ascii="Courier New" w:hAnsi="Courier New" w:hint="default"/>
      </w:rPr>
    </w:lvl>
    <w:lvl w:ilvl="2" w:tplc="71A8B658">
      <w:start w:val="1"/>
      <w:numFmt w:val="bullet"/>
      <w:lvlText w:val=""/>
      <w:lvlJc w:val="left"/>
      <w:pPr>
        <w:ind w:left="2160" w:hanging="360"/>
      </w:pPr>
      <w:rPr>
        <w:rFonts w:ascii="Wingdings" w:hAnsi="Wingdings" w:hint="default"/>
      </w:rPr>
    </w:lvl>
    <w:lvl w:ilvl="3" w:tplc="D45A1986">
      <w:start w:val="1"/>
      <w:numFmt w:val="bullet"/>
      <w:lvlText w:val=""/>
      <w:lvlJc w:val="left"/>
      <w:pPr>
        <w:ind w:left="2880" w:hanging="360"/>
      </w:pPr>
      <w:rPr>
        <w:rFonts w:ascii="Symbol" w:hAnsi="Symbol" w:hint="default"/>
      </w:rPr>
    </w:lvl>
    <w:lvl w:ilvl="4" w:tplc="94A4C8D0">
      <w:start w:val="1"/>
      <w:numFmt w:val="bullet"/>
      <w:lvlText w:val="o"/>
      <w:lvlJc w:val="left"/>
      <w:pPr>
        <w:ind w:left="3600" w:hanging="360"/>
      </w:pPr>
      <w:rPr>
        <w:rFonts w:ascii="Courier New" w:hAnsi="Courier New" w:hint="default"/>
      </w:rPr>
    </w:lvl>
    <w:lvl w:ilvl="5" w:tplc="825A538A">
      <w:start w:val="1"/>
      <w:numFmt w:val="bullet"/>
      <w:lvlText w:val=""/>
      <w:lvlJc w:val="left"/>
      <w:pPr>
        <w:ind w:left="4320" w:hanging="360"/>
      </w:pPr>
      <w:rPr>
        <w:rFonts w:ascii="Wingdings" w:hAnsi="Wingdings" w:hint="default"/>
      </w:rPr>
    </w:lvl>
    <w:lvl w:ilvl="6" w:tplc="6B32EAB2">
      <w:start w:val="1"/>
      <w:numFmt w:val="bullet"/>
      <w:lvlText w:val=""/>
      <w:lvlJc w:val="left"/>
      <w:pPr>
        <w:ind w:left="5040" w:hanging="360"/>
      </w:pPr>
      <w:rPr>
        <w:rFonts w:ascii="Symbol" w:hAnsi="Symbol" w:hint="default"/>
      </w:rPr>
    </w:lvl>
    <w:lvl w:ilvl="7" w:tplc="3ABA7968">
      <w:start w:val="1"/>
      <w:numFmt w:val="bullet"/>
      <w:lvlText w:val="o"/>
      <w:lvlJc w:val="left"/>
      <w:pPr>
        <w:ind w:left="5760" w:hanging="360"/>
      </w:pPr>
      <w:rPr>
        <w:rFonts w:ascii="Courier New" w:hAnsi="Courier New" w:hint="default"/>
      </w:rPr>
    </w:lvl>
    <w:lvl w:ilvl="8" w:tplc="22904ECC">
      <w:start w:val="1"/>
      <w:numFmt w:val="bullet"/>
      <w:lvlText w:val=""/>
      <w:lvlJc w:val="left"/>
      <w:pPr>
        <w:ind w:left="6480" w:hanging="360"/>
      </w:pPr>
      <w:rPr>
        <w:rFonts w:ascii="Wingdings" w:hAnsi="Wingdings" w:hint="default"/>
      </w:rPr>
    </w:lvl>
  </w:abstractNum>
  <w:abstractNum w:abstractNumId="55" w15:restartNumberingAfterBreak="0">
    <w:nsid w:val="60D75ED7"/>
    <w:multiLevelType w:val="hybridMultilevel"/>
    <w:tmpl w:val="4680F24E"/>
    <w:lvl w:ilvl="0" w:tplc="52C83954">
      <w:start w:val="1"/>
      <w:numFmt w:val="bullet"/>
      <w:lvlText w:val=""/>
      <w:lvlJc w:val="left"/>
      <w:pPr>
        <w:ind w:left="720" w:hanging="360"/>
      </w:pPr>
      <w:rPr>
        <w:rFonts w:ascii="Symbol" w:hAnsi="Symbol" w:hint="default"/>
      </w:rPr>
    </w:lvl>
    <w:lvl w:ilvl="1" w:tplc="AA3A1096">
      <w:start w:val="1"/>
      <w:numFmt w:val="bullet"/>
      <w:lvlText w:val=""/>
      <w:lvlJc w:val="left"/>
      <w:pPr>
        <w:ind w:left="1440" w:hanging="360"/>
      </w:pPr>
      <w:rPr>
        <w:rFonts w:ascii="Symbol" w:hAnsi="Symbol" w:hint="default"/>
      </w:rPr>
    </w:lvl>
    <w:lvl w:ilvl="2" w:tplc="8F0078C8">
      <w:start w:val="1"/>
      <w:numFmt w:val="bullet"/>
      <w:lvlText w:val=""/>
      <w:lvlJc w:val="left"/>
      <w:pPr>
        <w:ind w:left="2160" w:hanging="360"/>
      </w:pPr>
      <w:rPr>
        <w:rFonts w:ascii="Wingdings" w:hAnsi="Wingdings" w:hint="default"/>
      </w:rPr>
    </w:lvl>
    <w:lvl w:ilvl="3" w:tplc="36C2401C">
      <w:start w:val="1"/>
      <w:numFmt w:val="bullet"/>
      <w:lvlText w:val=""/>
      <w:lvlJc w:val="left"/>
      <w:pPr>
        <w:ind w:left="2880" w:hanging="360"/>
      </w:pPr>
      <w:rPr>
        <w:rFonts w:ascii="Symbol" w:hAnsi="Symbol" w:hint="default"/>
      </w:rPr>
    </w:lvl>
    <w:lvl w:ilvl="4" w:tplc="E9DAF7EC">
      <w:start w:val="1"/>
      <w:numFmt w:val="bullet"/>
      <w:lvlText w:val="o"/>
      <w:lvlJc w:val="left"/>
      <w:pPr>
        <w:ind w:left="3600" w:hanging="360"/>
      </w:pPr>
      <w:rPr>
        <w:rFonts w:ascii="Courier New" w:hAnsi="Courier New" w:hint="default"/>
      </w:rPr>
    </w:lvl>
    <w:lvl w:ilvl="5" w:tplc="E2AA362A">
      <w:start w:val="1"/>
      <w:numFmt w:val="bullet"/>
      <w:lvlText w:val=""/>
      <w:lvlJc w:val="left"/>
      <w:pPr>
        <w:ind w:left="4320" w:hanging="360"/>
      </w:pPr>
      <w:rPr>
        <w:rFonts w:ascii="Wingdings" w:hAnsi="Wingdings" w:hint="default"/>
      </w:rPr>
    </w:lvl>
    <w:lvl w:ilvl="6" w:tplc="3D8A309C">
      <w:start w:val="1"/>
      <w:numFmt w:val="bullet"/>
      <w:lvlText w:val=""/>
      <w:lvlJc w:val="left"/>
      <w:pPr>
        <w:ind w:left="5040" w:hanging="360"/>
      </w:pPr>
      <w:rPr>
        <w:rFonts w:ascii="Symbol" w:hAnsi="Symbol" w:hint="default"/>
      </w:rPr>
    </w:lvl>
    <w:lvl w:ilvl="7" w:tplc="43EC3BCE">
      <w:start w:val="1"/>
      <w:numFmt w:val="bullet"/>
      <w:lvlText w:val="o"/>
      <w:lvlJc w:val="left"/>
      <w:pPr>
        <w:ind w:left="5760" w:hanging="360"/>
      </w:pPr>
      <w:rPr>
        <w:rFonts w:ascii="Courier New" w:hAnsi="Courier New" w:hint="default"/>
      </w:rPr>
    </w:lvl>
    <w:lvl w:ilvl="8" w:tplc="B7CC9808">
      <w:start w:val="1"/>
      <w:numFmt w:val="bullet"/>
      <w:lvlText w:val=""/>
      <w:lvlJc w:val="left"/>
      <w:pPr>
        <w:ind w:left="6480" w:hanging="360"/>
      </w:pPr>
      <w:rPr>
        <w:rFonts w:ascii="Wingdings" w:hAnsi="Wingdings" w:hint="default"/>
      </w:rPr>
    </w:lvl>
  </w:abstractNum>
  <w:abstractNum w:abstractNumId="56" w15:restartNumberingAfterBreak="0">
    <w:nsid w:val="62592AEB"/>
    <w:multiLevelType w:val="hybridMultilevel"/>
    <w:tmpl w:val="577C8ADA"/>
    <w:lvl w:ilvl="0" w:tplc="30F45BEE">
      <w:start w:val="1"/>
      <w:numFmt w:val="bullet"/>
      <w:lvlText w:val=""/>
      <w:lvlJc w:val="left"/>
      <w:pPr>
        <w:ind w:left="720" w:hanging="360"/>
      </w:pPr>
      <w:rPr>
        <w:rFonts w:ascii="Symbol" w:hAnsi="Symbol" w:hint="default"/>
      </w:rPr>
    </w:lvl>
    <w:lvl w:ilvl="1" w:tplc="2DAC9704">
      <w:start w:val="1"/>
      <w:numFmt w:val="bullet"/>
      <w:lvlText w:val="o"/>
      <w:lvlJc w:val="left"/>
      <w:pPr>
        <w:ind w:left="1440" w:hanging="360"/>
      </w:pPr>
      <w:rPr>
        <w:rFonts w:ascii="Courier New" w:hAnsi="Courier New" w:hint="default"/>
      </w:rPr>
    </w:lvl>
    <w:lvl w:ilvl="2" w:tplc="F5963EAE">
      <w:start w:val="1"/>
      <w:numFmt w:val="bullet"/>
      <w:lvlText w:val=""/>
      <w:lvlJc w:val="left"/>
      <w:pPr>
        <w:ind w:left="2160" w:hanging="360"/>
      </w:pPr>
      <w:rPr>
        <w:rFonts w:ascii="Wingdings" w:hAnsi="Wingdings" w:hint="default"/>
      </w:rPr>
    </w:lvl>
    <w:lvl w:ilvl="3" w:tplc="2DAC84D2">
      <w:start w:val="1"/>
      <w:numFmt w:val="bullet"/>
      <w:lvlText w:val=""/>
      <w:lvlJc w:val="left"/>
      <w:pPr>
        <w:ind w:left="2880" w:hanging="360"/>
      </w:pPr>
      <w:rPr>
        <w:rFonts w:ascii="Symbol" w:hAnsi="Symbol" w:hint="default"/>
      </w:rPr>
    </w:lvl>
    <w:lvl w:ilvl="4" w:tplc="ED7AF204">
      <w:start w:val="1"/>
      <w:numFmt w:val="bullet"/>
      <w:lvlText w:val="o"/>
      <w:lvlJc w:val="left"/>
      <w:pPr>
        <w:ind w:left="3600" w:hanging="360"/>
      </w:pPr>
      <w:rPr>
        <w:rFonts w:ascii="Courier New" w:hAnsi="Courier New" w:hint="default"/>
      </w:rPr>
    </w:lvl>
    <w:lvl w:ilvl="5" w:tplc="4268DA68">
      <w:start w:val="1"/>
      <w:numFmt w:val="bullet"/>
      <w:lvlText w:val=""/>
      <w:lvlJc w:val="left"/>
      <w:pPr>
        <w:ind w:left="4320" w:hanging="360"/>
      </w:pPr>
      <w:rPr>
        <w:rFonts w:ascii="Wingdings" w:hAnsi="Wingdings" w:hint="default"/>
      </w:rPr>
    </w:lvl>
    <w:lvl w:ilvl="6" w:tplc="68A0469E">
      <w:start w:val="1"/>
      <w:numFmt w:val="bullet"/>
      <w:lvlText w:val=""/>
      <w:lvlJc w:val="left"/>
      <w:pPr>
        <w:ind w:left="5040" w:hanging="360"/>
      </w:pPr>
      <w:rPr>
        <w:rFonts w:ascii="Symbol" w:hAnsi="Symbol" w:hint="default"/>
      </w:rPr>
    </w:lvl>
    <w:lvl w:ilvl="7" w:tplc="ADA074E2">
      <w:start w:val="1"/>
      <w:numFmt w:val="bullet"/>
      <w:lvlText w:val="o"/>
      <w:lvlJc w:val="left"/>
      <w:pPr>
        <w:ind w:left="5760" w:hanging="360"/>
      </w:pPr>
      <w:rPr>
        <w:rFonts w:ascii="Courier New" w:hAnsi="Courier New" w:hint="default"/>
      </w:rPr>
    </w:lvl>
    <w:lvl w:ilvl="8" w:tplc="A202BE0A">
      <w:start w:val="1"/>
      <w:numFmt w:val="bullet"/>
      <w:lvlText w:val=""/>
      <w:lvlJc w:val="left"/>
      <w:pPr>
        <w:ind w:left="6480" w:hanging="360"/>
      </w:pPr>
      <w:rPr>
        <w:rFonts w:ascii="Wingdings" w:hAnsi="Wingdings" w:hint="default"/>
      </w:rPr>
    </w:lvl>
  </w:abstractNum>
  <w:abstractNum w:abstractNumId="57" w15:restartNumberingAfterBreak="0">
    <w:nsid w:val="62E36F39"/>
    <w:multiLevelType w:val="hybridMultilevel"/>
    <w:tmpl w:val="2FD8F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58D1575"/>
    <w:multiLevelType w:val="multilevel"/>
    <w:tmpl w:val="A9AE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59A1B4E"/>
    <w:multiLevelType w:val="multilevel"/>
    <w:tmpl w:val="52F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6D6749B"/>
    <w:multiLevelType w:val="multilevel"/>
    <w:tmpl w:val="696271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7FF73F5"/>
    <w:multiLevelType w:val="hybridMultilevel"/>
    <w:tmpl w:val="A328C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82B0FB1"/>
    <w:multiLevelType w:val="multilevel"/>
    <w:tmpl w:val="432C77D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946656A"/>
    <w:multiLevelType w:val="hybridMultilevel"/>
    <w:tmpl w:val="FFFFFFFF"/>
    <w:lvl w:ilvl="0" w:tplc="CC128C2C">
      <w:start w:val="1"/>
      <w:numFmt w:val="bullet"/>
      <w:lvlText w:val=""/>
      <w:lvlJc w:val="left"/>
      <w:pPr>
        <w:ind w:left="720" w:hanging="360"/>
      </w:pPr>
      <w:rPr>
        <w:rFonts w:ascii="Symbol" w:hAnsi="Symbol" w:hint="default"/>
      </w:rPr>
    </w:lvl>
    <w:lvl w:ilvl="1" w:tplc="FEBC132C">
      <w:start w:val="1"/>
      <w:numFmt w:val="bullet"/>
      <w:lvlText w:val="o"/>
      <w:lvlJc w:val="left"/>
      <w:pPr>
        <w:ind w:left="1440" w:hanging="360"/>
      </w:pPr>
      <w:rPr>
        <w:rFonts w:ascii="Courier New" w:hAnsi="Courier New" w:hint="default"/>
      </w:rPr>
    </w:lvl>
    <w:lvl w:ilvl="2" w:tplc="FC2A9A38">
      <w:start w:val="1"/>
      <w:numFmt w:val="bullet"/>
      <w:lvlText w:val=""/>
      <w:lvlJc w:val="left"/>
      <w:pPr>
        <w:ind w:left="2160" w:hanging="360"/>
      </w:pPr>
      <w:rPr>
        <w:rFonts w:ascii="Wingdings" w:hAnsi="Wingdings" w:hint="default"/>
      </w:rPr>
    </w:lvl>
    <w:lvl w:ilvl="3" w:tplc="CCC8C528">
      <w:start w:val="1"/>
      <w:numFmt w:val="bullet"/>
      <w:lvlText w:val=""/>
      <w:lvlJc w:val="left"/>
      <w:pPr>
        <w:ind w:left="2880" w:hanging="360"/>
      </w:pPr>
      <w:rPr>
        <w:rFonts w:ascii="Symbol" w:hAnsi="Symbol" w:hint="default"/>
      </w:rPr>
    </w:lvl>
    <w:lvl w:ilvl="4" w:tplc="2870C7BA">
      <w:start w:val="1"/>
      <w:numFmt w:val="bullet"/>
      <w:lvlText w:val="o"/>
      <w:lvlJc w:val="left"/>
      <w:pPr>
        <w:ind w:left="3600" w:hanging="360"/>
      </w:pPr>
      <w:rPr>
        <w:rFonts w:ascii="Courier New" w:hAnsi="Courier New" w:hint="default"/>
      </w:rPr>
    </w:lvl>
    <w:lvl w:ilvl="5" w:tplc="BFBC2EFA">
      <w:start w:val="1"/>
      <w:numFmt w:val="bullet"/>
      <w:lvlText w:val=""/>
      <w:lvlJc w:val="left"/>
      <w:pPr>
        <w:ind w:left="4320" w:hanging="360"/>
      </w:pPr>
      <w:rPr>
        <w:rFonts w:ascii="Wingdings" w:hAnsi="Wingdings" w:hint="default"/>
      </w:rPr>
    </w:lvl>
    <w:lvl w:ilvl="6" w:tplc="A2589CEC">
      <w:start w:val="1"/>
      <w:numFmt w:val="bullet"/>
      <w:lvlText w:val=""/>
      <w:lvlJc w:val="left"/>
      <w:pPr>
        <w:ind w:left="5040" w:hanging="360"/>
      </w:pPr>
      <w:rPr>
        <w:rFonts w:ascii="Symbol" w:hAnsi="Symbol" w:hint="default"/>
      </w:rPr>
    </w:lvl>
    <w:lvl w:ilvl="7" w:tplc="979A764C">
      <w:start w:val="1"/>
      <w:numFmt w:val="bullet"/>
      <w:lvlText w:val="o"/>
      <w:lvlJc w:val="left"/>
      <w:pPr>
        <w:ind w:left="5760" w:hanging="360"/>
      </w:pPr>
      <w:rPr>
        <w:rFonts w:ascii="Courier New" w:hAnsi="Courier New" w:hint="default"/>
      </w:rPr>
    </w:lvl>
    <w:lvl w:ilvl="8" w:tplc="C0DE99F0">
      <w:start w:val="1"/>
      <w:numFmt w:val="bullet"/>
      <w:lvlText w:val=""/>
      <w:lvlJc w:val="left"/>
      <w:pPr>
        <w:ind w:left="6480" w:hanging="360"/>
      </w:pPr>
      <w:rPr>
        <w:rFonts w:ascii="Wingdings" w:hAnsi="Wingdings" w:hint="default"/>
      </w:rPr>
    </w:lvl>
  </w:abstractNum>
  <w:abstractNum w:abstractNumId="64" w15:restartNumberingAfterBreak="0">
    <w:nsid w:val="6A806D8C"/>
    <w:multiLevelType w:val="hybridMultilevel"/>
    <w:tmpl w:val="96F81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1050C97"/>
    <w:multiLevelType w:val="multilevel"/>
    <w:tmpl w:val="3CD4F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25B6AE3"/>
    <w:multiLevelType w:val="multilevel"/>
    <w:tmpl w:val="96DA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2B85158"/>
    <w:multiLevelType w:val="multilevel"/>
    <w:tmpl w:val="B68EE3B8"/>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73611863"/>
    <w:multiLevelType w:val="hybridMultilevel"/>
    <w:tmpl w:val="FFFFFFFF"/>
    <w:lvl w:ilvl="0" w:tplc="8C4A8DA0">
      <w:start w:val="1"/>
      <w:numFmt w:val="bullet"/>
      <w:lvlText w:val=""/>
      <w:lvlJc w:val="left"/>
      <w:pPr>
        <w:ind w:left="720" w:hanging="360"/>
      </w:pPr>
      <w:rPr>
        <w:rFonts w:ascii="Symbol" w:hAnsi="Symbol" w:hint="default"/>
      </w:rPr>
    </w:lvl>
    <w:lvl w:ilvl="1" w:tplc="BDBED02C">
      <w:start w:val="1"/>
      <w:numFmt w:val="bullet"/>
      <w:lvlText w:val=""/>
      <w:lvlJc w:val="left"/>
      <w:pPr>
        <w:ind w:left="1440" w:hanging="360"/>
      </w:pPr>
      <w:rPr>
        <w:rFonts w:ascii="Symbol" w:hAnsi="Symbol" w:hint="default"/>
      </w:rPr>
    </w:lvl>
    <w:lvl w:ilvl="2" w:tplc="C5421FE8">
      <w:start w:val="1"/>
      <w:numFmt w:val="bullet"/>
      <w:lvlText w:val=""/>
      <w:lvlJc w:val="left"/>
      <w:pPr>
        <w:ind w:left="2160" w:hanging="360"/>
      </w:pPr>
      <w:rPr>
        <w:rFonts w:ascii="Wingdings" w:hAnsi="Wingdings" w:hint="default"/>
      </w:rPr>
    </w:lvl>
    <w:lvl w:ilvl="3" w:tplc="63040852">
      <w:start w:val="1"/>
      <w:numFmt w:val="bullet"/>
      <w:lvlText w:val=""/>
      <w:lvlJc w:val="left"/>
      <w:pPr>
        <w:ind w:left="2880" w:hanging="360"/>
      </w:pPr>
      <w:rPr>
        <w:rFonts w:ascii="Symbol" w:hAnsi="Symbol" w:hint="default"/>
      </w:rPr>
    </w:lvl>
    <w:lvl w:ilvl="4" w:tplc="A27E5112">
      <w:start w:val="1"/>
      <w:numFmt w:val="bullet"/>
      <w:lvlText w:val="o"/>
      <w:lvlJc w:val="left"/>
      <w:pPr>
        <w:ind w:left="3600" w:hanging="360"/>
      </w:pPr>
      <w:rPr>
        <w:rFonts w:ascii="Courier New" w:hAnsi="Courier New" w:hint="default"/>
      </w:rPr>
    </w:lvl>
    <w:lvl w:ilvl="5" w:tplc="B7DE5794">
      <w:start w:val="1"/>
      <w:numFmt w:val="bullet"/>
      <w:lvlText w:val=""/>
      <w:lvlJc w:val="left"/>
      <w:pPr>
        <w:ind w:left="4320" w:hanging="360"/>
      </w:pPr>
      <w:rPr>
        <w:rFonts w:ascii="Wingdings" w:hAnsi="Wingdings" w:hint="default"/>
      </w:rPr>
    </w:lvl>
    <w:lvl w:ilvl="6" w:tplc="3656D066">
      <w:start w:val="1"/>
      <w:numFmt w:val="bullet"/>
      <w:lvlText w:val=""/>
      <w:lvlJc w:val="left"/>
      <w:pPr>
        <w:ind w:left="5040" w:hanging="360"/>
      </w:pPr>
      <w:rPr>
        <w:rFonts w:ascii="Symbol" w:hAnsi="Symbol" w:hint="default"/>
      </w:rPr>
    </w:lvl>
    <w:lvl w:ilvl="7" w:tplc="80E0B3D8">
      <w:start w:val="1"/>
      <w:numFmt w:val="bullet"/>
      <w:lvlText w:val="o"/>
      <w:lvlJc w:val="left"/>
      <w:pPr>
        <w:ind w:left="5760" w:hanging="360"/>
      </w:pPr>
      <w:rPr>
        <w:rFonts w:ascii="Courier New" w:hAnsi="Courier New" w:hint="default"/>
      </w:rPr>
    </w:lvl>
    <w:lvl w:ilvl="8" w:tplc="02280D40">
      <w:start w:val="1"/>
      <w:numFmt w:val="bullet"/>
      <w:lvlText w:val=""/>
      <w:lvlJc w:val="left"/>
      <w:pPr>
        <w:ind w:left="6480" w:hanging="360"/>
      </w:pPr>
      <w:rPr>
        <w:rFonts w:ascii="Wingdings" w:hAnsi="Wingdings" w:hint="default"/>
      </w:rPr>
    </w:lvl>
  </w:abstractNum>
  <w:abstractNum w:abstractNumId="69" w15:restartNumberingAfterBreak="0">
    <w:nsid w:val="78343F86"/>
    <w:multiLevelType w:val="hybridMultilevel"/>
    <w:tmpl w:val="FFFFFFFF"/>
    <w:lvl w:ilvl="0" w:tplc="943E9BBE">
      <w:start w:val="1"/>
      <w:numFmt w:val="bullet"/>
      <w:lvlText w:val=""/>
      <w:lvlJc w:val="left"/>
      <w:pPr>
        <w:ind w:left="720" w:hanging="360"/>
      </w:pPr>
      <w:rPr>
        <w:rFonts w:ascii="Symbol" w:hAnsi="Symbol" w:hint="default"/>
      </w:rPr>
    </w:lvl>
    <w:lvl w:ilvl="1" w:tplc="610C744C">
      <w:start w:val="1"/>
      <w:numFmt w:val="bullet"/>
      <w:lvlText w:val="o"/>
      <w:lvlJc w:val="left"/>
      <w:pPr>
        <w:ind w:left="1440" w:hanging="360"/>
      </w:pPr>
      <w:rPr>
        <w:rFonts w:ascii="Courier New" w:hAnsi="Courier New" w:hint="default"/>
      </w:rPr>
    </w:lvl>
    <w:lvl w:ilvl="2" w:tplc="0092569E">
      <w:start w:val="1"/>
      <w:numFmt w:val="bullet"/>
      <w:lvlText w:val=""/>
      <w:lvlJc w:val="left"/>
      <w:pPr>
        <w:ind w:left="2160" w:hanging="360"/>
      </w:pPr>
      <w:rPr>
        <w:rFonts w:ascii="Wingdings" w:hAnsi="Wingdings" w:hint="default"/>
      </w:rPr>
    </w:lvl>
    <w:lvl w:ilvl="3" w:tplc="640212A6">
      <w:start w:val="1"/>
      <w:numFmt w:val="bullet"/>
      <w:lvlText w:val=""/>
      <w:lvlJc w:val="left"/>
      <w:pPr>
        <w:ind w:left="2880" w:hanging="360"/>
      </w:pPr>
      <w:rPr>
        <w:rFonts w:ascii="Symbol" w:hAnsi="Symbol" w:hint="default"/>
      </w:rPr>
    </w:lvl>
    <w:lvl w:ilvl="4" w:tplc="C1068A70">
      <w:start w:val="1"/>
      <w:numFmt w:val="bullet"/>
      <w:lvlText w:val="o"/>
      <w:lvlJc w:val="left"/>
      <w:pPr>
        <w:ind w:left="3600" w:hanging="360"/>
      </w:pPr>
      <w:rPr>
        <w:rFonts w:ascii="Courier New" w:hAnsi="Courier New" w:hint="default"/>
      </w:rPr>
    </w:lvl>
    <w:lvl w:ilvl="5" w:tplc="6E041ACE">
      <w:start w:val="1"/>
      <w:numFmt w:val="bullet"/>
      <w:lvlText w:val=""/>
      <w:lvlJc w:val="left"/>
      <w:pPr>
        <w:ind w:left="4320" w:hanging="360"/>
      </w:pPr>
      <w:rPr>
        <w:rFonts w:ascii="Wingdings" w:hAnsi="Wingdings" w:hint="default"/>
      </w:rPr>
    </w:lvl>
    <w:lvl w:ilvl="6" w:tplc="98B009B2">
      <w:start w:val="1"/>
      <w:numFmt w:val="bullet"/>
      <w:lvlText w:val=""/>
      <w:lvlJc w:val="left"/>
      <w:pPr>
        <w:ind w:left="5040" w:hanging="360"/>
      </w:pPr>
      <w:rPr>
        <w:rFonts w:ascii="Symbol" w:hAnsi="Symbol" w:hint="default"/>
      </w:rPr>
    </w:lvl>
    <w:lvl w:ilvl="7" w:tplc="52AE78BE">
      <w:start w:val="1"/>
      <w:numFmt w:val="bullet"/>
      <w:lvlText w:val="o"/>
      <w:lvlJc w:val="left"/>
      <w:pPr>
        <w:ind w:left="5760" w:hanging="360"/>
      </w:pPr>
      <w:rPr>
        <w:rFonts w:ascii="Courier New" w:hAnsi="Courier New" w:hint="default"/>
      </w:rPr>
    </w:lvl>
    <w:lvl w:ilvl="8" w:tplc="8F2402D6">
      <w:start w:val="1"/>
      <w:numFmt w:val="bullet"/>
      <w:lvlText w:val=""/>
      <w:lvlJc w:val="left"/>
      <w:pPr>
        <w:ind w:left="6480" w:hanging="360"/>
      </w:pPr>
      <w:rPr>
        <w:rFonts w:ascii="Wingdings" w:hAnsi="Wingdings" w:hint="default"/>
      </w:rPr>
    </w:lvl>
  </w:abstractNum>
  <w:abstractNum w:abstractNumId="70" w15:restartNumberingAfterBreak="0">
    <w:nsid w:val="7C34270A"/>
    <w:multiLevelType w:val="multilevel"/>
    <w:tmpl w:val="E0688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9898272">
    <w:abstractNumId w:val="55"/>
  </w:num>
  <w:num w:numId="2" w16cid:durableId="1361929526">
    <w:abstractNumId w:val="57"/>
  </w:num>
  <w:num w:numId="3" w16cid:durableId="530069772">
    <w:abstractNumId w:val="37"/>
  </w:num>
  <w:num w:numId="4" w16cid:durableId="1187017961">
    <w:abstractNumId w:val="25"/>
  </w:num>
  <w:num w:numId="5" w16cid:durableId="1639066710">
    <w:abstractNumId w:val="16"/>
  </w:num>
  <w:num w:numId="6" w16cid:durableId="764230916">
    <w:abstractNumId w:val="44"/>
  </w:num>
  <w:num w:numId="7" w16cid:durableId="347416859">
    <w:abstractNumId w:val="14"/>
  </w:num>
  <w:num w:numId="8" w16cid:durableId="725950546">
    <w:abstractNumId w:val="39"/>
  </w:num>
  <w:num w:numId="9" w16cid:durableId="612438501">
    <w:abstractNumId w:val="29"/>
  </w:num>
  <w:num w:numId="10" w16cid:durableId="707147209">
    <w:abstractNumId w:val="42"/>
  </w:num>
  <w:num w:numId="11" w16cid:durableId="482702832">
    <w:abstractNumId w:val="45"/>
  </w:num>
  <w:num w:numId="12" w16cid:durableId="1266890054">
    <w:abstractNumId w:val="22"/>
  </w:num>
  <w:num w:numId="13" w16cid:durableId="2117015383">
    <w:abstractNumId w:val="62"/>
  </w:num>
  <w:num w:numId="14" w16cid:durableId="214048784">
    <w:abstractNumId w:val="48"/>
  </w:num>
  <w:num w:numId="15" w16cid:durableId="783427546">
    <w:abstractNumId w:val="28"/>
  </w:num>
  <w:num w:numId="16" w16cid:durableId="53433569">
    <w:abstractNumId w:val="67"/>
  </w:num>
  <w:num w:numId="17" w16cid:durableId="2114746362">
    <w:abstractNumId w:val="3"/>
  </w:num>
  <w:num w:numId="18" w16cid:durableId="1994290503">
    <w:abstractNumId w:val="66"/>
  </w:num>
  <w:num w:numId="19" w16cid:durableId="9260822">
    <w:abstractNumId w:val="11"/>
  </w:num>
  <w:num w:numId="20" w16cid:durableId="1340619380">
    <w:abstractNumId w:val="59"/>
  </w:num>
  <w:num w:numId="21" w16cid:durableId="884295955">
    <w:abstractNumId w:val="51"/>
  </w:num>
  <w:num w:numId="22" w16cid:durableId="687489886">
    <w:abstractNumId w:val="6"/>
  </w:num>
  <w:num w:numId="23" w16cid:durableId="851529935">
    <w:abstractNumId w:val="70"/>
  </w:num>
  <w:num w:numId="24" w16cid:durableId="1257445176">
    <w:abstractNumId w:val="47"/>
  </w:num>
  <w:num w:numId="25" w16cid:durableId="1857763422">
    <w:abstractNumId w:val="13"/>
  </w:num>
  <w:num w:numId="26" w16cid:durableId="527108297">
    <w:abstractNumId w:val="7"/>
  </w:num>
  <w:num w:numId="27" w16cid:durableId="653918464">
    <w:abstractNumId w:val="50"/>
  </w:num>
  <w:num w:numId="28" w16cid:durableId="202714317">
    <w:abstractNumId w:val="36"/>
  </w:num>
  <w:num w:numId="29" w16cid:durableId="1967080127">
    <w:abstractNumId w:val="35"/>
  </w:num>
  <w:num w:numId="30" w16cid:durableId="1727679887">
    <w:abstractNumId w:val="30"/>
  </w:num>
  <w:num w:numId="31" w16cid:durableId="921530757">
    <w:abstractNumId w:val="2"/>
  </w:num>
  <w:num w:numId="32" w16cid:durableId="1177115330">
    <w:abstractNumId w:val="23"/>
  </w:num>
  <w:num w:numId="33" w16cid:durableId="288125858">
    <w:abstractNumId w:val="53"/>
  </w:num>
  <w:num w:numId="34" w16cid:durableId="1607498852">
    <w:abstractNumId w:val="49"/>
  </w:num>
  <w:num w:numId="35" w16cid:durableId="1325670042">
    <w:abstractNumId w:val="34"/>
  </w:num>
  <w:num w:numId="36" w16cid:durableId="780760959">
    <w:abstractNumId w:val="18"/>
  </w:num>
  <w:num w:numId="37" w16cid:durableId="591278162">
    <w:abstractNumId w:val="58"/>
  </w:num>
  <w:num w:numId="38" w16cid:durableId="1715689160">
    <w:abstractNumId w:val="0"/>
  </w:num>
  <w:num w:numId="39" w16cid:durableId="1825394151">
    <w:abstractNumId w:val="17"/>
  </w:num>
  <w:num w:numId="40" w16cid:durableId="1274484800">
    <w:abstractNumId w:val="24"/>
  </w:num>
  <w:num w:numId="41" w16cid:durableId="2094473366">
    <w:abstractNumId w:val="26"/>
  </w:num>
  <w:num w:numId="42" w16cid:durableId="1442261572">
    <w:abstractNumId w:val="60"/>
  </w:num>
  <w:num w:numId="43" w16cid:durableId="514080005">
    <w:abstractNumId w:val="65"/>
  </w:num>
  <w:num w:numId="44" w16cid:durableId="430320596">
    <w:abstractNumId w:val="33"/>
  </w:num>
  <w:num w:numId="45" w16cid:durableId="773868168">
    <w:abstractNumId w:val="5"/>
  </w:num>
  <w:num w:numId="46" w16cid:durableId="231503222">
    <w:abstractNumId w:val="69"/>
  </w:num>
  <w:num w:numId="47" w16cid:durableId="1956517914">
    <w:abstractNumId w:val="19"/>
  </w:num>
  <w:num w:numId="48" w16cid:durableId="1526476752">
    <w:abstractNumId w:val="27"/>
  </w:num>
  <w:num w:numId="49" w16cid:durableId="1919047908">
    <w:abstractNumId w:val="12"/>
  </w:num>
  <w:num w:numId="50" w16cid:durableId="1968704673">
    <w:abstractNumId w:val="8"/>
  </w:num>
  <w:num w:numId="51" w16cid:durableId="908737006">
    <w:abstractNumId w:val="40"/>
  </w:num>
  <w:num w:numId="52" w16cid:durableId="806974441">
    <w:abstractNumId w:val="43"/>
  </w:num>
  <w:num w:numId="53" w16cid:durableId="2110077426">
    <w:abstractNumId w:val="21"/>
  </w:num>
  <w:num w:numId="54" w16cid:durableId="1145514373">
    <w:abstractNumId w:val="61"/>
  </w:num>
  <w:num w:numId="55" w16cid:durableId="53545871">
    <w:abstractNumId w:val="20"/>
  </w:num>
  <w:num w:numId="56" w16cid:durableId="459224123">
    <w:abstractNumId w:val="10"/>
  </w:num>
  <w:num w:numId="57" w16cid:durableId="2015261800">
    <w:abstractNumId w:val="68"/>
  </w:num>
  <w:num w:numId="58" w16cid:durableId="315497720">
    <w:abstractNumId w:val="52"/>
  </w:num>
  <w:num w:numId="59" w16cid:durableId="438650032">
    <w:abstractNumId w:val="54"/>
  </w:num>
  <w:num w:numId="60" w16cid:durableId="1562210659">
    <w:abstractNumId w:val="38"/>
  </w:num>
  <w:num w:numId="61" w16cid:durableId="648559784">
    <w:abstractNumId w:val="63"/>
  </w:num>
  <w:num w:numId="62" w16cid:durableId="818038898">
    <w:abstractNumId w:val="4"/>
  </w:num>
  <w:num w:numId="63" w16cid:durableId="1983076267">
    <w:abstractNumId w:val="9"/>
  </w:num>
  <w:num w:numId="64" w16cid:durableId="4796340">
    <w:abstractNumId w:val="1"/>
  </w:num>
  <w:num w:numId="65" w16cid:durableId="1325623175">
    <w:abstractNumId w:val="15"/>
  </w:num>
  <w:num w:numId="66" w16cid:durableId="1966885676">
    <w:abstractNumId w:val="46"/>
  </w:num>
  <w:num w:numId="67" w16cid:durableId="607615485">
    <w:abstractNumId w:val="64"/>
  </w:num>
  <w:num w:numId="68" w16cid:durableId="1117525517">
    <w:abstractNumId w:val="41"/>
  </w:num>
  <w:num w:numId="69" w16cid:durableId="48846675">
    <w:abstractNumId w:val="56"/>
  </w:num>
  <w:num w:numId="70" w16cid:durableId="1360743332">
    <w:abstractNumId w:val="31"/>
  </w:num>
  <w:num w:numId="71" w16cid:durableId="88625966">
    <w:abstractNumId w:val="3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04837B"/>
    <w:rsid w:val="00000389"/>
    <w:rsid w:val="00000670"/>
    <w:rsid w:val="000006FD"/>
    <w:rsid w:val="00000D70"/>
    <w:rsid w:val="000014EF"/>
    <w:rsid w:val="00001721"/>
    <w:rsid w:val="00001796"/>
    <w:rsid w:val="00001F36"/>
    <w:rsid w:val="00002276"/>
    <w:rsid w:val="000022C1"/>
    <w:rsid w:val="00002438"/>
    <w:rsid w:val="00002E1D"/>
    <w:rsid w:val="0000352A"/>
    <w:rsid w:val="000041FD"/>
    <w:rsid w:val="000043AA"/>
    <w:rsid w:val="00004AA3"/>
    <w:rsid w:val="00005564"/>
    <w:rsid w:val="00005DA7"/>
    <w:rsid w:val="0000639B"/>
    <w:rsid w:val="000068B4"/>
    <w:rsid w:val="00006BD4"/>
    <w:rsid w:val="00006C45"/>
    <w:rsid w:val="000074D6"/>
    <w:rsid w:val="000078D6"/>
    <w:rsid w:val="00007D3C"/>
    <w:rsid w:val="00010256"/>
    <w:rsid w:val="000103AD"/>
    <w:rsid w:val="000103F6"/>
    <w:rsid w:val="0001086C"/>
    <w:rsid w:val="00010CF5"/>
    <w:rsid w:val="00010D26"/>
    <w:rsid w:val="0001101F"/>
    <w:rsid w:val="0001138D"/>
    <w:rsid w:val="00011523"/>
    <w:rsid w:val="0001196F"/>
    <w:rsid w:val="00011A91"/>
    <w:rsid w:val="00011B69"/>
    <w:rsid w:val="00011D8F"/>
    <w:rsid w:val="000128C4"/>
    <w:rsid w:val="000129F5"/>
    <w:rsid w:val="00013462"/>
    <w:rsid w:val="0001491E"/>
    <w:rsid w:val="00015183"/>
    <w:rsid w:val="000153A2"/>
    <w:rsid w:val="00015B1F"/>
    <w:rsid w:val="0001651F"/>
    <w:rsid w:val="00016C96"/>
    <w:rsid w:val="000173D2"/>
    <w:rsid w:val="0001762A"/>
    <w:rsid w:val="000179D3"/>
    <w:rsid w:val="00017D55"/>
    <w:rsid w:val="00017F90"/>
    <w:rsid w:val="0002071F"/>
    <w:rsid w:val="0002085D"/>
    <w:rsid w:val="00021241"/>
    <w:rsid w:val="00021279"/>
    <w:rsid w:val="000214C6"/>
    <w:rsid w:val="000214D9"/>
    <w:rsid w:val="00021615"/>
    <w:rsid w:val="00021F3B"/>
    <w:rsid w:val="000220C2"/>
    <w:rsid w:val="00023667"/>
    <w:rsid w:val="00024181"/>
    <w:rsid w:val="00024630"/>
    <w:rsid w:val="00024A6D"/>
    <w:rsid w:val="0002513C"/>
    <w:rsid w:val="0002524F"/>
    <w:rsid w:val="00025253"/>
    <w:rsid w:val="00025260"/>
    <w:rsid w:val="000253A7"/>
    <w:rsid w:val="00025584"/>
    <w:rsid w:val="0002632E"/>
    <w:rsid w:val="00026C03"/>
    <w:rsid w:val="0002726F"/>
    <w:rsid w:val="00027BC0"/>
    <w:rsid w:val="00027F88"/>
    <w:rsid w:val="0003029B"/>
    <w:rsid w:val="00030A19"/>
    <w:rsid w:val="00031039"/>
    <w:rsid w:val="00031887"/>
    <w:rsid w:val="000318BB"/>
    <w:rsid w:val="00031A24"/>
    <w:rsid w:val="000328C6"/>
    <w:rsid w:val="00033006"/>
    <w:rsid w:val="00033381"/>
    <w:rsid w:val="0003369E"/>
    <w:rsid w:val="000339B5"/>
    <w:rsid w:val="000344B0"/>
    <w:rsid w:val="000345FC"/>
    <w:rsid w:val="00034E6E"/>
    <w:rsid w:val="000358BF"/>
    <w:rsid w:val="00035917"/>
    <w:rsid w:val="00035F89"/>
    <w:rsid w:val="00036227"/>
    <w:rsid w:val="0003642E"/>
    <w:rsid w:val="00036466"/>
    <w:rsid w:val="0003652B"/>
    <w:rsid w:val="0003696F"/>
    <w:rsid w:val="00036FBB"/>
    <w:rsid w:val="00037129"/>
    <w:rsid w:val="00037557"/>
    <w:rsid w:val="00037CEC"/>
    <w:rsid w:val="00040375"/>
    <w:rsid w:val="00040680"/>
    <w:rsid w:val="00040802"/>
    <w:rsid w:val="00041152"/>
    <w:rsid w:val="00041410"/>
    <w:rsid w:val="0004162F"/>
    <w:rsid w:val="0004180C"/>
    <w:rsid w:val="000418D6"/>
    <w:rsid w:val="000426B6"/>
    <w:rsid w:val="00042EEA"/>
    <w:rsid w:val="000433BB"/>
    <w:rsid w:val="00044014"/>
    <w:rsid w:val="00044668"/>
    <w:rsid w:val="00045494"/>
    <w:rsid w:val="000456FE"/>
    <w:rsid w:val="00047BA6"/>
    <w:rsid w:val="00050A0F"/>
    <w:rsid w:val="00051606"/>
    <w:rsid w:val="00051765"/>
    <w:rsid w:val="0005176C"/>
    <w:rsid w:val="00052343"/>
    <w:rsid w:val="00052A87"/>
    <w:rsid w:val="00052C00"/>
    <w:rsid w:val="0005360C"/>
    <w:rsid w:val="000536B1"/>
    <w:rsid w:val="00054008"/>
    <w:rsid w:val="00054875"/>
    <w:rsid w:val="0005488C"/>
    <w:rsid w:val="000554F4"/>
    <w:rsid w:val="00055CB4"/>
    <w:rsid w:val="000560C9"/>
    <w:rsid w:val="00056B85"/>
    <w:rsid w:val="00056CE9"/>
    <w:rsid w:val="00056E7B"/>
    <w:rsid w:val="00057011"/>
    <w:rsid w:val="0005767C"/>
    <w:rsid w:val="0006034D"/>
    <w:rsid w:val="0006056D"/>
    <w:rsid w:val="00060631"/>
    <w:rsid w:val="00060B60"/>
    <w:rsid w:val="00060BB4"/>
    <w:rsid w:val="00060D87"/>
    <w:rsid w:val="000610CC"/>
    <w:rsid w:val="00061BC7"/>
    <w:rsid w:val="00061E56"/>
    <w:rsid w:val="00061F20"/>
    <w:rsid w:val="00061F92"/>
    <w:rsid w:val="00063184"/>
    <w:rsid w:val="00063329"/>
    <w:rsid w:val="00063C28"/>
    <w:rsid w:val="00064243"/>
    <w:rsid w:val="000648E0"/>
    <w:rsid w:val="000653EA"/>
    <w:rsid w:val="000657A6"/>
    <w:rsid w:val="00065D0F"/>
    <w:rsid w:val="000661D9"/>
    <w:rsid w:val="00066A73"/>
    <w:rsid w:val="00067754"/>
    <w:rsid w:val="00070520"/>
    <w:rsid w:val="00070607"/>
    <w:rsid w:val="00071086"/>
    <w:rsid w:val="00071451"/>
    <w:rsid w:val="000717B1"/>
    <w:rsid w:val="0007184D"/>
    <w:rsid w:val="00071862"/>
    <w:rsid w:val="00071AC6"/>
    <w:rsid w:val="00071AC7"/>
    <w:rsid w:val="000720FB"/>
    <w:rsid w:val="00072B19"/>
    <w:rsid w:val="00072C0F"/>
    <w:rsid w:val="000732DF"/>
    <w:rsid w:val="000734AC"/>
    <w:rsid w:val="00073606"/>
    <w:rsid w:val="00073CD2"/>
    <w:rsid w:val="00073E59"/>
    <w:rsid w:val="00073EED"/>
    <w:rsid w:val="00074808"/>
    <w:rsid w:val="00074BA3"/>
    <w:rsid w:val="00074C6B"/>
    <w:rsid w:val="000750E7"/>
    <w:rsid w:val="000751B7"/>
    <w:rsid w:val="00075342"/>
    <w:rsid w:val="000756E6"/>
    <w:rsid w:val="00076521"/>
    <w:rsid w:val="0007714C"/>
    <w:rsid w:val="00077A0D"/>
    <w:rsid w:val="000806E9"/>
    <w:rsid w:val="00080758"/>
    <w:rsid w:val="00080F67"/>
    <w:rsid w:val="000815FB"/>
    <w:rsid w:val="00081692"/>
    <w:rsid w:val="00081752"/>
    <w:rsid w:val="00081775"/>
    <w:rsid w:val="00081B61"/>
    <w:rsid w:val="000832B9"/>
    <w:rsid w:val="00083672"/>
    <w:rsid w:val="00083C6E"/>
    <w:rsid w:val="00083C7F"/>
    <w:rsid w:val="00083F7D"/>
    <w:rsid w:val="000847D6"/>
    <w:rsid w:val="00084C3E"/>
    <w:rsid w:val="000850DC"/>
    <w:rsid w:val="00085A9A"/>
    <w:rsid w:val="00085E5B"/>
    <w:rsid w:val="00085FFA"/>
    <w:rsid w:val="000864B2"/>
    <w:rsid w:val="00086F49"/>
    <w:rsid w:val="000878C5"/>
    <w:rsid w:val="00087AA8"/>
    <w:rsid w:val="00090EB1"/>
    <w:rsid w:val="00090EB4"/>
    <w:rsid w:val="0009140B"/>
    <w:rsid w:val="00091934"/>
    <w:rsid w:val="00091F52"/>
    <w:rsid w:val="000925E4"/>
    <w:rsid w:val="00093898"/>
    <w:rsid w:val="00094591"/>
    <w:rsid w:val="00094A13"/>
    <w:rsid w:val="00094D0C"/>
    <w:rsid w:val="00094D17"/>
    <w:rsid w:val="00095377"/>
    <w:rsid w:val="000958FF"/>
    <w:rsid w:val="000959CB"/>
    <w:rsid w:val="00095A13"/>
    <w:rsid w:val="00095C37"/>
    <w:rsid w:val="00096554"/>
    <w:rsid w:val="000967CE"/>
    <w:rsid w:val="000968B9"/>
    <w:rsid w:val="000971A1"/>
    <w:rsid w:val="0009741D"/>
    <w:rsid w:val="00097F17"/>
    <w:rsid w:val="00097F62"/>
    <w:rsid w:val="000A0B8D"/>
    <w:rsid w:val="000A0F70"/>
    <w:rsid w:val="000A11E1"/>
    <w:rsid w:val="000A1674"/>
    <w:rsid w:val="000A19C4"/>
    <w:rsid w:val="000A1A9F"/>
    <w:rsid w:val="000A1D6A"/>
    <w:rsid w:val="000A1E53"/>
    <w:rsid w:val="000A1E92"/>
    <w:rsid w:val="000A1EA1"/>
    <w:rsid w:val="000A1FF9"/>
    <w:rsid w:val="000A230B"/>
    <w:rsid w:val="000A290E"/>
    <w:rsid w:val="000A2E12"/>
    <w:rsid w:val="000A426F"/>
    <w:rsid w:val="000A4277"/>
    <w:rsid w:val="000A4349"/>
    <w:rsid w:val="000A466F"/>
    <w:rsid w:val="000A476E"/>
    <w:rsid w:val="000A5168"/>
    <w:rsid w:val="000A5782"/>
    <w:rsid w:val="000A584A"/>
    <w:rsid w:val="000A5971"/>
    <w:rsid w:val="000A6003"/>
    <w:rsid w:val="000A6236"/>
    <w:rsid w:val="000A671D"/>
    <w:rsid w:val="000A6953"/>
    <w:rsid w:val="000A712B"/>
    <w:rsid w:val="000A79D7"/>
    <w:rsid w:val="000A7C8B"/>
    <w:rsid w:val="000A7E4F"/>
    <w:rsid w:val="000B0E87"/>
    <w:rsid w:val="000B1974"/>
    <w:rsid w:val="000B1E31"/>
    <w:rsid w:val="000B2868"/>
    <w:rsid w:val="000B2C25"/>
    <w:rsid w:val="000B2E9F"/>
    <w:rsid w:val="000B2F43"/>
    <w:rsid w:val="000B2FE0"/>
    <w:rsid w:val="000B31E0"/>
    <w:rsid w:val="000B429C"/>
    <w:rsid w:val="000B4474"/>
    <w:rsid w:val="000B4527"/>
    <w:rsid w:val="000B4EBB"/>
    <w:rsid w:val="000B614A"/>
    <w:rsid w:val="000B622F"/>
    <w:rsid w:val="000B68E1"/>
    <w:rsid w:val="000B6999"/>
    <w:rsid w:val="000B6F18"/>
    <w:rsid w:val="000B6FE7"/>
    <w:rsid w:val="000B72E3"/>
    <w:rsid w:val="000B7AF0"/>
    <w:rsid w:val="000B7BF2"/>
    <w:rsid w:val="000C0149"/>
    <w:rsid w:val="000C01AC"/>
    <w:rsid w:val="000C0D84"/>
    <w:rsid w:val="000C0F4E"/>
    <w:rsid w:val="000C19AE"/>
    <w:rsid w:val="000C19C9"/>
    <w:rsid w:val="000C1CDA"/>
    <w:rsid w:val="000C1DE0"/>
    <w:rsid w:val="000C2291"/>
    <w:rsid w:val="000C25F6"/>
    <w:rsid w:val="000C2B55"/>
    <w:rsid w:val="000C2B87"/>
    <w:rsid w:val="000C2EA1"/>
    <w:rsid w:val="000C3851"/>
    <w:rsid w:val="000C4961"/>
    <w:rsid w:val="000C5077"/>
    <w:rsid w:val="000C54E0"/>
    <w:rsid w:val="000C5A57"/>
    <w:rsid w:val="000C6319"/>
    <w:rsid w:val="000C65FA"/>
    <w:rsid w:val="000C73E6"/>
    <w:rsid w:val="000C7973"/>
    <w:rsid w:val="000D0178"/>
    <w:rsid w:val="000D0392"/>
    <w:rsid w:val="000D0CA8"/>
    <w:rsid w:val="000D1193"/>
    <w:rsid w:val="000D1449"/>
    <w:rsid w:val="000D1651"/>
    <w:rsid w:val="000D1947"/>
    <w:rsid w:val="000D2092"/>
    <w:rsid w:val="000D2345"/>
    <w:rsid w:val="000D2CE9"/>
    <w:rsid w:val="000D39DD"/>
    <w:rsid w:val="000D3AF5"/>
    <w:rsid w:val="000D4252"/>
    <w:rsid w:val="000D426D"/>
    <w:rsid w:val="000D4D47"/>
    <w:rsid w:val="000D5298"/>
    <w:rsid w:val="000D5471"/>
    <w:rsid w:val="000D57AA"/>
    <w:rsid w:val="000D5894"/>
    <w:rsid w:val="000D677D"/>
    <w:rsid w:val="000D6A74"/>
    <w:rsid w:val="000D6A98"/>
    <w:rsid w:val="000D6E5F"/>
    <w:rsid w:val="000D6EA5"/>
    <w:rsid w:val="000D710E"/>
    <w:rsid w:val="000D7221"/>
    <w:rsid w:val="000D7639"/>
    <w:rsid w:val="000D792C"/>
    <w:rsid w:val="000D7B3F"/>
    <w:rsid w:val="000D7DA3"/>
    <w:rsid w:val="000E12FD"/>
    <w:rsid w:val="000E1759"/>
    <w:rsid w:val="000E17EA"/>
    <w:rsid w:val="000E1880"/>
    <w:rsid w:val="000E24F2"/>
    <w:rsid w:val="000E29D4"/>
    <w:rsid w:val="000E2D5F"/>
    <w:rsid w:val="000E2D60"/>
    <w:rsid w:val="000E463E"/>
    <w:rsid w:val="000E54C2"/>
    <w:rsid w:val="000E5C71"/>
    <w:rsid w:val="000E5CC7"/>
    <w:rsid w:val="000E603D"/>
    <w:rsid w:val="000E65AC"/>
    <w:rsid w:val="000E6A28"/>
    <w:rsid w:val="000E6BF4"/>
    <w:rsid w:val="000E750E"/>
    <w:rsid w:val="000E75B8"/>
    <w:rsid w:val="000E781D"/>
    <w:rsid w:val="000F0745"/>
    <w:rsid w:val="000F0C14"/>
    <w:rsid w:val="000F162F"/>
    <w:rsid w:val="000F169D"/>
    <w:rsid w:val="000F18B0"/>
    <w:rsid w:val="000F1979"/>
    <w:rsid w:val="000F1CA4"/>
    <w:rsid w:val="000F2181"/>
    <w:rsid w:val="000F249E"/>
    <w:rsid w:val="000F26E8"/>
    <w:rsid w:val="000F2AD4"/>
    <w:rsid w:val="000F2EED"/>
    <w:rsid w:val="000F3D52"/>
    <w:rsid w:val="000F3DD0"/>
    <w:rsid w:val="000F4033"/>
    <w:rsid w:val="000F4067"/>
    <w:rsid w:val="000F4415"/>
    <w:rsid w:val="000F4475"/>
    <w:rsid w:val="000F48D5"/>
    <w:rsid w:val="000F54F9"/>
    <w:rsid w:val="000F5833"/>
    <w:rsid w:val="000F62ED"/>
    <w:rsid w:val="000F644A"/>
    <w:rsid w:val="000F645A"/>
    <w:rsid w:val="000F6B1E"/>
    <w:rsid w:val="000F6D48"/>
    <w:rsid w:val="001001AE"/>
    <w:rsid w:val="00101498"/>
    <w:rsid w:val="00101F7F"/>
    <w:rsid w:val="0010225A"/>
    <w:rsid w:val="0010239D"/>
    <w:rsid w:val="001023A2"/>
    <w:rsid w:val="00102950"/>
    <w:rsid w:val="001032C7"/>
    <w:rsid w:val="001038D1"/>
    <w:rsid w:val="00103A85"/>
    <w:rsid w:val="00103AFE"/>
    <w:rsid w:val="001040B5"/>
    <w:rsid w:val="001047EA"/>
    <w:rsid w:val="001049B6"/>
    <w:rsid w:val="00104EB6"/>
    <w:rsid w:val="00105AB8"/>
    <w:rsid w:val="001060FF"/>
    <w:rsid w:val="001069D1"/>
    <w:rsid w:val="00106A91"/>
    <w:rsid w:val="00106B57"/>
    <w:rsid w:val="001073A3"/>
    <w:rsid w:val="0010777A"/>
    <w:rsid w:val="001078C4"/>
    <w:rsid w:val="00107ED0"/>
    <w:rsid w:val="00110256"/>
    <w:rsid w:val="001102CA"/>
    <w:rsid w:val="00110478"/>
    <w:rsid w:val="00110520"/>
    <w:rsid w:val="001106C1"/>
    <w:rsid w:val="001107DA"/>
    <w:rsid w:val="00110808"/>
    <w:rsid w:val="00110DCB"/>
    <w:rsid w:val="00110E67"/>
    <w:rsid w:val="00111103"/>
    <w:rsid w:val="001116C1"/>
    <w:rsid w:val="0011191F"/>
    <w:rsid w:val="00111A38"/>
    <w:rsid w:val="00111CB3"/>
    <w:rsid w:val="001125FF"/>
    <w:rsid w:val="001128EA"/>
    <w:rsid w:val="00112DD5"/>
    <w:rsid w:val="001130E7"/>
    <w:rsid w:val="001131E5"/>
    <w:rsid w:val="001133EC"/>
    <w:rsid w:val="00113B6D"/>
    <w:rsid w:val="001140D3"/>
    <w:rsid w:val="0011455E"/>
    <w:rsid w:val="001145E2"/>
    <w:rsid w:val="0011465F"/>
    <w:rsid w:val="00114691"/>
    <w:rsid w:val="0011474A"/>
    <w:rsid w:val="001147B5"/>
    <w:rsid w:val="001149E3"/>
    <w:rsid w:val="00114AB6"/>
    <w:rsid w:val="00114BD5"/>
    <w:rsid w:val="001156DF"/>
    <w:rsid w:val="00115CB7"/>
    <w:rsid w:val="00115CDD"/>
    <w:rsid w:val="001160E1"/>
    <w:rsid w:val="001163A2"/>
    <w:rsid w:val="001163F9"/>
    <w:rsid w:val="00116409"/>
    <w:rsid w:val="00116918"/>
    <w:rsid w:val="0011697E"/>
    <w:rsid w:val="00116996"/>
    <w:rsid w:val="00116D16"/>
    <w:rsid w:val="00117016"/>
    <w:rsid w:val="001172DE"/>
    <w:rsid w:val="00117C8B"/>
    <w:rsid w:val="0012013E"/>
    <w:rsid w:val="00120595"/>
    <w:rsid w:val="00120A4E"/>
    <w:rsid w:val="00121725"/>
    <w:rsid w:val="00121F5D"/>
    <w:rsid w:val="00122352"/>
    <w:rsid w:val="001225A2"/>
    <w:rsid w:val="001237A7"/>
    <w:rsid w:val="00123D75"/>
    <w:rsid w:val="00123E41"/>
    <w:rsid w:val="00123EAF"/>
    <w:rsid w:val="00124105"/>
    <w:rsid w:val="001241F8"/>
    <w:rsid w:val="00124818"/>
    <w:rsid w:val="0012495B"/>
    <w:rsid w:val="00125395"/>
    <w:rsid w:val="0012542D"/>
    <w:rsid w:val="001254A3"/>
    <w:rsid w:val="001256CA"/>
    <w:rsid w:val="00125925"/>
    <w:rsid w:val="00125CF2"/>
    <w:rsid w:val="00125D9F"/>
    <w:rsid w:val="00126D1E"/>
    <w:rsid w:val="00127784"/>
    <w:rsid w:val="00127EC4"/>
    <w:rsid w:val="00130313"/>
    <w:rsid w:val="0013040A"/>
    <w:rsid w:val="00130BB8"/>
    <w:rsid w:val="00130C5D"/>
    <w:rsid w:val="00131136"/>
    <w:rsid w:val="0013153A"/>
    <w:rsid w:val="001317FB"/>
    <w:rsid w:val="00131DCA"/>
    <w:rsid w:val="00131FA9"/>
    <w:rsid w:val="00132227"/>
    <w:rsid w:val="001327C5"/>
    <w:rsid w:val="00132A42"/>
    <w:rsid w:val="00132C0D"/>
    <w:rsid w:val="00133077"/>
    <w:rsid w:val="001334CF"/>
    <w:rsid w:val="00133FC7"/>
    <w:rsid w:val="001340CF"/>
    <w:rsid w:val="001344B0"/>
    <w:rsid w:val="00134B12"/>
    <w:rsid w:val="00134B56"/>
    <w:rsid w:val="00135518"/>
    <w:rsid w:val="00135C94"/>
    <w:rsid w:val="00136555"/>
    <w:rsid w:val="001368BF"/>
    <w:rsid w:val="00136F08"/>
    <w:rsid w:val="001372E4"/>
    <w:rsid w:val="001373F7"/>
    <w:rsid w:val="00137410"/>
    <w:rsid w:val="00137597"/>
    <w:rsid w:val="00137AC9"/>
    <w:rsid w:val="00137BD5"/>
    <w:rsid w:val="00137C5D"/>
    <w:rsid w:val="00137F7A"/>
    <w:rsid w:val="00140183"/>
    <w:rsid w:val="001406C0"/>
    <w:rsid w:val="001406E9"/>
    <w:rsid w:val="0014078C"/>
    <w:rsid w:val="00140B5A"/>
    <w:rsid w:val="0014106F"/>
    <w:rsid w:val="001414D9"/>
    <w:rsid w:val="0014150B"/>
    <w:rsid w:val="001415CB"/>
    <w:rsid w:val="00141B40"/>
    <w:rsid w:val="0014216C"/>
    <w:rsid w:val="00142424"/>
    <w:rsid w:val="00142B2D"/>
    <w:rsid w:val="00142D8C"/>
    <w:rsid w:val="001434F2"/>
    <w:rsid w:val="00143911"/>
    <w:rsid w:val="001439EF"/>
    <w:rsid w:val="00144085"/>
    <w:rsid w:val="00144415"/>
    <w:rsid w:val="00145367"/>
    <w:rsid w:val="00146B64"/>
    <w:rsid w:val="0014756A"/>
    <w:rsid w:val="00147707"/>
    <w:rsid w:val="001477C5"/>
    <w:rsid w:val="00147B7A"/>
    <w:rsid w:val="00147D25"/>
    <w:rsid w:val="00150420"/>
    <w:rsid w:val="00150896"/>
    <w:rsid w:val="001510E1"/>
    <w:rsid w:val="00151230"/>
    <w:rsid w:val="001516DF"/>
    <w:rsid w:val="0015173A"/>
    <w:rsid w:val="0015181A"/>
    <w:rsid w:val="001518F8"/>
    <w:rsid w:val="00152238"/>
    <w:rsid w:val="0015268E"/>
    <w:rsid w:val="001526BF"/>
    <w:rsid w:val="00153387"/>
    <w:rsid w:val="00153628"/>
    <w:rsid w:val="001536AA"/>
    <w:rsid w:val="001536CD"/>
    <w:rsid w:val="001544AA"/>
    <w:rsid w:val="00154551"/>
    <w:rsid w:val="00154B02"/>
    <w:rsid w:val="00154F14"/>
    <w:rsid w:val="00155477"/>
    <w:rsid w:val="00155575"/>
    <w:rsid w:val="001563DB"/>
    <w:rsid w:val="001564E7"/>
    <w:rsid w:val="001567B6"/>
    <w:rsid w:val="00156C0E"/>
    <w:rsid w:val="00156C41"/>
    <w:rsid w:val="001574EE"/>
    <w:rsid w:val="00157CBE"/>
    <w:rsid w:val="00157F34"/>
    <w:rsid w:val="00160D74"/>
    <w:rsid w:val="00160EFE"/>
    <w:rsid w:val="00161418"/>
    <w:rsid w:val="00162255"/>
    <w:rsid w:val="00162354"/>
    <w:rsid w:val="00162F23"/>
    <w:rsid w:val="00163089"/>
    <w:rsid w:val="00163274"/>
    <w:rsid w:val="001638DF"/>
    <w:rsid w:val="00163F4A"/>
    <w:rsid w:val="00164547"/>
    <w:rsid w:val="0016559D"/>
    <w:rsid w:val="001656CB"/>
    <w:rsid w:val="001659F7"/>
    <w:rsid w:val="00165CD9"/>
    <w:rsid w:val="00165D0D"/>
    <w:rsid w:val="001660E5"/>
    <w:rsid w:val="00166142"/>
    <w:rsid w:val="001664CE"/>
    <w:rsid w:val="00166621"/>
    <w:rsid w:val="001667C3"/>
    <w:rsid w:val="001668CD"/>
    <w:rsid w:val="00166CB0"/>
    <w:rsid w:val="00167015"/>
    <w:rsid w:val="00167798"/>
    <w:rsid w:val="00169F88"/>
    <w:rsid w:val="001701BA"/>
    <w:rsid w:val="001709D6"/>
    <w:rsid w:val="00170F0C"/>
    <w:rsid w:val="001714CD"/>
    <w:rsid w:val="00171549"/>
    <w:rsid w:val="001718F7"/>
    <w:rsid w:val="0017190C"/>
    <w:rsid w:val="00171C48"/>
    <w:rsid w:val="00171D45"/>
    <w:rsid w:val="00171D5B"/>
    <w:rsid w:val="00171F36"/>
    <w:rsid w:val="00171FBE"/>
    <w:rsid w:val="00172C4B"/>
    <w:rsid w:val="00173055"/>
    <w:rsid w:val="001734AF"/>
    <w:rsid w:val="001734E9"/>
    <w:rsid w:val="00173D1A"/>
    <w:rsid w:val="00173EB5"/>
    <w:rsid w:val="001740FA"/>
    <w:rsid w:val="001744E4"/>
    <w:rsid w:val="00174553"/>
    <w:rsid w:val="00175297"/>
    <w:rsid w:val="0017540B"/>
    <w:rsid w:val="00175450"/>
    <w:rsid w:val="0017568B"/>
    <w:rsid w:val="001756CF"/>
    <w:rsid w:val="00175C71"/>
    <w:rsid w:val="00175F7A"/>
    <w:rsid w:val="0017615D"/>
    <w:rsid w:val="001762B3"/>
    <w:rsid w:val="00176327"/>
    <w:rsid w:val="001766DC"/>
    <w:rsid w:val="001767C5"/>
    <w:rsid w:val="00176AB9"/>
    <w:rsid w:val="00176CCE"/>
    <w:rsid w:val="00176E49"/>
    <w:rsid w:val="0017751A"/>
    <w:rsid w:val="00177727"/>
    <w:rsid w:val="00177B97"/>
    <w:rsid w:val="001808B0"/>
    <w:rsid w:val="00180E7A"/>
    <w:rsid w:val="00181254"/>
    <w:rsid w:val="0018129B"/>
    <w:rsid w:val="001816D8"/>
    <w:rsid w:val="00181901"/>
    <w:rsid w:val="00181C0D"/>
    <w:rsid w:val="00182224"/>
    <w:rsid w:val="001824F4"/>
    <w:rsid w:val="00182630"/>
    <w:rsid w:val="001826B1"/>
    <w:rsid w:val="00182719"/>
    <w:rsid w:val="00182B1E"/>
    <w:rsid w:val="00182CD7"/>
    <w:rsid w:val="0018307E"/>
    <w:rsid w:val="00183710"/>
    <w:rsid w:val="00183D3F"/>
    <w:rsid w:val="0018493F"/>
    <w:rsid w:val="00184C8A"/>
    <w:rsid w:val="00185347"/>
    <w:rsid w:val="001855DD"/>
    <w:rsid w:val="00185971"/>
    <w:rsid w:val="0018657B"/>
    <w:rsid w:val="0018677C"/>
    <w:rsid w:val="001869A3"/>
    <w:rsid w:val="00186A59"/>
    <w:rsid w:val="00186B29"/>
    <w:rsid w:val="00186C6C"/>
    <w:rsid w:val="00186D87"/>
    <w:rsid w:val="00186E58"/>
    <w:rsid w:val="001875E8"/>
    <w:rsid w:val="00187DD4"/>
    <w:rsid w:val="00187DDF"/>
    <w:rsid w:val="001906A9"/>
    <w:rsid w:val="00190B8E"/>
    <w:rsid w:val="00190F1D"/>
    <w:rsid w:val="001919CF"/>
    <w:rsid w:val="00191A78"/>
    <w:rsid w:val="001920AB"/>
    <w:rsid w:val="00192991"/>
    <w:rsid w:val="00192B18"/>
    <w:rsid w:val="00193258"/>
    <w:rsid w:val="001932BA"/>
    <w:rsid w:val="001933FC"/>
    <w:rsid w:val="0019345A"/>
    <w:rsid w:val="001934FF"/>
    <w:rsid w:val="00193DD9"/>
    <w:rsid w:val="00193ED8"/>
    <w:rsid w:val="001943CC"/>
    <w:rsid w:val="0019493A"/>
    <w:rsid w:val="00194A79"/>
    <w:rsid w:val="00194C2E"/>
    <w:rsid w:val="00194D73"/>
    <w:rsid w:val="00195398"/>
    <w:rsid w:val="0019542F"/>
    <w:rsid w:val="00195B3F"/>
    <w:rsid w:val="00195FC4"/>
    <w:rsid w:val="001965C5"/>
    <w:rsid w:val="001968F0"/>
    <w:rsid w:val="001969C7"/>
    <w:rsid w:val="001979FF"/>
    <w:rsid w:val="00197A23"/>
    <w:rsid w:val="00197B5B"/>
    <w:rsid w:val="00197C7B"/>
    <w:rsid w:val="001A075D"/>
    <w:rsid w:val="001A0B36"/>
    <w:rsid w:val="001A19F2"/>
    <w:rsid w:val="001A1CCE"/>
    <w:rsid w:val="001A1D47"/>
    <w:rsid w:val="001A21FA"/>
    <w:rsid w:val="001A245F"/>
    <w:rsid w:val="001A254F"/>
    <w:rsid w:val="001A2970"/>
    <w:rsid w:val="001A2BA7"/>
    <w:rsid w:val="001A2DB0"/>
    <w:rsid w:val="001A32CA"/>
    <w:rsid w:val="001A35B5"/>
    <w:rsid w:val="001A3D4F"/>
    <w:rsid w:val="001A3D5C"/>
    <w:rsid w:val="001A3EBB"/>
    <w:rsid w:val="001A41C6"/>
    <w:rsid w:val="001A5273"/>
    <w:rsid w:val="001A563C"/>
    <w:rsid w:val="001A563D"/>
    <w:rsid w:val="001A5DAE"/>
    <w:rsid w:val="001A62C0"/>
    <w:rsid w:val="001A65EE"/>
    <w:rsid w:val="001A67B9"/>
    <w:rsid w:val="001A681E"/>
    <w:rsid w:val="001A721D"/>
    <w:rsid w:val="001A7244"/>
    <w:rsid w:val="001A7E4E"/>
    <w:rsid w:val="001A7F8F"/>
    <w:rsid w:val="001A7F98"/>
    <w:rsid w:val="001B01A2"/>
    <w:rsid w:val="001B026B"/>
    <w:rsid w:val="001B0651"/>
    <w:rsid w:val="001B0980"/>
    <w:rsid w:val="001B16E5"/>
    <w:rsid w:val="001B1817"/>
    <w:rsid w:val="001B203F"/>
    <w:rsid w:val="001B2315"/>
    <w:rsid w:val="001B26CA"/>
    <w:rsid w:val="001B292C"/>
    <w:rsid w:val="001B2A0B"/>
    <w:rsid w:val="001B2E5C"/>
    <w:rsid w:val="001B2E62"/>
    <w:rsid w:val="001B330D"/>
    <w:rsid w:val="001B363E"/>
    <w:rsid w:val="001B494B"/>
    <w:rsid w:val="001B4DA2"/>
    <w:rsid w:val="001B5215"/>
    <w:rsid w:val="001B54B9"/>
    <w:rsid w:val="001B5696"/>
    <w:rsid w:val="001B5F48"/>
    <w:rsid w:val="001B6C97"/>
    <w:rsid w:val="001B7D98"/>
    <w:rsid w:val="001C0967"/>
    <w:rsid w:val="001C0B1C"/>
    <w:rsid w:val="001C1349"/>
    <w:rsid w:val="001C134C"/>
    <w:rsid w:val="001C14CA"/>
    <w:rsid w:val="001C1B3F"/>
    <w:rsid w:val="001C26F5"/>
    <w:rsid w:val="001C27D3"/>
    <w:rsid w:val="001C2A4F"/>
    <w:rsid w:val="001C3F56"/>
    <w:rsid w:val="001C47B3"/>
    <w:rsid w:val="001C482D"/>
    <w:rsid w:val="001C48F2"/>
    <w:rsid w:val="001C4A00"/>
    <w:rsid w:val="001C50F0"/>
    <w:rsid w:val="001C5269"/>
    <w:rsid w:val="001C6267"/>
    <w:rsid w:val="001C6691"/>
    <w:rsid w:val="001C672D"/>
    <w:rsid w:val="001C6A3C"/>
    <w:rsid w:val="001C6EBF"/>
    <w:rsid w:val="001C6EFB"/>
    <w:rsid w:val="001C719C"/>
    <w:rsid w:val="001C765F"/>
    <w:rsid w:val="001C77BD"/>
    <w:rsid w:val="001C77FD"/>
    <w:rsid w:val="001C7C6F"/>
    <w:rsid w:val="001D0368"/>
    <w:rsid w:val="001D050B"/>
    <w:rsid w:val="001D098F"/>
    <w:rsid w:val="001D159C"/>
    <w:rsid w:val="001D160A"/>
    <w:rsid w:val="001D1694"/>
    <w:rsid w:val="001D19F8"/>
    <w:rsid w:val="001D2032"/>
    <w:rsid w:val="001D2402"/>
    <w:rsid w:val="001D2497"/>
    <w:rsid w:val="001D24A8"/>
    <w:rsid w:val="001D2FF3"/>
    <w:rsid w:val="001D33B7"/>
    <w:rsid w:val="001D4113"/>
    <w:rsid w:val="001D448E"/>
    <w:rsid w:val="001D451E"/>
    <w:rsid w:val="001D4B16"/>
    <w:rsid w:val="001D5608"/>
    <w:rsid w:val="001D5A0A"/>
    <w:rsid w:val="001D5B77"/>
    <w:rsid w:val="001D6192"/>
    <w:rsid w:val="001D6A5E"/>
    <w:rsid w:val="001D72B2"/>
    <w:rsid w:val="001D7635"/>
    <w:rsid w:val="001D7714"/>
    <w:rsid w:val="001D79EB"/>
    <w:rsid w:val="001E006C"/>
    <w:rsid w:val="001E01AD"/>
    <w:rsid w:val="001E01D1"/>
    <w:rsid w:val="001E0435"/>
    <w:rsid w:val="001E073B"/>
    <w:rsid w:val="001E07B5"/>
    <w:rsid w:val="001E09E9"/>
    <w:rsid w:val="001E0ADE"/>
    <w:rsid w:val="001E144A"/>
    <w:rsid w:val="001E1B7F"/>
    <w:rsid w:val="001E1CA3"/>
    <w:rsid w:val="001E1DF9"/>
    <w:rsid w:val="001E225C"/>
    <w:rsid w:val="001E2283"/>
    <w:rsid w:val="001E2BF8"/>
    <w:rsid w:val="001E2E47"/>
    <w:rsid w:val="001E2F25"/>
    <w:rsid w:val="001E3046"/>
    <w:rsid w:val="001E3B3A"/>
    <w:rsid w:val="001E41F7"/>
    <w:rsid w:val="001E472F"/>
    <w:rsid w:val="001E4931"/>
    <w:rsid w:val="001E5210"/>
    <w:rsid w:val="001E6350"/>
    <w:rsid w:val="001E676A"/>
    <w:rsid w:val="001E7001"/>
    <w:rsid w:val="001E73AC"/>
    <w:rsid w:val="001E7C99"/>
    <w:rsid w:val="001F07A3"/>
    <w:rsid w:val="001F0FE3"/>
    <w:rsid w:val="001F1404"/>
    <w:rsid w:val="001F1849"/>
    <w:rsid w:val="001F21C6"/>
    <w:rsid w:val="001F274A"/>
    <w:rsid w:val="001F28ED"/>
    <w:rsid w:val="001F2E05"/>
    <w:rsid w:val="001F33CE"/>
    <w:rsid w:val="001F4E30"/>
    <w:rsid w:val="001F5A6D"/>
    <w:rsid w:val="001F5B55"/>
    <w:rsid w:val="001F5E91"/>
    <w:rsid w:val="001F6054"/>
    <w:rsid w:val="001F6709"/>
    <w:rsid w:val="001F6BA3"/>
    <w:rsid w:val="001F6BA4"/>
    <w:rsid w:val="001F6DC3"/>
    <w:rsid w:val="001F7699"/>
    <w:rsid w:val="001F7904"/>
    <w:rsid w:val="001F7F9A"/>
    <w:rsid w:val="00200490"/>
    <w:rsid w:val="00200653"/>
    <w:rsid w:val="002007AF"/>
    <w:rsid w:val="002008C2"/>
    <w:rsid w:val="00200D7E"/>
    <w:rsid w:val="00201415"/>
    <w:rsid w:val="00201868"/>
    <w:rsid w:val="002018FC"/>
    <w:rsid w:val="00201DCC"/>
    <w:rsid w:val="0020277F"/>
    <w:rsid w:val="002028B6"/>
    <w:rsid w:val="00202C4B"/>
    <w:rsid w:val="00203077"/>
    <w:rsid w:val="0020313D"/>
    <w:rsid w:val="0020334E"/>
    <w:rsid w:val="00203493"/>
    <w:rsid w:val="00203D4C"/>
    <w:rsid w:val="00204242"/>
    <w:rsid w:val="00204539"/>
    <w:rsid w:val="00204743"/>
    <w:rsid w:val="00204AE6"/>
    <w:rsid w:val="00204B7F"/>
    <w:rsid w:val="00205389"/>
    <w:rsid w:val="00205C7A"/>
    <w:rsid w:val="00205CD4"/>
    <w:rsid w:val="0020625F"/>
    <w:rsid w:val="002067E5"/>
    <w:rsid w:val="00206B87"/>
    <w:rsid w:val="002070E8"/>
    <w:rsid w:val="00207274"/>
    <w:rsid w:val="0020788D"/>
    <w:rsid w:val="002100E1"/>
    <w:rsid w:val="0021078C"/>
    <w:rsid w:val="00211735"/>
    <w:rsid w:val="002118BC"/>
    <w:rsid w:val="002129CC"/>
    <w:rsid w:val="002129F8"/>
    <w:rsid w:val="00212F0F"/>
    <w:rsid w:val="0021316F"/>
    <w:rsid w:val="002133F9"/>
    <w:rsid w:val="0021359D"/>
    <w:rsid w:val="002139B6"/>
    <w:rsid w:val="00213ABB"/>
    <w:rsid w:val="00213DB4"/>
    <w:rsid w:val="00214306"/>
    <w:rsid w:val="002153FA"/>
    <w:rsid w:val="002155A5"/>
    <w:rsid w:val="00216014"/>
    <w:rsid w:val="0021609F"/>
    <w:rsid w:val="00216175"/>
    <w:rsid w:val="002161AD"/>
    <w:rsid w:val="00216A43"/>
    <w:rsid w:val="002173C4"/>
    <w:rsid w:val="0021779A"/>
    <w:rsid w:val="0022070F"/>
    <w:rsid w:val="002207F9"/>
    <w:rsid w:val="0022084B"/>
    <w:rsid w:val="00221F5F"/>
    <w:rsid w:val="0022267E"/>
    <w:rsid w:val="00222ECF"/>
    <w:rsid w:val="00222F96"/>
    <w:rsid w:val="00223195"/>
    <w:rsid w:val="00223423"/>
    <w:rsid w:val="002235D3"/>
    <w:rsid w:val="00223E84"/>
    <w:rsid w:val="00223E9F"/>
    <w:rsid w:val="00224018"/>
    <w:rsid w:val="0022405C"/>
    <w:rsid w:val="002243DE"/>
    <w:rsid w:val="00225054"/>
    <w:rsid w:val="002254D1"/>
    <w:rsid w:val="00225B51"/>
    <w:rsid w:val="00225DC9"/>
    <w:rsid w:val="00225E77"/>
    <w:rsid w:val="00225EF0"/>
    <w:rsid w:val="0022601E"/>
    <w:rsid w:val="002260E9"/>
    <w:rsid w:val="002264F1"/>
    <w:rsid w:val="00226B34"/>
    <w:rsid w:val="002271EB"/>
    <w:rsid w:val="002274BE"/>
    <w:rsid w:val="00227834"/>
    <w:rsid w:val="00227F0B"/>
    <w:rsid w:val="002300BE"/>
    <w:rsid w:val="00230381"/>
    <w:rsid w:val="00230680"/>
    <w:rsid w:val="00230AE3"/>
    <w:rsid w:val="002322C7"/>
    <w:rsid w:val="0023297A"/>
    <w:rsid w:val="00232B30"/>
    <w:rsid w:val="00232EDB"/>
    <w:rsid w:val="00233274"/>
    <w:rsid w:val="002333B5"/>
    <w:rsid w:val="00233EA2"/>
    <w:rsid w:val="00234471"/>
    <w:rsid w:val="002345F2"/>
    <w:rsid w:val="00234D4C"/>
    <w:rsid w:val="00234D7D"/>
    <w:rsid w:val="00234DE6"/>
    <w:rsid w:val="00234E50"/>
    <w:rsid w:val="0023517D"/>
    <w:rsid w:val="00235206"/>
    <w:rsid w:val="00235406"/>
    <w:rsid w:val="00235983"/>
    <w:rsid w:val="00235C79"/>
    <w:rsid w:val="002362F6"/>
    <w:rsid w:val="002363E9"/>
    <w:rsid w:val="00236482"/>
    <w:rsid w:val="00236C9F"/>
    <w:rsid w:val="00236CE5"/>
    <w:rsid w:val="002370A4"/>
    <w:rsid w:val="002371AF"/>
    <w:rsid w:val="00237587"/>
    <w:rsid w:val="002376F6"/>
    <w:rsid w:val="0023786F"/>
    <w:rsid w:val="00237898"/>
    <w:rsid w:val="00237F01"/>
    <w:rsid w:val="00237F1C"/>
    <w:rsid w:val="0024053A"/>
    <w:rsid w:val="00241327"/>
    <w:rsid w:val="002414A5"/>
    <w:rsid w:val="00241864"/>
    <w:rsid w:val="00241A87"/>
    <w:rsid w:val="00241FB6"/>
    <w:rsid w:val="00242E88"/>
    <w:rsid w:val="002430E4"/>
    <w:rsid w:val="0024347F"/>
    <w:rsid w:val="002436F2"/>
    <w:rsid w:val="00243797"/>
    <w:rsid w:val="00243901"/>
    <w:rsid w:val="00243C0C"/>
    <w:rsid w:val="00243EAF"/>
    <w:rsid w:val="002449F8"/>
    <w:rsid w:val="00244FB2"/>
    <w:rsid w:val="002451A2"/>
    <w:rsid w:val="0024577A"/>
    <w:rsid w:val="00246189"/>
    <w:rsid w:val="00246892"/>
    <w:rsid w:val="00246E01"/>
    <w:rsid w:val="00246F87"/>
    <w:rsid w:val="00246FC7"/>
    <w:rsid w:val="002472BD"/>
    <w:rsid w:val="00247704"/>
    <w:rsid w:val="002502F5"/>
    <w:rsid w:val="002505ED"/>
    <w:rsid w:val="00250648"/>
    <w:rsid w:val="0025100B"/>
    <w:rsid w:val="00251EA7"/>
    <w:rsid w:val="00252CC2"/>
    <w:rsid w:val="00253287"/>
    <w:rsid w:val="00253347"/>
    <w:rsid w:val="00253C41"/>
    <w:rsid w:val="00253F0C"/>
    <w:rsid w:val="0025405C"/>
    <w:rsid w:val="0025455C"/>
    <w:rsid w:val="00254616"/>
    <w:rsid w:val="00254662"/>
    <w:rsid w:val="0025470D"/>
    <w:rsid w:val="002547AF"/>
    <w:rsid w:val="00254C27"/>
    <w:rsid w:val="00254CCA"/>
    <w:rsid w:val="00254EC2"/>
    <w:rsid w:val="00255638"/>
    <w:rsid w:val="00255719"/>
    <w:rsid w:val="00255AD2"/>
    <w:rsid w:val="00255BF2"/>
    <w:rsid w:val="00255EF6"/>
    <w:rsid w:val="00256814"/>
    <w:rsid w:val="002575D5"/>
    <w:rsid w:val="00257607"/>
    <w:rsid w:val="00257E65"/>
    <w:rsid w:val="00257F02"/>
    <w:rsid w:val="00257FAE"/>
    <w:rsid w:val="002601C2"/>
    <w:rsid w:val="00260893"/>
    <w:rsid w:val="002611BC"/>
    <w:rsid w:val="002615F6"/>
    <w:rsid w:val="00262018"/>
    <w:rsid w:val="002626B3"/>
    <w:rsid w:val="00262CC8"/>
    <w:rsid w:val="00262E91"/>
    <w:rsid w:val="0026322C"/>
    <w:rsid w:val="00263B0A"/>
    <w:rsid w:val="00264FA9"/>
    <w:rsid w:val="002653C1"/>
    <w:rsid w:val="00265541"/>
    <w:rsid w:val="00265F2D"/>
    <w:rsid w:val="00266161"/>
    <w:rsid w:val="00266C92"/>
    <w:rsid w:val="00266E1D"/>
    <w:rsid w:val="0026705D"/>
    <w:rsid w:val="002673D2"/>
    <w:rsid w:val="0026787C"/>
    <w:rsid w:val="0027010D"/>
    <w:rsid w:val="0027088F"/>
    <w:rsid w:val="00270CB9"/>
    <w:rsid w:val="00270E43"/>
    <w:rsid w:val="00271BE3"/>
    <w:rsid w:val="002723C2"/>
    <w:rsid w:val="0027297A"/>
    <w:rsid w:val="00272B31"/>
    <w:rsid w:val="00273049"/>
    <w:rsid w:val="002730B7"/>
    <w:rsid w:val="002731FC"/>
    <w:rsid w:val="002732AE"/>
    <w:rsid w:val="0027334C"/>
    <w:rsid w:val="002733AC"/>
    <w:rsid w:val="00273525"/>
    <w:rsid w:val="00273625"/>
    <w:rsid w:val="0027363B"/>
    <w:rsid w:val="0027377B"/>
    <w:rsid w:val="00273942"/>
    <w:rsid w:val="00273978"/>
    <w:rsid w:val="002747D6"/>
    <w:rsid w:val="0027496D"/>
    <w:rsid w:val="00274AFB"/>
    <w:rsid w:val="00274EC2"/>
    <w:rsid w:val="0027513D"/>
    <w:rsid w:val="0027559F"/>
    <w:rsid w:val="00275656"/>
    <w:rsid w:val="002758D1"/>
    <w:rsid w:val="00275CC0"/>
    <w:rsid w:val="00276016"/>
    <w:rsid w:val="0027628E"/>
    <w:rsid w:val="002764FA"/>
    <w:rsid w:val="002766B3"/>
    <w:rsid w:val="0027671A"/>
    <w:rsid w:val="00276AF3"/>
    <w:rsid w:val="00276DE6"/>
    <w:rsid w:val="00277840"/>
    <w:rsid w:val="00277AA5"/>
    <w:rsid w:val="00277BD6"/>
    <w:rsid w:val="00277DD6"/>
    <w:rsid w:val="00277E4A"/>
    <w:rsid w:val="00277F73"/>
    <w:rsid w:val="00280565"/>
    <w:rsid w:val="002806A6"/>
    <w:rsid w:val="00280BE6"/>
    <w:rsid w:val="00281571"/>
    <w:rsid w:val="002816B8"/>
    <w:rsid w:val="00281B92"/>
    <w:rsid w:val="00281CF0"/>
    <w:rsid w:val="002830D5"/>
    <w:rsid w:val="00283290"/>
    <w:rsid w:val="0028347A"/>
    <w:rsid w:val="002845FE"/>
    <w:rsid w:val="002849F7"/>
    <w:rsid w:val="00284E55"/>
    <w:rsid w:val="00284F83"/>
    <w:rsid w:val="00285A14"/>
    <w:rsid w:val="00285CE7"/>
    <w:rsid w:val="00286C0B"/>
    <w:rsid w:val="0028729F"/>
    <w:rsid w:val="00287938"/>
    <w:rsid w:val="00287A1D"/>
    <w:rsid w:val="00287F04"/>
    <w:rsid w:val="00287FE1"/>
    <w:rsid w:val="0029020E"/>
    <w:rsid w:val="00290943"/>
    <w:rsid w:val="00290C4B"/>
    <w:rsid w:val="00291ACC"/>
    <w:rsid w:val="00291C97"/>
    <w:rsid w:val="002925AA"/>
    <w:rsid w:val="00292828"/>
    <w:rsid w:val="0029286B"/>
    <w:rsid w:val="002928EC"/>
    <w:rsid w:val="002928F9"/>
    <w:rsid w:val="00292DBF"/>
    <w:rsid w:val="002934F1"/>
    <w:rsid w:val="002938D8"/>
    <w:rsid w:val="00293EBF"/>
    <w:rsid w:val="00294326"/>
    <w:rsid w:val="00294D27"/>
    <w:rsid w:val="002956ED"/>
    <w:rsid w:val="00295A9C"/>
    <w:rsid w:val="00295CDB"/>
    <w:rsid w:val="00296058"/>
    <w:rsid w:val="00296865"/>
    <w:rsid w:val="00296A11"/>
    <w:rsid w:val="00296BCB"/>
    <w:rsid w:val="00296C51"/>
    <w:rsid w:val="0029726D"/>
    <w:rsid w:val="00297945"/>
    <w:rsid w:val="002A03D5"/>
    <w:rsid w:val="002A0556"/>
    <w:rsid w:val="002A0D3F"/>
    <w:rsid w:val="002A1320"/>
    <w:rsid w:val="002A133B"/>
    <w:rsid w:val="002A1487"/>
    <w:rsid w:val="002A1F8C"/>
    <w:rsid w:val="002A2468"/>
    <w:rsid w:val="002A286D"/>
    <w:rsid w:val="002A2EE2"/>
    <w:rsid w:val="002A338A"/>
    <w:rsid w:val="002A37A2"/>
    <w:rsid w:val="002A387F"/>
    <w:rsid w:val="002A389A"/>
    <w:rsid w:val="002A3BF4"/>
    <w:rsid w:val="002A518B"/>
    <w:rsid w:val="002A5770"/>
    <w:rsid w:val="002A57B6"/>
    <w:rsid w:val="002A5A50"/>
    <w:rsid w:val="002A5A63"/>
    <w:rsid w:val="002A5AF7"/>
    <w:rsid w:val="002A6421"/>
    <w:rsid w:val="002A6C03"/>
    <w:rsid w:val="002A70C0"/>
    <w:rsid w:val="002A752A"/>
    <w:rsid w:val="002A7CD2"/>
    <w:rsid w:val="002B0E8A"/>
    <w:rsid w:val="002B0EEE"/>
    <w:rsid w:val="002B1150"/>
    <w:rsid w:val="002B18CE"/>
    <w:rsid w:val="002B1919"/>
    <w:rsid w:val="002B1D48"/>
    <w:rsid w:val="002B1FA3"/>
    <w:rsid w:val="002B2D4D"/>
    <w:rsid w:val="002B2F82"/>
    <w:rsid w:val="002B3001"/>
    <w:rsid w:val="002B38F6"/>
    <w:rsid w:val="002B404D"/>
    <w:rsid w:val="002B411D"/>
    <w:rsid w:val="002B460F"/>
    <w:rsid w:val="002B4714"/>
    <w:rsid w:val="002B482D"/>
    <w:rsid w:val="002B4D44"/>
    <w:rsid w:val="002B4DD4"/>
    <w:rsid w:val="002B4DDE"/>
    <w:rsid w:val="002B51B6"/>
    <w:rsid w:val="002B5E2B"/>
    <w:rsid w:val="002B63F5"/>
    <w:rsid w:val="002B6757"/>
    <w:rsid w:val="002B6FF7"/>
    <w:rsid w:val="002B7088"/>
    <w:rsid w:val="002B7103"/>
    <w:rsid w:val="002B77D5"/>
    <w:rsid w:val="002B7917"/>
    <w:rsid w:val="002C0023"/>
    <w:rsid w:val="002C0ABD"/>
    <w:rsid w:val="002C0B2E"/>
    <w:rsid w:val="002C206C"/>
    <w:rsid w:val="002C24DF"/>
    <w:rsid w:val="002C2D8F"/>
    <w:rsid w:val="002C31AA"/>
    <w:rsid w:val="002C43FE"/>
    <w:rsid w:val="002C45CB"/>
    <w:rsid w:val="002C5180"/>
    <w:rsid w:val="002C5196"/>
    <w:rsid w:val="002C52AE"/>
    <w:rsid w:val="002C5B80"/>
    <w:rsid w:val="002C5E3A"/>
    <w:rsid w:val="002C5EA3"/>
    <w:rsid w:val="002C6588"/>
    <w:rsid w:val="002C6C41"/>
    <w:rsid w:val="002C6DE0"/>
    <w:rsid w:val="002C6F20"/>
    <w:rsid w:val="002C7506"/>
    <w:rsid w:val="002C7909"/>
    <w:rsid w:val="002C7DDA"/>
    <w:rsid w:val="002D03F5"/>
    <w:rsid w:val="002D0927"/>
    <w:rsid w:val="002D252C"/>
    <w:rsid w:val="002D25E3"/>
    <w:rsid w:val="002D3295"/>
    <w:rsid w:val="002D3333"/>
    <w:rsid w:val="002D400C"/>
    <w:rsid w:val="002D43A8"/>
    <w:rsid w:val="002D4405"/>
    <w:rsid w:val="002D5107"/>
    <w:rsid w:val="002D51E7"/>
    <w:rsid w:val="002D53B6"/>
    <w:rsid w:val="002D5940"/>
    <w:rsid w:val="002D5F7C"/>
    <w:rsid w:val="002D6017"/>
    <w:rsid w:val="002D621A"/>
    <w:rsid w:val="002D632C"/>
    <w:rsid w:val="002D64FD"/>
    <w:rsid w:val="002D6696"/>
    <w:rsid w:val="002D6AC5"/>
    <w:rsid w:val="002D6C47"/>
    <w:rsid w:val="002D6D2D"/>
    <w:rsid w:val="002D6D3F"/>
    <w:rsid w:val="002D6F1A"/>
    <w:rsid w:val="002D7256"/>
    <w:rsid w:val="002D7B62"/>
    <w:rsid w:val="002E064F"/>
    <w:rsid w:val="002E0ECD"/>
    <w:rsid w:val="002E17C0"/>
    <w:rsid w:val="002E1C2D"/>
    <w:rsid w:val="002E1EB3"/>
    <w:rsid w:val="002E26F5"/>
    <w:rsid w:val="002E29EE"/>
    <w:rsid w:val="002E2C17"/>
    <w:rsid w:val="002E3DC4"/>
    <w:rsid w:val="002E4896"/>
    <w:rsid w:val="002E543D"/>
    <w:rsid w:val="002E552E"/>
    <w:rsid w:val="002E5673"/>
    <w:rsid w:val="002E56BF"/>
    <w:rsid w:val="002E5CCF"/>
    <w:rsid w:val="002E6451"/>
    <w:rsid w:val="002E657C"/>
    <w:rsid w:val="002E6B97"/>
    <w:rsid w:val="002E6CB3"/>
    <w:rsid w:val="002E6D5D"/>
    <w:rsid w:val="002E6FAE"/>
    <w:rsid w:val="002E7ADC"/>
    <w:rsid w:val="002F0536"/>
    <w:rsid w:val="002F067D"/>
    <w:rsid w:val="002F09A7"/>
    <w:rsid w:val="002F0C76"/>
    <w:rsid w:val="002F0D59"/>
    <w:rsid w:val="002F0D7B"/>
    <w:rsid w:val="002F100D"/>
    <w:rsid w:val="002F169E"/>
    <w:rsid w:val="002F1C37"/>
    <w:rsid w:val="002F1CFB"/>
    <w:rsid w:val="002F23A9"/>
    <w:rsid w:val="002F23E7"/>
    <w:rsid w:val="002F2A50"/>
    <w:rsid w:val="002F2BC7"/>
    <w:rsid w:val="002F343D"/>
    <w:rsid w:val="002F38A9"/>
    <w:rsid w:val="002F3A93"/>
    <w:rsid w:val="002F4693"/>
    <w:rsid w:val="002F4C33"/>
    <w:rsid w:val="002F4D98"/>
    <w:rsid w:val="002F4EC0"/>
    <w:rsid w:val="002F4FB4"/>
    <w:rsid w:val="002F548E"/>
    <w:rsid w:val="002F577D"/>
    <w:rsid w:val="002F5CAE"/>
    <w:rsid w:val="002F5EEF"/>
    <w:rsid w:val="002F6194"/>
    <w:rsid w:val="002F6EC3"/>
    <w:rsid w:val="002F6FB3"/>
    <w:rsid w:val="002F73A4"/>
    <w:rsid w:val="002F79BD"/>
    <w:rsid w:val="002F7C43"/>
    <w:rsid w:val="002F7E50"/>
    <w:rsid w:val="003004B1"/>
    <w:rsid w:val="003008EC"/>
    <w:rsid w:val="00300998"/>
    <w:rsid w:val="00300A50"/>
    <w:rsid w:val="00301D77"/>
    <w:rsid w:val="00302422"/>
    <w:rsid w:val="00302746"/>
    <w:rsid w:val="00302CDC"/>
    <w:rsid w:val="0030331B"/>
    <w:rsid w:val="00303357"/>
    <w:rsid w:val="003034D9"/>
    <w:rsid w:val="00303D84"/>
    <w:rsid w:val="0030434A"/>
    <w:rsid w:val="003044B6"/>
    <w:rsid w:val="00304B2F"/>
    <w:rsid w:val="00304D45"/>
    <w:rsid w:val="00304FCD"/>
    <w:rsid w:val="0030532D"/>
    <w:rsid w:val="003054DE"/>
    <w:rsid w:val="00305846"/>
    <w:rsid w:val="00305E3C"/>
    <w:rsid w:val="00305F52"/>
    <w:rsid w:val="00306A76"/>
    <w:rsid w:val="00306D7F"/>
    <w:rsid w:val="003071B4"/>
    <w:rsid w:val="0030728C"/>
    <w:rsid w:val="003072FF"/>
    <w:rsid w:val="00307B63"/>
    <w:rsid w:val="003100B0"/>
    <w:rsid w:val="00310744"/>
    <w:rsid w:val="00310C45"/>
    <w:rsid w:val="00310C63"/>
    <w:rsid w:val="003124AD"/>
    <w:rsid w:val="00312CB7"/>
    <w:rsid w:val="0031331B"/>
    <w:rsid w:val="003135CF"/>
    <w:rsid w:val="003138DE"/>
    <w:rsid w:val="00313AB2"/>
    <w:rsid w:val="00313F91"/>
    <w:rsid w:val="003146AB"/>
    <w:rsid w:val="00314CEB"/>
    <w:rsid w:val="00314D61"/>
    <w:rsid w:val="00315349"/>
    <w:rsid w:val="003155DC"/>
    <w:rsid w:val="003162BA"/>
    <w:rsid w:val="00316317"/>
    <w:rsid w:val="00316BAB"/>
    <w:rsid w:val="00316EE2"/>
    <w:rsid w:val="00316F6A"/>
    <w:rsid w:val="00316F75"/>
    <w:rsid w:val="0031704F"/>
    <w:rsid w:val="0031713F"/>
    <w:rsid w:val="00317B4D"/>
    <w:rsid w:val="00317B94"/>
    <w:rsid w:val="00317C27"/>
    <w:rsid w:val="00317F59"/>
    <w:rsid w:val="0032008F"/>
    <w:rsid w:val="00320169"/>
    <w:rsid w:val="003202C1"/>
    <w:rsid w:val="00321263"/>
    <w:rsid w:val="0032135F"/>
    <w:rsid w:val="0032156F"/>
    <w:rsid w:val="00321709"/>
    <w:rsid w:val="00322065"/>
    <w:rsid w:val="00322183"/>
    <w:rsid w:val="003221E5"/>
    <w:rsid w:val="00322463"/>
    <w:rsid w:val="0032252B"/>
    <w:rsid w:val="00322980"/>
    <w:rsid w:val="00322A8E"/>
    <w:rsid w:val="00322D81"/>
    <w:rsid w:val="0032312E"/>
    <w:rsid w:val="00323262"/>
    <w:rsid w:val="003239CC"/>
    <w:rsid w:val="0032476E"/>
    <w:rsid w:val="00324F76"/>
    <w:rsid w:val="00324FB1"/>
    <w:rsid w:val="00325153"/>
    <w:rsid w:val="0032517E"/>
    <w:rsid w:val="003252E4"/>
    <w:rsid w:val="00325303"/>
    <w:rsid w:val="00325C9B"/>
    <w:rsid w:val="00325D8C"/>
    <w:rsid w:val="0032782B"/>
    <w:rsid w:val="00327BDC"/>
    <w:rsid w:val="00330100"/>
    <w:rsid w:val="00330135"/>
    <w:rsid w:val="00330AB9"/>
    <w:rsid w:val="00331053"/>
    <w:rsid w:val="00331355"/>
    <w:rsid w:val="0033172B"/>
    <w:rsid w:val="00331AE4"/>
    <w:rsid w:val="00331B56"/>
    <w:rsid w:val="00331D9E"/>
    <w:rsid w:val="00331F65"/>
    <w:rsid w:val="00332354"/>
    <w:rsid w:val="00332684"/>
    <w:rsid w:val="003329FD"/>
    <w:rsid w:val="00332E38"/>
    <w:rsid w:val="00333389"/>
    <w:rsid w:val="003337E5"/>
    <w:rsid w:val="003338E7"/>
    <w:rsid w:val="00333DE9"/>
    <w:rsid w:val="00333F50"/>
    <w:rsid w:val="0033439D"/>
    <w:rsid w:val="00334592"/>
    <w:rsid w:val="00334819"/>
    <w:rsid w:val="00334F74"/>
    <w:rsid w:val="0033507A"/>
    <w:rsid w:val="003353D9"/>
    <w:rsid w:val="00335C43"/>
    <w:rsid w:val="0033606D"/>
    <w:rsid w:val="00336280"/>
    <w:rsid w:val="00337327"/>
    <w:rsid w:val="00340198"/>
    <w:rsid w:val="0034099A"/>
    <w:rsid w:val="00340D5D"/>
    <w:rsid w:val="00341505"/>
    <w:rsid w:val="00341827"/>
    <w:rsid w:val="00341BC9"/>
    <w:rsid w:val="00341F32"/>
    <w:rsid w:val="00341F43"/>
    <w:rsid w:val="00341FA7"/>
    <w:rsid w:val="0034325F"/>
    <w:rsid w:val="003432F0"/>
    <w:rsid w:val="003434E5"/>
    <w:rsid w:val="00343D69"/>
    <w:rsid w:val="00344419"/>
    <w:rsid w:val="003445E5"/>
    <w:rsid w:val="00344990"/>
    <w:rsid w:val="00344BA8"/>
    <w:rsid w:val="00344EE6"/>
    <w:rsid w:val="00345361"/>
    <w:rsid w:val="0034557A"/>
    <w:rsid w:val="00345F9D"/>
    <w:rsid w:val="00346C32"/>
    <w:rsid w:val="00346DB6"/>
    <w:rsid w:val="00346EC1"/>
    <w:rsid w:val="003470D9"/>
    <w:rsid w:val="003471E9"/>
    <w:rsid w:val="0034729F"/>
    <w:rsid w:val="003477A9"/>
    <w:rsid w:val="003479E0"/>
    <w:rsid w:val="00347CD4"/>
    <w:rsid w:val="00350225"/>
    <w:rsid w:val="003507EB"/>
    <w:rsid w:val="00350C0C"/>
    <w:rsid w:val="00350C2F"/>
    <w:rsid w:val="00350FDD"/>
    <w:rsid w:val="00351457"/>
    <w:rsid w:val="00351491"/>
    <w:rsid w:val="00351929"/>
    <w:rsid w:val="0035281A"/>
    <w:rsid w:val="0035283E"/>
    <w:rsid w:val="00352846"/>
    <w:rsid w:val="00353077"/>
    <w:rsid w:val="00353C58"/>
    <w:rsid w:val="00353DB1"/>
    <w:rsid w:val="00354016"/>
    <w:rsid w:val="0035478B"/>
    <w:rsid w:val="003551C9"/>
    <w:rsid w:val="003558E1"/>
    <w:rsid w:val="003559BE"/>
    <w:rsid w:val="00355A8D"/>
    <w:rsid w:val="00355B89"/>
    <w:rsid w:val="00355EF4"/>
    <w:rsid w:val="0035642D"/>
    <w:rsid w:val="003566E5"/>
    <w:rsid w:val="0035694E"/>
    <w:rsid w:val="00356AE2"/>
    <w:rsid w:val="00356F9F"/>
    <w:rsid w:val="00357964"/>
    <w:rsid w:val="00357A8E"/>
    <w:rsid w:val="00361607"/>
    <w:rsid w:val="00361C54"/>
    <w:rsid w:val="00361D02"/>
    <w:rsid w:val="00362896"/>
    <w:rsid w:val="00362CA9"/>
    <w:rsid w:val="00363764"/>
    <w:rsid w:val="003639B8"/>
    <w:rsid w:val="00363A25"/>
    <w:rsid w:val="00363EDD"/>
    <w:rsid w:val="00363FC3"/>
    <w:rsid w:val="0036571F"/>
    <w:rsid w:val="003658C9"/>
    <w:rsid w:val="00365E9C"/>
    <w:rsid w:val="00365FDD"/>
    <w:rsid w:val="003662F2"/>
    <w:rsid w:val="00366BFA"/>
    <w:rsid w:val="00367340"/>
    <w:rsid w:val="003676CD"/>
    <w:rsid w:val="003709EF"/>
    <w:rsid w:val="00370A52"/>
    <w:rsid w:val="00370C4B"/>
    <w:rsid w:val="00370D62"/>
    <w:rsid w:val="00371B80"/>
    <w:rsid w:val="00371C6F"/>
    <w:rsid w:val="0037268A"/>
    <w:rsid w:val="00372719"/>
    <w:rsid w:val="003729C9"/>
    <w:rsid w:val="00372B20"/>
    <w:rsid w:val="00373D04"/>
    <w:rsid w:val="003742E8"/>
    <w:rsid w:val="00374D85"/>
    <w:rsid w:val="00375134"/>
    <w:rsid w:val="003760E0"/>
    <w:rsid w:val="003767A3"/>
    <w:rsid w:val="003773FB"/>
    <w:rsid w:val="003774FE"/>
    <w:rsid w:val="00377A5A"/>
    <w:rsid w:val="00377FCC"/>
    <w:rsid w:val="0038019F"/>
    <w:rsid w:val="00380C5B"/>
    <w:rsid w:val="003812D9"/>
    <w:rsid w:val="00381C7D"/>
    <w:rsid w:val="003821E9"/>
    <w:rsid w:val="00382A45"/>
    <w:rsid w:val="00383085"/>
    <w:rsid w:val="003834E8"/>
    <w:rsid w:val="003837FD"/>
    <w:rsid w:val="00383DCF"/>
    <w:rsid w:val="00383F51"/>
    <w:rsid w:val="003842C8"/>
    <w:rsid w:val="003843BC"/>
    <w:rsid w:val="0038460F"/>
    <w:rsid w:val="00384824"/>
    <w:rsid w:val="00385238"/>
    <w:rsid w:val="003856E1"/>
    <w:rsid w:val="0038573F"/>
    <w:rsid w:val="003866E5"/>
    <w:rsid w:val="00386D81"/>
    <w:rsid w:val="00387166"/>
    <w:rsid w:val="003872CA"/>
    <w:rsid w:val="00387DA4"/>
    <w:rsid w:val="003900C7"/>
    <w:rsid w:val="0039054E"/>
    <w:rsid w:val="00390A25"/>
    <w:rsid w:val="00390F34"/>
    <w:rsid w:val="003916C6"/>
    <w:rsid w:val="003927D4"/>
    <w:rsid w:val="00392B2A"/>
    <w:rsid w:val="00392CA8"/>
    <w:rsid w:val="0039315C"/>
    <w:rsid w:val="0039401E"/>
    <w:rsid w:val="00394CA2"/>
    <w:rsid w:val="00395528"/>
    <w:rsid w:val="00395538"/>
    <w:rsid w:val="00395C5D"/>
    <w:rsid w:val="0039633D"/>
    <w:rsid w:val="003964B1"/>
    <w:rsid w:val="0039661C"/>
    <w:rsid w:val="00396B4B"/>
    <w:rsid w:val="00397E5F"/>
    <w:rsid w:val="003A084C"/>
    <w:rsid w:val="003A10C6"/>
    <w:rsid w:val="003A11A6"/>
    <w:rsid w:val="003A1828"/>
    <w:rsid w:val="003A18B4"/>
    <w:rsid w:val="003A1E8D"/>
    <w:rsid w:val="003A2097"/>
    <w:rsid w:val="003A2180"/>
    <w:rsid w:val="003A242F"/>
    <w:rsid w:val="003A3280"/>
    <w:rsid w:val="003A36C2"/>
    <w:rsid w:val="003A3B2F"/>
    <w:rsid w:val="003A3C2A"/>
    <w:rsid w:val="003A4865"/>
    <w:rsid w:val="003A4AAE"/>
    <w:rsid w:val="003A4BE9"/>
    <w:rsid w:val="003A5805"/>
    <w:rsid w:val="003A59FC"/>
    <w:rsid w:val="003A5D78"/>
    <w:rsid w:val="003A5F99"/>
    <w:rsid w:val="003A6144"/>
    <w:rsid w:val="003A68BA"/>
    <w:rsid w:val="003A6AF2"/>
    <w:rsid w:val="003A6B47"/>
    <w:rsid w:val="003A7488"/>
    <w:rsid w:val="003B0A9B"/>
    <w:rsid w:val="003B122F"/>
    <w:rsid w:val="003B1A1A"/>
    <w:rsid w:val="003B1D8C"/>
    <w:rsid w:val="003B29E6"/>
    <w:rsid w:val="003B32E5"/>
    <w:rsid w:val="003B34D4"/>
    <w:rsid w:val="003B36E6"/>
    <w:rsid w:val="003B36E7"/>
    <w:rsid w:val="003B3771"/>
    <w:rsid w:val="003B38C5"/>
    <w:rsid w:val="003B3B11"/>
    <w:rsid w:val="003B3C6A"/>
    <w:rsid w:val="003B4136"/>
    <w:rsid w:val="003B44CA"/>
    <w:rsid w:val="003B4CB6"/>
    <w:rsid w:val="003B544D"/>
    <w:rsid w:val="003B5784"/>
    <w:rsid w:val="003B591C"/>
    <w:rsid w:val="003B5ACC"/>
    <w:rsid w:val="003B5F8D"/>
    <w:rsid w:val="003B631A"/>
    <w:rsid w:val="003B63EF"/>
    <w:rsid w:val="003B6E9C"/>
    <w:rsid w:val="003B7473"/>
    <w:rsid w:val="003B751E"/>
    <w:rsid w:val="003C0058"/>
    <w:rsid w:val="003C03DD"/>
    <w:rsid w:val="003C0489"/>
    <w:rsid w:val="003C0A81"/>
    <w:rsid w:val="003C13D8"/>
    <w:rsid w:val="003C17DC"/>
    <w:rsid w:val="003C1C2A"/>
    <w:rsid w:val="003C240C"/>
    <w:rsid w:val="003C24B2"/>
    <w:rsid w:val="003C288F"/>
    <w:rsid w:val="003C297E"/>
    <w:rsid w:val="003C2AC4"/>
    <w:rsid w:val="003C3164"/>
    <w:rsid w:val="003C339F"/>
    <w:rsid w:val="003C3404"/>
    <w:rsid w:val="003C3856"/>
    <w:rsid w:val="003C38E4"/>
    <w:rsid w:val="003C4148"/>
    <w:rsid w:val="003C4581"/>
    <w:rsid w:val="003C4A34"/>
    <w:rsid w:val="003C4A80"/>
    <w:rsid w:val="003C56D7"/>
    <w:rsid w:val="003C5743"/>
    <w:rsid w:val="003C64B8"/>
    <w:rsid w:val="003C6F22"/>
    <w:rsid w:val="003C7663"/>
    <w:rsid w:val="003D0045"/>
    <w:rsid w:val="003D02E5"/>
    <w:rsid w:val="003D058B"/>
    <w:rsid w:val="003D0710"/>
    <w:rsid w:val="003D08B8"/>
    <w:rsid w:val="003D0B06"/>
    <w:rsid w:val="003D0CEC"/>
    <w:rsid w:val="003D10E4"/>
    <w:rsid w:val="003D1E10"/>
    <w:rsid w:val="003D2134"/>
    <w:rsid w:val="003D2413"/>
    <w:rsid w:val="003D247E"/>
    <w:rsid w:val="003D28BB"/>
    <w:rsid w:val="003D290B"/>
    <w:rsid w:val="003D2B5B"/>
    <w:rsid w:val="003D2C12"/>
    <w:rsid w:val="003D309B"/>
    <w:rsid w:val="003D3A8D"/>
    <w:rsid w:val="003D3B08"/>
    <w:rsid w:val="003D40CF"/>
    <w:rsid w:val="003D40F0"/>
    <w:rsid w:val="003D4A55"/>
    <w:rsid w:val="003D5811"/>
    <w:rsid w:val="003D58B4"/>
    <w:rsid w:val="003D5CAB"/>
    <w:rsid w:val="003D633E"/>
    <w:rsid w:val="003D6AC4"/>
    <w:rsid w:val="003D7427"/>
    <w:rsid w:val="003D78C7"/>
    <w:rsid w:val="003D7AC6"/>
    <w:rsid w:val="003D7BEE"/>
    <w:rsid w:val="003D7CFE"/>
    <w:rsid w:val="003E1709"/>
    <w:rsid w:val="003E1941"/>
    <w:rsid w:val="003E220D"/>
    <w:rsid w:val="003E283F"/>
    <w:rsid w:val="003E2DCB"/>
    <w:rsid w:val="003E2E40"/>
    <w:rsid w:val="003E3233"/>
    <w:rsid w:val="003E3531"/>
    <w:rsid w:val="003E37AF"/>
    <w:rsid w:val="003E3AE5"/>
    <w:rsid w:val="003E4094"/>
    <w:rsid w:val="003E4150"/>
    <w:rsid w:val="003E459F"/>
    <w:rsid w:val="003E467A"/>
    <w:rsid w:val="003E4CFC"/>
    <w:rsid w:val="003E5584"/>
    <w:rsid w:val="003E5689"/>
    <w:rsid w:val="003E585E"/>
    <w:rsid w:val="003E6014"/>
    <w:rsid w:val="003E627D"/>
    <w:rsid w:val="003E62B5"/>
    <w:rsid w:val="003E63DC"/>
    <w:rsid w:val="003E73CC"/>
    <w:rsid w:val="003E77A2"/>
    <w:rsid w:val="003E7883"/>
    <w:rsid w:val="003E78C2"/>
    <w:rsid w:val="003F053B"/>
    <w:rsid w:val="003F06FD"/>
    <w:rsid w:val="003F0B3F"/>
    <w:rsid w:val="003F0B82"/>
    <w:rsid w:val="003F0C6A"/>
    <w:rsid w:val="003F112E"/>
    <w:rsid w:val="003F1353"/>
    <w:rsid w:val="003F1CA0"/>
    <w:rsid w:val="003F2680"/>
    <w:rsid w:val="003F29C5"/>
    <w:rsid w:val="003F2CB8"/>
    <w:rsid w:val="003F2CE8"/>
    <w:rsid w:val="003F2D75"/>
    <w:rsid w:val="003F3906"/>
    <w:rsid w:val="003F3F8F"/>
    <w:rsid w:val="003F3F96"/>
    <w:rsid w:val="003F435D"/>
    <w:rsid w:val="003F4649"/>
    <w:rsid w:val="003F475B"/>
    <w:rsid w:val="003F4892"/>
    <w:rsid w:val="003F49E6"/>
    <w:rsid w:val="003F4E25"/>
    <w:rsid w:val="003F5598"/>
    <w:rsid w:val="003F59C9"/>
    <w:rsid w:val="003F59CF"/>
    <w:rsid w:val="003F5F82"/>
    <w:rsid w:val="003F60EA"/>
    <w:rsid w:val="003F621A"/>
    <w:rsid w:val="003F628F"/>
    <w:rsid w:val="003F73AF"/>
    <w:rsid w:val="003F783C"/>
    <w:rsid w:val="003F7912"/>
    <w:rsid w:val="003F7C7D"/>
    <w:rsid w:val="00400246"/>
    <w:rsid w:val="004007AB"/>
    <w:rsid w:val="004007BE"/>
    <w:rsid w:val="00400A8B"/>
    <w:rsid w:val="00401682"/>
    <w:rsid w:val="00401A1C"/>
    <w:rsid w:val="00401A5E"/>
    <w:rsid w:val="00401CD0"/>
    <w:rsid w:val="00402BC8"/>
    <w:rsid w:val="00402C2E"/>
    <w:rsid w:val="00402C8E"/>
    <w:rsid w:val="00402DBD"/>
    <w:rsid w:val="0040322A"/>
    <w:rsid w:val="00403728"/>
    <w:rsid w:val="00403A61"/>
    <w:rsid w:val="00404001"/>
    <w:rsid w:val="00404DC3"/>
    <w:rsid w:val="00404FCD"/>
    <w:rsid w:val="00404FEA"/>
    <w:rsid w:val="00405BF8"/>
    <w:rsid w:val="00405C43"/>
    <w:rsid w:val="0040660D"/>
    <w:rsid w:val="00406DDF"/>
    <w:rsid w:val="00407647"/>
    <w:rsid w:val="004078B5"/>
    <w:rsid w:val="00407B6B"/>
    <w:rsid w:val="00411C13"/>
    <w:rsid w:val="00412044"/>
    <w:rsid w:val="00412798"/>
    <w:rsid w:val="00412815"/>
    <w:rsid w:val="00412A05"/>
    <w:rsid w:val="00413AEB"/>
    <w:rsid w:val="00413DC9"/>
    <w:rsid w:val="0041406F"/>
    <w:rsid w:val="0041484F"/>
    <w:rsid w:val="00414AE7"/>
    <w:rsid w:val="00415255"/>
    <w:rsid w:val="004153B8"/>
    <w:rsid w:val="004154B1"/>
    <w:rsid w:val="00415E40"/>
    <w:rsid w:val="00415EB5"/>
    <w:rsid w:val="00415F09"/>
    <w:rsid w:val="00415FFF"/>
    <w:rsid w:val="004166E5"/>
    <w:rsid w:val="004169CA"/>
    <w:rsid w:val="004169E6"/>
    <w:rsid w:val="00416A34"/>
    <w:rsid w:val="00416BB6"/>
    <w:rsid w:val="00416E25"/>
    <w:rsid w:val="00417CAA"/>
    <w:rsid w:val="004202F8"/>
    <w:rsid w:val="00420344"/>
    <w:rsid w:val="00420FCD"/>
    <w:rsid w:val="0042153C"/>
    <w:rsid w:val="00421D87"/>
    <w:rsid w:val="00422128"/>
    <w:rsid w:val="00422237"/>
    <w:rsid w:val="00422241"/>
    <w:rsid w:val="00422324"/>
    <w:rsid w:val="0042235D"/>
    <w:rsid w:val="004227C5"/>
    <w:rsid w:val="00422DBB"/>
    <w:rsid w:val="0042334A"/>
    <w:rsid w:val="00424900"/>
    <w:rsid w:val="00424C31"/>
    <w:rsid w:val="004250F7"/>
    <w:rsid w:val="004252F9"/>
    <w:rsid w:val="00425740"/>
    <w:rsid w:val="00426903"/>
    <w:rsid w:val="0042720A"/>
    <w:rsid w:val="0042768C"/>
    <w:rsid w:val="00427B77"/>
    <w:rsid w:val="00427DDB"/>
    <w:rsid w:val="00430024"/>
    <w:rsid w:val="00430049"/>
    <w:rsid w:val="00430280"/>
    <w:rsid w:val="00430C68"/>
    <w:rsid w:val="0043179A"/>
    <w:rsid w:val="00432E56"/>
    <w:rsid w:val="0043355B"/>
    <w:rsid w:val="004336BF"/>
    <w:rsid w:val="00433D9B"/>
    <w:rsid w:val="00433E31"/>
    <w:rsid w:val="004342CD"/>
    <w:rsid w:val="00434AC7"/>
    <w:rsid w:val="00434B1C"/>
    <w:rsid w:val="00434DBA"/>
    <w:rsid w:val="004357FF"/>
    <w:rsid w:val="00435941"/>
    <w:rsid w:val="004359A9"/>
    <w:rsid w:val="00436924"/>
    <w:rsid w:val="00436C87"/>
    <w:rsid w:val="00437BC6"/>
    <w:rsid w:val="004404C5"/>
    <w:rsid w:val="00440664"/>
    <w:rsid w:val="00440983"/>
    <w:rsid w:val="00441484"/>
    <w:rsid w:val="00441946"/>
    <w:rsid w:val="004419C7"/>
    <w:rsid w:val="00441E43"/>
    <w:rsid w:val="00442216"/>
    <w:rsid w:val="0044244D"/>
    <w:rsid w:val="00442F42"/>
    <w:rsid w:val="004435B0"/>
    <w:rsid w:val="00444B4C"/>
    <w:rsid w:val="00445AFC"/>
    <w:rsid w:val="00446409"/>
    <w:rsid w:val="004465AC"/>
    <w:rsid w:val="00446614"/>
    <w:rsid w:val="00446B48"/>
    <w:rsid w:val="00447698"/>
    <w:rsid w:val="00447A25"/>
    <w:rsid w:val="00447F1C"/>
    <w:rsid w:val="0044F2FA"/>
    <w:rsid w:val="004501C2"/>
    <w:rsid w:val="004504F6"/>
    <w:rsid w:val="00450519"/>
    <w:rsid w:val="004506F0"/>
    <w:rsid w:val="004509DD"/>
    <w:rsid w:val="00450D43"/>
    <w:rsid w:val="004517A8"/>
    <w:rsid w:val="00452229"/>
    <w:rsid w:val="004528D6"/>
    <w:rsid w:val="00452F7E"/>
    <w:rsid w:val="004536FD"/>
    <w:rsid w:val="00453CB1"/>
    <w:rsid w:val="00453D64"/>
    <w:rsid w:val="00453FBF"/>
    <w:rsid w:val="00454551"/>
    <w:rsid w:val="004546B6"/>
    <w:rsid w:val="004547B5"/>
    <w:rsid w:val="00454938"/>
    <w:rsid w:val="00454BFD"/>
    <w:rsid w:val="00455045"/>
    <w:rsid w:val="004553D3"/>
    <w:rsid w:val="00455B05"/>
    <w:rsid w:val="0045630D"/>
    <w:rsid w:val="004569ED"/>
    <w:rsid w:val="00456ADB"/>
    <w:rsid w:val="00456DB4"/>
    <w:rsid w:val="00456EA5"/>
    <w:rsid w:val="004573F1"/>
    <w:rsid w:val="00457CCD"/>
    <w:rsid w:val="00457D47"/>
    <w:rsid w:val="00460CBD"/>
    <w:rsid w:val="00460CBF"/>
    <w:rsid w:val="00461C41"/>
    <w:rsid w:val="0046201C"/>
    <w:rsid w:val="00462029"/>
    <w:rsid w:val="00462218"/>
    <w:rsid w:val="00462248"/>
    <w:rsid w:val="00462295"/>
    <w:rsid w:val="00462368"/>
    <w:rsid w:val="0046253B"/>
    <w:rsid w:val="004629A5"/>
    <w:rsid w:val="00462B83"/>
    <w:rsid w:val="00462F35"/>
    <w:rsid w:val="004631A8"/>
    <w:rsid w:val="00463550"/>
    <w:rsid w:val="0046399A"/>
    <w:rsid w:val="00463BBC"/>
    <w:rsid w:val="00463E01"/>
    <w:rsid w:val="00464181"/>
    <w:rsid w:val="004644C4"/>
    <w:rsid w:val="004650DB"/>
    <w:rsid w:val="004651A1"/>
    <w:rsid w:val="004653AF"/>
    <w:rsid w:val="0046638A"/>
    <w:rsid w:val="00466A7A"/>
    <w:rsid w:val="00466CC7"/>
    <w:rsid w:val="00467757"/>
    <w:rsid w:val="004678C6"/>
    <w:rsid w:val="00467998"/>
    <w:rsid w:val="004679D1"/>
    <w:rsid w:val="00470EE9"/>
    <w:rsid w:val="00471552"/>
    <w:rsid w:val="004719F0"/>
    <w:rsid w:val="00471A16"/>
    <w:rsid w:val="00471F3C"/>
    <w:rsid w:val="0047249C"/>
    <w:rsid w:val="0047330B"/>
    <w:rsid w:val="00473ABD"/>
    <w:rsid w:val="00473B84"/>
    <w:rsid w:val="00473F99"/>
    <w:rsid w:val="004744F0"/>
    <w:rsid w:val="00475364"/>
    <w:rsid w:val="004753F7"/>
    <w:rsid w:val="00475BF0"/>
    <w:rsid w:val="004764B5"/>
    <w:rsid w:val="00476715"/>
    <w:rsid w:val="004768AF"/>
    <w:rsid w:val="00476A4C"/>
    <w:rsid w:val="00477562"/>
    <w:rsid w:val="004778A0"/>
    <w:rsid w:val="00477B06"/>
    <w:rsid w:val="00477F84"/>
    <w:rsid w:val="0048024C"/>
    <w:rsid w:val="00480F1B"/>
    <w:rsid w:val="00481038"/>
    <w:rsid w:val="00481AB4"/>
    <w:rsid w:val="00481FEC"/>
    <w:rsid w:val="004831C7"/>
    <w:rsid w:val="00483436"/>
    <w:rsid w:val="00484633"/>
    <w:rsid w:val="00484EF7"/>
    <w:rsid w:val="004854CD"/>
    <w:rsid w:val="004854D7"/>
    <w:rsid w:val="0048594B"/>
    <w:rsid w:val="00485FDD"/>
    <w:rsid w:val="0048612B"/>
    <w:rsid w:val="0048623B"/>
    <w:rsid w:val="00486723"/>
    <w:rsid w:val="004868BA"/>
    <w:rsid w:val="00486905"/>
    <w:rsid w:val="004869C0"/>
    <w:rsid w:val="00487624"/>
    <w:rsid w:val="00487CFE"/>
    <w:rsid w:val="00487F7A"/>
    <w:rsid w:val="004905BB"/>
    <w:rsid w:val="004905E3"/>
    <w:rsid w:val="0049079F"/>
    <w:rsid w:val="004909CA"/>
    <w:rsid w:val="00490B23"/>
    <w:rsid w:val="00490B34"/>
    <w:rsid w:val="00491168"/>
    <w:rsid w:val="00491224"/>
    <w:rsid w:val="00491AA3"/>
    <w:rsid w:val="00491B03"/>
    <w:rsid w:val="00491C43"/>
    <w:rsid w:val="00491D41"/>
    <w:rsid w:val="004924A0"/>
    <w:rsid w:val="004925B9"/>
    <w:rsid w:val="00492AEE"/>
    <w:rsid w:val="00493003"/>
    <w:rsid w:val="004930D3"/>
    <w:rsid w:val="00493171"/>
    <w:rsid w:val="00493271"/>
    <w:rsid w:val="004934B7"/>
    <w:rsid w:val="004936E3"/>
    <w:rsid w:val="004937EE"/>
    <w:rsid w:val="0049407F"/>
    <w:rsid w:val="00494313"/>
    <w:rsid w:val="00494703"/>
    <w:rsid w:val="004947FD"/>
    <w:rsid w:val="00494B3A"/>
    <w:rsid w:val="0049517D"/>
    <w:rsid w:val="00496756"/>
    <w:rsid w:val="00496909"/>
    <w:rsid w:val="00496D89"/>
    <w:rsid w:val="00496E65"/>
    <w:rsid w:val="0049734A"/>
    <w:rsid w:val="00497535"/>
    <w:rsid w:val="004977A9"/>
    <w:rsid w:val="004A060A"/>
    <w:rsid w:val="004A0D46"/>
    <w:rsid w:val="004A15F2"/>
    <w:rsid w:val="004A1B58"/>
    <w:rsid w:val="004A23DA"/>
    <w:rsid w:val="004A2556"/>
    <w:rsid w:val="004A275B"/>
    <w:rsid w:val="004A29D5"/>
    <w:rsid w:val="004A2A69"/>
    <w:rsid w:val="004A3150"/>
    <w:rsid w:val="004A3151"/>
    <w:rsid w:val="004A3376"/>
    <w:rsid w:val="004A3E8A"/>
    <w:rsid w:val="004A491C"/>
    <w:rsid w:val="004A4C11"/>
    <w:rsid w:val="004A51B8"/>
    <w:rsid w:val="004A5609"/>
    <w:rsid w:val="004A5FE8"/>
    <w:rsid w:val="004A6311"/>
    <w:rsid w:val="004A71E0"/>
    <w:rsid w:val="004A7219"/>
    <w:rsid w:val="004A78DB"/>
    <w:rsid w:val="004A7F26"/>
    <w:rsid w:val="004B08D7"/>
    <w:rsid w:val="004B0AB5"/>
    <w:rsid w:val="004B0B24"/>
    <w:rsid w:val="004B10D1"/>
    <w:rsid w:val="004B1493"/>
    <w:rsid w:val="004B15DF"/>
    <w:rsid w:val="004B1948"/>
    <w:rsid w:val="004B1F29"/>
    <w:rsid w:val="004B2534"/>
    <w:rsid w:val="004B25E6"/>
    <w:rsid w:val="004B26DF"/>
    <w:rsid w:val="004B291E"/>
    <w:rsid w:val="004B2B6C"/>
    <w:rsid w:val="004B2C24"/>
    <w:rsid w:val="004B3135"/>
    <w:rsid w:val="004B3140"/>
    <w:rsid w:val="004B3210"/>
    <w:rsid w:val="004B3FE1"/>
    <w:rsid w:val="004B437C"/>
    <w:rsid w:val="004B4380"/>
    <w:rsid w:val="004B459B"/>
    <w:rsid w:val="004B4DF9"/>
    <w:rsid w:val="004B56BC"/>
    <w:rsid w:val="004B6158"/>
    <w:rsid w:val="004B6463"/>
    <w:rsid w:val="004B66C7"/>
    <w:rsid w:val="004B674C"/>
    <w:rsid w:val="004B682C"/>
    <w:rsid w:val="004C0480"/>
    <w:rsid w:val="004C08FD"/>
    <w:rsid w:val="004C14F3"/>
    <w:rsid w:val="004C187C"/>
    <w:rsid w:val="004C215F"/>
    <w:rsid w:val="004C2389"/>
    <w:rsid w:val="004C26D2"/>
    <w:rsid w:val="004C2BA4"/>
    <w:rsid w:val="004C2F33"/>
    <w:rsid w:val="004C37CA"/>
    <w:rsid w:val="004C3E5E"/>
    <w:rsid w:val="004C3EEE"/>
    <w:rsid w:val="004C417F"/>
    <w:rsid w:val="004C42B8"/>
    <w:rsid w:val="004C4738"/>
    <w:rsid w:val="004C51F7"/>
    <w:rsid w:val="004C5414"/>
    <w:rsid w:val="004C589D"/>
    <w:rsid w:val="004C5E35"/>
    <w:rsid w:val="004C5E55"/>
    <w:rsid w:val="004C6455"/>
    <w:rsid w:val="004C6BD4"/>
    <w:rsid w:val="004C6BDF"/>
    <w:rsid w:val="004C6F0D"/>
    <w:rsid w:val="004C7954"/>
    <w:rsid w:val="004C7974"/>
    <w:rsid w:val="004C7CAA"/>
    <w:rsid w:val="004D07E7"/>
    <w:rsid w:val="004D0870"/>
    <w:rsid w:val="004D099B"/>
    <w:rsid w:val="004D11BE"/>
    <w:rsid w:val="004D16BF"/>
    <w:rsid w:val="004D196E"/>
    <w:rsid w:val="004D23CA"/>
    <w:rsid w:val="004D262D"/>
    <w:rsid w:val="004D29B4"/>
    <w:rsid w:val="004D2CF8"/>
    <w:rsid w:val="004D4067"/>
    <w:rsid w:val="004D46F0"/>
    <w:rsid w:val="004D48E3"/>
    <w:rsid w:val="004D5BC7"/>
    <w:rsid w:val="004D5F7A"/>
    <w:rsid w:val="004D60A8"/>
    <w:rsid w:val="004D60EA"/>
    <w:rsid w:val="004D64C8"/>
    <w:rsid w:val="004D6CDB"/>
    <w:rsid w:val="004D723B"/>
    <w:rsid w:val="004D7765"/>
    <w:rsid w:val="004D7806"/>
    <w:rsid w:val="004E0764"/>
    <w:rsid w:val="004E0FC2"/>
    <w:rsid w:val="004E1592"/>
    <w:rsid w:val="004E1687"/>
    <w:rsid w:val="004E2597"/>
    <w:rsid w:val="004E2B40"/>
    <w:rsid w:val="004E2F26"/>
    <w:rsid w:val="004E3600"/>
    <w:rsid w:val="004E3B6D"/>
    <w:rsid w:val="004E3DAE"/>
    <w:rsid w:val="004E4075"/>
    <w:rsid w:val="004E44FC"/>
    <w:rsid w:val="004E46B1"/>
    <w:rsid w:val="004E477F"/>
    <w:rsid w:val="004E4E4C"/>
    <w:rsid w:val="004E5C94"/>
    <w:rsid w:val="004E5E3E"/>
    <w:rsid w:val="004E5F53"/>
    <w:rsid w:val="004E6D40"/>
    <w:rsid w:val="004E771D"/>
    <w:rsid w:val="004E7B07"/>
    <w:rsid w:val="004E7E05"/>
    <w:rsid w:val="004F002C"/>
    <w:rsid w:val="004F0196"/>
    <w:rsid w:val="004F01D3"/>
    <w:rsid w:val="004F06B6"/>
    <w:rsid w:val="004F0E3A"/>
    <w:rsid w:val="004F1ADD"/>
    <w:rsid w:val="004F23E9"/>
    <w:rsid w:val="004F248D"/>
    <w:rsid w:val="004F2511"/>
    <w:rsid w:val="004F2640"/>
    <w:rsid w:val="004F2999"/>
    <w:rsid w:val="004F2B6E"/>
    <w:rsid w:val="004F2EC7"/>
    <w:rsid w:val="004F36A6"/>
    <w:rsid w:val="004F391C"/>
    <w:rsid w:val="004F43D4"/>
    <w:rsid w:val="004F450E"/>
    <w:rsid w:val="004F453A"/>
    <w:rsid w:val="004F4612"/>
    <w:rsid w:val="004F4D87"/>
    <w:rsid w:val="004F5D41"/>
    <w:rsid w:val="004F5EB3"/>
    <w:rsid w:val="004F5EC0"/>
    <w:rsid w:val="004F67F6"/>
    <w:rsid w:val="004F6A6C"/>
    <w:rsid w:val="004F6D8B"/>
    <w:rsid w:val="005002B9"/>
    <w:rsid w:val="005005AD"/>
    <w:rsid w:val="005018B2"/>
    <w:rsid w:val="00501DE4"/>
    <w:rsid w:val="00501E3A"/>
    <w:rsid w:val="00502272"/>
    <w:rsid w:val="0050236B"/>
    <w:rsid w:val="00502445"/>
    <w:rsid w:val="00502544"/>
    <w:rsid w:val="0050260C"/>
    <w:rsid w:val="00502B7F"/>
    <w:rsid w:val="00503802"/>
    <w:rsid w:val="00503B26"/>
    <w:rsid w:val="00505F2A"/>
    <w:rsid w:val="00505FF1"/>
    <w:rsid w:val="0050644D"/>
    <w:rsid w:val="00506560"/>
    <w:rsid w:val="00506960"/>
    <w:rsid w:val="00506B4E"/>
    <w:rsid w:val="00506DFC"/>
    <w:rsid w:val="0050726B"/>
    <w:rsid w:val="00507694"/>
    <w:rsid w:val="00507DBA"/>
    <w:rsid w:val="0051008C"/>
    <w:rsid w:val="005106E8"/>
    <w:rsid w:val="005109A5"/>
    <w:rsid w:val="005111DB"/>
    <w:rsid w:val="00511442"/>
    <w:rsid w:val="005116A5"/>
    <w:rsid w:val="00511726"/>
    <w:rsid w:val="005123E2"/>
    <w:rsid w:val="00512482"/>
    <w:rsid w:val="005127F2"/>
    <w:rsid w:val="00512839"/>
    <w:rsid w:val="00512AD4"/>
    <w:rsid w:val="00512DB9"/>
    <w:rsid w:val="00513535"/>
    <w:rsid w:val="005144C5"/>
    <w:rsid w:val="005148EC"/>
    <w:rsid w:val="00515AFD"/>
    <w:rsid w:val="00516C0C"/>
    <w:rsid w:val="00516D26"/>
    <w:rsid w:val="005177AC"/>
    <w:rsid w:val="00517BA8"/>
    <w:rsid w:val="00520CE6"/>
    <w:rsid w:val="005219F2"/>
    <w:rsid w:val="00521E41"/>
    <w:rsid w:val="0052286C"/>
    <w:rsid w:val="005231E4"/>
    <w:rsid w:val="00523756"/>
    <w:rsid w:val="00523FDB"/>
    <w:rsid w:val="0052460F"/>
    <w:rsid w:val="00524F9A"/>
    <w:rsid w:val="00525252"/>
    <w:rsid w:val="00525361"/>
    <w:rsid w:val="00525CBB"/>
    <w:rsid w:val="00525DC9"/>
    <w:rsid w:val="00525F88"/>
    <w:rsid w:val="005262E8"/>
    <w:rsid w:val="00526338"/>
    <w:rsid w:val="00526A21"/>
    <w:rsid w:val="00526D58"/>
    <w:rsid w:val="00526E55"/>
    <w:rsid w:val="00526F42"/>
    <w:rsid w:val="00527119"/>
    <w:rsid w:val="00527214"/>
    <w:rsid w:val="0052772E"/>
    <w:rsid w:val="005279BE"/>
    <w:rsid w:val="00527BD0"/>
    <w:rsid w:val="0052CC08"/>
    <w:rsid w:val="00530667"/>
    <w:rsid w:val="005306AE"/>
    <w:rsid w:val="00530AD7"/>
    <w:rsid w:val="0053145F"/>
    <w:rsid w:val="005316D5"/>
    <w:rsid w:val="00532181"/>
    <w:rsid w:val="0053229F"/>
    <w:rsid w:val="005327D6"/>
    <w:rsid w:val="0053282B"/>
    <w:rsid w:val="00532C81"/>
    <w:rsid w:val="00533546"/>
    <w:rsid w:val="00533F8D"/>
    <w:rsid w:val="0053440E"/>
    <w:rsid w:val="0053480B"/>
    <w:rsid w:val="00534AD8"/>
    <w:rsid w:val="00535102"/>
    <w:rsid w:val="0053557E"/>
    <w:rsid w:val="00535D03"/>
    <w:rsid w:val="005360D8"/>
    <w:rsid w:val="005360FB"/>
    <w:rsid w:val="005364B5"/>
    <w:rsid w:val="00536962"/>
    <w:rsid w:val="00536A9F"/>
    <w:rsid w:val="005371C1"/>
    <w:rsid w:val="005373FF"/>
    <w:rsid w:val="005374E5"/>
    <w:rsid w:val="0053772F"/>
    <w:rsid w:val="005378B8"/>
    <w:rsid w:val="00537E56"/>
    <w:rsid w:val="00540D82"/>
    <w:rsid w:val="00541060"/>
    <w:rsid w:val="0054111F"/>
    <w:rsid w:val="0054114D"/>
    <w:rsid w:val="005419EF"/>
    <w:rsid w:val="00541A50"/>
    <w:rsid w:val="00541D71"/>
    <w:rsid w:val="00541DBC"/>
    <w:rsid w:val="00542651"/>
    <w:rsid w:val="00542C80"/>
    <w:rsid w:val="00542EA8"/>
    <w:rsid w:val="005434AD"/>
    <w:rsid w:val="00544329"/>
    <w:rsid w:val="00544702"/>
    <w:rsid w:val="00544CEE"/>
    <w:rsid w:val="00544DB2"/>
    <w:rsid w:val="0054530E"/>
    <w:rsid w:val="005455F1"/>
    <w:rsid w:val="0054586F"/>
    <w:rsid w:val="00545ABF"/>
    <w:rsid w:val="0054640A"/>
    <w:rsid w:val="005471CC"/>
    <w:rsid w:val="0054744F"/>
    <w:rsid w:val="005478D8"/>
    <w:rsid w:val="00547D82"/>
    <w:rsid w:val="0055017D"/>
    <w:rsid w:val="005506B4"/>
    <w:rsid w:val="005507C8"/>
    <w:rsid w:val="00550B54"/>
    <w:rsid w:val="005517E5"/>
    <w:rsid w:val="005520CB"/>
    <w:rsid w:val="00552209"/>
    <w:rsid w:val="00552287"/>
    <w:rsid w:val="005532DB"/>
    <w:rsid w:val="0055363F"/>
    <w:rsid w:val="0055440D"/>
    <w:rsid w:val="005545E7"/>
    <w:rsid w:val="0055471B"/>
    <w:rsid w:val="00555CF4"/>
    <w:rsid w:val="00556197"/>
    <w:rsid w:val="00557615"/>
    <w:rsid w:val="005576A3"/>
    <w:rsid w:val="005577C2"/>
    <w:rsid w:val="00557B16"/>
    <w:rsid w:val="005601F4"/>
    <w:rsid w:val="00560796"/>
    <w:rsid w:val="00560CDB"/>
    <w:rsid w:val="00560E1A"/>
    <w:rsid w:val="00561212"/>
    <w:rsid w:val="0056272C"/>
    <w:rsid w:val="00562B88"/>
    <w:rsid w:val="0056316B"/>
    <w:rsid w:val="00563801"/>
    <w:rsid w:val="005639C5"/>
    <w:rsid w:val="00564503"/>
    <w:rsid w:val="00564F0E"/>
    <w:rsid w:val="00564F9B"/>
    <w:rsid w:val="005653A9"/>
    <w:rsid w:val="00565755"/>
    <w:rsid w:val="00565BC5"/>
    <w:rsid w:val="00565E1F"/>
    <w:rsid w:val="0056638E"/>
    <w:rsid w:val="005663BB"/>
    <w:rsid w:val="005664E1"/>
    <w:rsid w:val="00566ACA"/>
    <w:rsid w:val="005672E3"/>
    <w:rsid w:val="005673A6"/>
    <w:rsid w:val="005673FE"/>
    <w:rsid w:val="0056751A"/>
    <w:rsid w:val="00567D93"/>
    <w:rsid w:val="0057001A"/>
    <w:rsid w:val="005703E6"/>
    <w:rsid w:val="005709E6"/>
    <w:rsid w:val="00570A76"/>
    <w:rsid w:val="00570D39"/>
    <w:rsid w:val="00570ECF"/>
    <w:rsid w:val="00570F22"/>
    <w:rsid w:val="005714E2"/>
    <w:rsid w:val="0057192E"/>
    <w:rsid w:val="00571E4B"/>
    <w:rsid w:val="00571F15"/>
    <w:rsid w:val="00571FB1"/>
    <w:rsid w:val="00572219"/>
    <w:rsid w:val="00572FF7"/>
    <w:rsid w:val="00573196"/>
    <w:rsid w:val="00574FED"/>
    <w:rsid w:val="0057531A"/>
    <w:rsid w:val="00575690"/>
    <w:rsid w:val="0057657D"/>
    <w:rsid w:val="00577203"/>
    <w:rsid w:val="00577895"/>
    <w:rsid w:val="00580180"/>
    <w:rsid w:val="00580720"/>
    <w:rsid w:val="00580826"/>
    <w:rsid w:val="005808E1"/>
    <w:rsid w:val="00580DA2"/>
    <w:rsid w:val="00581122"/>
    <w:rsid w:val="0058172E"/>
    <w:rsid w:val="00581D10"/>
    <w:rsid w:val="005823BF"/>
    <w:rsid w:val="00582893"/>
    <w:rsid w:val="005828EE"/>
    <w:rsid w:val="00582B2F"/>
    <w:rsid w:val="00582D7F"/>
    <w:rsid w:val="0058338F"/>
    <w:rsid w:val="00583919"/>
    <w:rsid w:val="00583F12"/>
    <w:rsid w:val="0058430D"/>
    <w:rsid w:val="0058466B"/>
    <w:rsid w:val="0058554B"/>
    <w:rsid w:val="00585A74"/>
    <w:rsid w:val="00585B72"/>
    <w:rsid w:val="00586185"/>
    <w:rsid w:val="00586186"/>
    <w:rsid w:val="0058620C"/>
    <w:rsid w:val="00586313"/>
    <w:rsid w:val="00586591"/>
    <w:rsid w:val="005868C1"/>
    <w:rsid w:val="00586A89"/>
    <w:rsid w:val="00586C09"/>
    <w:rsid w:val="0058701B"/>
    <w:rsid w:val="00587050"/>
    <w:rsid w:val="00587081"/>
    <w:rsid w:val="005873CE"/>
    <w:rsid w:val="005873EF"/>
    <w:rsid w:val="00587CF2"/>
    <w:rsid w:val="0059062E"/>
    <w:rsid w:val="00590987"/>
    <w:rsid w:val="00590FA5"/>
    <w:rsid w:val="00590FCE"/>
    <w:rsid w:val="0059122F"/>
    <w:rsid w:val="00591445"/>
    <w:rsid w:val="005914A5"/>
    <w:rsid w:val="0059197B"/>
    <w:rsid w:val="00591E07"/>
    <w:rsid w:val="00592074"/>
    <w:rsid w:val="00592613"/>
    <w:rsid w:val="005926E4"/>
    <w:rsid w:val="005926F9"/>
    <w:rsid w:val="005928DF"/>
    <w:rsid w:val="00592FE8"/>
    <w:rsid w:val="0059364E"/>
    <w:rsid w:val="00593688"/>
    <w:rsid w:val="00593C30"/>
    <w:rsid w:val="00594C27"/>
    <w:rsid w:val="0059541C"/>
    <w:rsid w:val="0059552C"/>
    <w:rsid w:val="00595D7E"/>
    <w:rsid w:val="005965FB"/>
    <w:rsid w:val="0059660D"/>
    <w:rsid w:val="00596917"/>
    <w:rsid w:val="00596E2A"/>
    <w:rsid w:val="00596E99"/>
    <w:rsid w:val="0059752F"/>
    <w:rsid w:val="0059768F"/>
    <w:rsid w:val="00597D7E"/>
    <w:rsid w:val="005A1FFF"/>
    <w:rsid w:val="005A2079"/>
    <w:rsid w:val="005A266F"/>
    <w:rsid w:val="005A2829"/>
    <w:rsid w:val="005A2E69"/>
    <w:rsid w:val="005A31F5"/>
    <w:rsid w:val="005A34F6"/>
    <w:rsid w:val="005A3886"/>
    <w:rsid w:val="005A388A"/>
    <w:rsid w:val="005A3C7F"/>
    <w:rsid w:val="005A4041"/>
    <w:rsid w:val="005A42ED"/>
    <w:rsid w:val="005A4327"/>
    <w:rsid w:val="005A4CDE"/>
    <w:rsid w:val="005A51A6"/>
    <w:rsid w:val="005A57CF"/>
    <w:rsid w:val="005A5ADD"/>
    <w:rsid w:val="005A628C"/>
    <w:rsid w:val="005A64DD"/>
    <w:rsid w:val="005A6F89"/>
    <w:rsid w:val="005A726D"/>
    <w:rsid w:val="005B0515"/>
    <w:rsid w:val="005B065A"/>
    <w:rsid w:val="005B07A0"/>
    <w:rsid w:val="005B094F"/>
    <w:rsid w:val="005B1580"/>
    <w:rsid w:val="005B1606"/>
    <w:rsid w:val="005B2371"/>
    <w:rsid w:val="005B23E3"/>
    <w:rsid w:val="005B2CAF"/>
    <w:rsid w:val="005B2EAB"/>
    <w:rsid w:val="005B367D"/>
    <w:rsid w:val="005B38E2"/>
    <w:rsid w:val="005B3B1C"/>
    <w:rsid w:val="005B3BC9"/>
    <w:rsid w:val="005B480D"/>
    <w:rsid w:val="005B4A99"/>
    <w:rsid w:val="005B4BDE"/>
    <w:rsid w:val="005B50F6"/>
    <w:rsid w:val="005B5177"/>
    <w:rsid w:val="005B56FF"/>
    <w:rsid w:val="005B57AF"/>
    <w:rsid w:val="005B5AAC"/>
    <w:rsid w:val="005B5EDD"/>
    <w:rsid w:val="005B62F7"/>
    <w:rsid w:val="005B6789"/>
    <w:rsid w:val="005B6B85"/>
    <w:rsid w:val="005B6DCF"/>
    <w:rsid w:val="005B7047"/>
    <w:rsid w:val="005B71BE"/>
    <w:rsid w:val="005B760E"/>
    <w:rsid w:val="005B763A"/>
    <w:rsid w:val="005B7E3F"/>
    <w:rsid w:val="005C00FC"/>
    <w:rsid w:val="005C0999"/>
    <w:rsid w:val="005C0A2D"/>
    <w:rsid w:val="005C0B30"/>
    <w:rsid w:val="005C1A16"/>
    <w:rsid w:val="005C2C02"/>
    <w:rsid w:val="005C3660"/>
    <w:rsid w:val="005C4491"/>
    <w:rsid w:val="005C45B6"/>
    <w:rsid w:val="005C480D"/>
    <w:rsid w:val="005C4A79"/>
    <w:rsid w:val="005C5351"/>
    <w:rsid w:val="005C5D5D"/>
    <w:rsid w:val="005C5E62"/>
    <w:rsid w:val="005C6987"/>
    <w:rsid w:val="005C745E"/>
    <w:rsid w:val="005C79E9"/>
    <w:rsid w:val="005D0F95"/>
    <w:rsid w:val="005D201B"/>
    <w:rsid w:val="005D31C1"/>
    <w:rsid w:val="005D326A"/>
    <w:rsid w:val="005D3455"/>
    <w:rsid w:val="005D424E"/>
    <w:rsid w:val="005D44E0"/>
    <w:rsid w:val="005D48A0"/>
    <w:rsid w:val="005D4E16"/>
    <w:rsid w:val="005D597B"/>
    <w:rsid w:val="005D5E34"/>
    <w:rsid w:val="005D600F"/>
    <w:rsid w:val="005D614F"/>
    <w:rsid w:val="005D634A"/>
    <w:rsid w:val="005D6A4D"/>
    <w:rsid w:val="005D6B1A"/>
    <w:rsid w:val="005D6F94"/>
    <w:rsid w:val="005D729B"/>
    <w:rsid w:val="005D736C"/>
    <w:rsid w:val="005D77F2"/>
    <w:rsid w:val="005D7CF0"/>
    <w:rsid w:val="005D7E95"/>
    <w:rsid w:val="005D7FF8"/>
    <w:rsid w:val="005E028A"/>
    <w:rsid w:val="005E09D3"/>
    <w:rsid w:val="005E1000"/>
    <w:rsid w:val="005E13AC"/>
    <w:rsid w:val="005E1433"/>
    <w:rsid w:val="005E1819"/>
    <w:rsid w:val="005E21FA"/>
    <w:rsid w:val="005E2596"/>
    <w:rsid w:val="005E268C"/>
    <w:rsid w:val="005E2A2B"/>
    <w:rsid w:val="005E2F49"/>
    <w:rsid w:val="005E3969"/>
    <w:rsid w:val="005E39A3"/>
    <w:rsid w:val="005E3A58"/>
    <w:rsid w:val="005E40EE"/>
    <w:rsid w:val="005E439D"/>
    <w:rsid w:val="005E459B"/>
    <w:rsid w:val="005E5551"/>
    <w:rsid w:val="005E587F"/>
    <w:rsid w:val="005E58E6"/>
    <w:rsid w:val="005E64C7"/>
    <w:rsid w:val="005E6532"/>
    <w:rsid w:val="005E680F"/>
    <w:rsid w:val="005E6DAA"/>
    <w:rsid w:val="005E6EA3"/>
    <w:rsid w:val="005E6EED"/>
    <w:rsid w:val="005E7A6D"/>
    <w:rsid w:val="005F05D1"/>
    <w:rsid w:val="005F0863"/>
    <w:rsid w:val="005F0A42"/>
    <w:rsid w:val="005F173F"/>
    <w:rsid w:val="005F175E"/>
    <w:rsid w:val="005F18A3"/>
    <w:rsid w:val="005F2E59"/>
    <w:rsid w:val="005F31CB"/>
    <w:rsid w:val="005F343D"/>
    <w:rsid w:val="005F388E"/>
    <w:rsid w:val="005F4A23"/>
    <w:rsid w:val="005F58A2"/>
    <w:rsid w:val="005F5FEE"/>
    <w:rsid w:val="005F6151"/>
    <w:rsid w:val="005F682C"/>
    <w:rsid w:val="005F6E72"/>
    <w:rsid w:val="005F6FAE"/>
    <w:rsid w:val="005F6FFB"/>
    <w:rsid w:val="005F77F0"/>
    <w:rsid w:val="006002D8"/>
    <w:rsid w:val="00600B82"/>
    <w:rsid w:val="00600D77"/>
    <w:rsid w:val="00600ED6"/>
    <w:rsid w:val="00601108"/>
    <w:rsid w:val="0060143A"/>
    <w:rsid w:val="006019CD"/>
    <w:rsid w:val="00601F4F"/>
    <w:rsid w:val="00602103"/>
    <w:rsid w:val="006028BD"/>
    <w:rsid w:val="00602BCA"/>
    <w:rsid w:val="00602BF9"/>
    <w:rsid w:val="00602F8F"/>
    <w:rsid w:val="006030AB"/>
    <w:rsid w:val="00603321"/>
    <w:rsid w:val="00603D07"/>
    <w:rsid w:val="00603E99"/>
    <w:rsid w:val="006040D8"/>
    <w:rsid w:val="006042BC"/>
    <w:rsid w:val="0060438E"/>
    <w:rsid w:val="006046B5"/>
    <w:rsid w:val="00604BAE"/>
    <w:rsid w:val="00604F68"/>
    <w:rsid w:val="006050A2"/>
    <w:rsid w:val="00605182"/>
    <w:rsid w:val="0060522B"/>
    <w:rsid w:val="006053EB"/>
    <w:rsid w:val="006053FB"/>
    <w:rsid w:val="006054B2"/>
    <w:rsid w:val="00605595"/>
    <w:rsid w:val="00605746"/>
    <w:rsid w:val="0060580F"/>
    <w:rsid w:val="00605AE3"/>
    <w:rsid w:val="006060AD"/>
    <w:rsid w:val="0060652D"/>
    <w:rsid w:val="00606730"/>
    <w:rsid w:val="00606937"/>
    <w:rsid w:val="0060695C"/>
    <w:rsid w:val="00606DAF"/>
    <w:rsid w:val="00607723"/>
    <w:rsid w:val="00607B8C"/>
    <w:rsid w:val="00607C58"/>
    <w:rsid w:val="00607DC0"/>
    <w:rsid w:val="0061024F"/>
    <w:rsid w:val="00610483"/>
    <w:rsid w:val="006104A6"/>
    <w:rsid w:val="00610D46"/>
    <w:rsid w:val="00611B27"/>
    <w:rsid w:val="00611E0A"/>
    <w:rsid w:val="006122BE"/>
    <w:rsid w:val="006126DB"/>
    <w:rsid w:val="00612890"/>
    <w:rsid w:val="006131D2"/>
    <w:rsid w:val="00613404"/>
    <w:rsid w:val="006134A3"/>
    <w:rsid w:val="00613ECC"/>
    <w:rsid w:val="0061413A"/>
    <w:rsid w:val="006142C6"/>
    <w:rsid w:val="00615202"/>
    <w:rsid w:val="00615558"/>
    <w:rsid w:val="00615686"/>
    <w:rsid w:val="00615DD5"/>
    <w:rsid w:val="00615F5D"/>
    <w:rsid w:val="00616027"/>
    <w:rsid w:val="00616142"/>
    <w:rsid w:val="0061618D"/>
    <w:rsid w:val="006162CF"/>
    <w:rsid w:val="00616C9F"/>
    <w:rsid w:val="00616EA5"/>
    <w:rsid w:val="00616EF7"/>
    <w:rsid w:val="00617218"/>
    <w:rsid w:val="00617938"/>
    <w:rsid w:val="00617B89"/>
    <w:rsid w:val="00620309"/>
    <w:rsid w:val="006206D0"/>
    <w:rsid w:val="0062122F"/>
    <w:rsid w:val="006212FC"/>
    <w:rsid w:val="00621476"/>
    <w:rsid w:val="00621806"/>
    <w:rsid w:val="00621876"/>
    <w:rsid w:val="00621B5D"/>
    <w:rsid w:val="00621D9D"/>
    <w:rsid w:val="00622491"/>
    <w:rsid w:val="006226CA"/>
    <w:rsid w:val="00622703"/>
    <w:rsid w:val="006231A7"/>
    <w:rsid w:val="00623519"/>
    <w:rsid w:val="00623B12"/>
    <w:rsid w:val="00623F4C"/>
    <w:rsid w:val="006240B3"/>
    <w:rsid w:val="00624730"/>
    <w:rsid w:val="00624747"/>
    <w:rsid w:val="00625751"/>
    <w:rsid w:val="006258E5"/>
    <w:rsid w:val="0062625C"/>
    <w:rsid w:val="00626F69"/>
    <w:rsid w:val="00627178"/>
    <w:rsid w:val="0062743A"/>
    <w:rsid w:val="0062754C"/>
    <w:rsid w:val="00627584"/>
    <w:rsid w:val="006275CD"/>
    <w:rsid w:val="00627E36"/>
    <w:rsid w:val="0063013C"/>
    <w:rsid w:val="006303A5"/>
    <w:rsid w:val="0063057C"/>
    <w:rsid w:val="00630B51"/>
    <w:rsid w:val="00630BEB"/>
    <w:rsid w:val="006319F6"/>
    <w:rsid w:val="00632557"/>
    <w:rsid w:val="00632626"/>
    <w:rsid w:val="00632B39"/>
    <w:rsid w:val="00632C5C"/>
    <w:rsid w:val="00632D2A"/>
    <w:rsid w:val="00633289"/>
    <w:rsid w:val="00633790"/>
    <w:rsid w:val="00633D10"/>
    <w:rsid w:val="00633E30"/>
    <w:rsid w:val="0063473E"/>
    <w:rsid w:val="006349C4"/>
    <w:rsid w:val="00634C99"/>
    <w:rsid w:val="00634E86"/>
    <w:rsid w:val="006350BF"/>
    <w:rsid w:val="006354C4"/>
    <w:rsid w:val="00635861"/>
    <w:rsid w:val="0063619C"/>
    <w:rsid w:val="00636570"/>
    <w:rsid w:val="0063766F"/>
    <w:rsid w:val="00637AF5"/>
    <w:rsid w:val="00637B80"/>
    <w:rsid w:val="00637E73"/>
    <w:rsid w:val="00640243"/>
    <w:rsid w:val="0064028A"/>
    <w:rsid w:val="00640625"/>
    <w:rsid w:val="006411CD"/>
    <w:rsid w:val="00641234"/>
    <w:rsid w:val="00641BC0"/>
    <w:rsid w:val="00641FEB"/>
    <w:rsid w:val="00642397"/>
    <w:rsid w:val="0064246B"/>
    <w:rsid w:val="00642B29"/>
    <w:rsid w:val="006435E0"/>
    <w:rsid w:val="006435E9"/>
    <w:rsid w:val="00643E2A"/>
    <w:rsid w:val="00643E50"/>
    <w:rsid w:val="00644A5E"/>
    <w:rsid w:val="00644D73"/>
    <w:rsid w:val="00644DF7"/>
    <w:rsid w:val="00644DFD"/>
    <w:rsid w:val="006455C5"/>
    <w:rsid w:val="00645861"/>
    <w:rsid w:val="00645C98"/>
    <w:rsid w:val="006461D2"/>
    <w:rsid w:val="00646E22"/>
    <w:rsid w:val="0064714E"/>
    <w:rsid w:val="0064742B"/>
    <w:rsid w:val="00647C5E"/>
    <w:rsid w:val="00647F99"/>
    <w:rsid w:val="006503E1"/>
    <w:rsid w:val="006508C5"/>
    <w:rsid w:val="00650947"/>
    <w:rsid w:val="006514F8"/>
    <w:rsid w:val="00651AFF"/>
    <w:rsid w:val="00652B2F"/>
    <w:rsid w:val="00652C20"/>
    <w:rsid w:val="006530DB"/>
    <w:rsid w:val="00653343"/>
    <w:rsid w:val="006537DD"/>
    <w:rsid w:val="006538DC"/>
    <w:rsid w:val="006540C8"/>
    <w:rsid w:val="0065411C"/>
    <w:rsid w:val="00654ADB"/>
    <w:rsid w:val="00654D18"/>
    <w:rsid w:val="00654E93"/>
    <w:rsid w:val="006553BE"/>
    <w:rsid w:val="006555A8"/>
    <w:rsid w:val="0065579B"/>
    <w:rsid w:val="0065596E"/>
    <w:rsid w:val="00655DE4"/>
    <w:rsid w:val="0065608E"/>
    <w:rsid w:val="006562C9"/>
    <w:rsid w:val="00656C9E"/>
    <w:rsid w:val="00657881"/>
    <w:rsid w:val="00657AF9"/>
    <w:rsid w:val="00657D2F"/>
    <w:rsid w:val="00657D3F"/>
    <w:rsid w:val="00657F64"/>
    <w:rsid w:val="00660873"/>
    <w:rsid w:val="0066098F"/>
    <w:rsid w:val="00660A95"/>
    <w:rsid w:val="00660B5A"/>
    <w:rsid w:val="00661403"/>
    <w:rsid w:val="006614F9"/>
    <w:rsid w:val="006615FD"/>
    <w:rsid w:val="006616DE"/>
    <w:rsid w:val="00661725"/>
    <w:rsid w:val="006619B1"/>
    <w:rsid w:val="00662011"/>
    <w:rsid w:val="006628B8"/>
    <w:rsid w:val="00662D3C"/>
    <w:rsid w:val="00663366"/>
    <w:rsid w:val="00663B68"/>
    <w:rsid w:val="006644C6"/>
    <w:rsid w:val="006644EB"/>
    <w:rsid w:val="0066568C"/>
    <w:rsid w:val="006657E3"/>
    <w:rsid w:val="00665C3A"/>
    <w:rsid w:val="00665F42"/>
    <w:rsid w:val="006661B0"/>
    <w:rsid w:val="006662DD"/>
    <w:rsid w:val="00666D5B"/>
    <w:rsid w:val="00666E1C"/>
    <w:rsid w:val="00667371"/>
    <w:rsid w:val="0066765A"/>
    <w:rsid w:val="006677D5"/>
    <w:rsid w:val="00667934"/>
    <w:rsid w:val="00667F85"/>
    <w:rsid w:val="00667FBE"/>
    <w:rsid w:val="00670310"/>
    <w:rsid w:val="00670350"/>
    <w:rsid w:val="006704F3"/>
    <w:rsid w:val="00670CC1"/>
    <w:rsid w:val="00670D6B"/>
    <w:rsid w:val="00671242"/>
    <w:rsid w:val="006719B7"/>
    <w:rsid w:val="00671AF9"/>
    <w:rsid w:val="00671BB9"/>
    <w:rsid w:val="00671BCA"/>
    <w:rsid w:val="006724B3"/>
    <w:rsid w:val="00673770"/>
    <w:rsid w:val="00674665"/>
    <w:rsid w:val="00674D9D"/>
    <w:rsid w:val="006758D0"/>
    <w:rsid w:val="00675EFE"/>
    <w:rsid w:val="00675F81"/>
    <w:rsid w:val="006767CE"/>
    <w:rsid w:val="00677A81"/>
    <w:rsid w:val="00677C84"/>
    <w:rsid w:val="00680695"/>
    <w:rsid w:val="00681200"/>
    <w:rsid w:val="00682201"/>
    <w:rsid w:val="0068222D"/>
    <w:rsid w:val="00682D4F"/>
    <w:rsid w:val="006830DF"/>
    <w:rsid w:val="006834FF"/>
    <w:rsid w:val="006835BF"/>
    <w:rsid w:val="00683AE6"/>
    <w:rsid w:val="00683D12"/>
    <w:rsid w:val="00684076"/>
    <w:rsid w:val="00684218"/>
    <w:rsid w:val="006846FC"/>
    <w:rsid w:val="006847AB"/>
    <w:rsid w:val="006852D8"/>
    <w:rsid w:val="0068570E"/>
    <w:rsid w:val="006857F5"/>
    <w:rsid w:val="006859B9"/>
    <w:rsid w:val="00686B67"/>
    <w:rsid w:val="00686C3A"/>
    <w:rsid w:val="0068712F"/>
    <w:rsid w:val="00687B66"/>
    <w:rsid w:val="00690A45"/>
    <w:rsid w:val="00690A7E"/>
    <w:rsid w:val="00690C8F"/>
    <w:rsid w:val="00690F6D"/>
    <w:rsid w:val="00691653"/>
    <w:rsid w:val="0069177C"/>
    <w:rsid w:val="00692523"/>
    <w:rsid w:val="0069267B"/>
    <w:rsid w:val="0069298E"/>
    <w:rsid w:val="0069311A"/>
    <w:rsid w:val="006939C0"/>
    <w:rsid w:val="00693B40"/>
    <w:rsid w:val="00693C6E"/>
    <w:rsid w:val="00693EAE"/>
    <w:rsid w:val="00693EFD"/>
    <w:rsid w:val="006942E3"/>
    <w:rsid w:val="00694332"/>
    <w:rsid w:val="0069486E"/>
    <w:rsid w:val="00694B09"/>
    <w:rsid w:val="0069590D"/>
    <w:rsid w:val="00695E3E"/>
    <w:rsid w:val="006961CB"/>
    <w:rsid w:val="006965FD"/>
    <w:rsid w:val="006968E8"/>
    <w:rsid w:val="00696E4B"/>
    <w:rsid w:val="006970F0"/>
    <w:rsid w:val="006A06B4"/>
    <w:rsid w:val="006A0CE0"/>
    <w:rsid w:val="006A10DD"/>
    <w:rsid w:val="006A12E9"/>
    <w:rsid w:val="006A1439"/>
    <w:rsid w:val="006A191A"/>
    <w:rsid w:val="006A1C98"/>
    <w:rsid w:val="006A23F9"/>
    <w:rsid w:val="006A2680"/>
    <w:rsid w:val="006A2A90"/>
    <w:rsid w:val="006A2AC7"/>
    <w:rsid w:val="006A2F66"/>
    <w:rsid w:val="006A2F93"/>
    <w:rsid w:val="006A2FF1"/>
    <w:rsid w:val="006A39A9"/>
    <w:rsid w:val="006A39DA"/>
    <w:rsid w:val="006A3E32"/>
    <w:rsid w:val="006A43E4"/>
    <w:rsid w:val="006A4439"/>
    <w:rsid w:val="006A4B7F"/>
    <w:rsid w:val="006A4E98"/>
    <w:rsid w:val="006A527A"/>
    <w:rsid w:val="006A5922"/>
    <w:rsid w:val="006A71C8"/>
    <w:rsid w:val="006A753B"/>
    <w:rsid w:val="006A762A"/>
    <w:rsid w:val="006A7721"/>
    <w:rsid w:val="006A7974"/>
    <w:rsid w:val="006A7B3F"/>
    <w:rsid w:val="006B013C"/>
    <w:rsid w:val="006B0153"/>
    <w:rsid w:val="006B08CB"/>
    <w:rsid w:val="006B0D7D"/>
    <w:rsid w:val="006B0DBF"/>
    <w:rsid w:val="006B0EEB"/>
    <w:rsid w:val="006B102B"/>
    <w:rsid w:val="006B1424"/>
    <w:rsid w:val="006B19C9"/>
    <w:rsid w:val="006B1EE4"/>
    <w:rsid w:val="006B206D"/>
    <w:rsid w:val="006B2FF7"/>
    <w:rsid w:val="006B30D5"/>
    <w:rsid w:val="006B3970"/>
    <w:rsid w:val="006B3BFE"/>
    <w:rsid w:val="006B442C"/>
    <w:rsid w:val="006B4445"/>
    <w:rsid w:val="006B4DFF"/>
    <w:rsid w:val="006B4E3D"/>
    <w:rsid w:val="006B5063"/>
    <w:rsid w:val="006B50EA"/>
    <w:rsid w:val="006B5525"/>
    <w:rsid w:val="006B555A"/>
    <w:rsid w:val="006B6094"/>
    <w:rsid w:val="006B633C"/>
    <w:rsid w:val="006B64CC"/>
    <w:rsid w:val="006B676B"/>
    <w:rsid w:val="006B6914"/>
    <w:rsid w:val="006B6AA3"/>
    <w:rsid w:val="006B7880"/>
    <w:rsid w:val="006B7A11"/>
    <w:rsid w:val="006B7B27"/>
    <w:rsid w:val="006B7E0B"/>
    <w:rsid w:val="006B7E3E"/>
    <w:rsid w:val="006C0108"/>
    <w:rsid w:val="006C0168"/>
    <w:rsid w:val="006C0447"/>
    <w:rsid w:val="006C074C"/>
    <w:rsid w:val="006C082C"/>
    <w:rsid w:val="006C08CE"/>
    <w:rsid w:val="006C0A83"/>
    <w:rsid w:val="006C0A89"/>
    <w:rsid w:val="006C0D46"/>
    <w:rsid w:val="006C0EE6"/>
    <w:rsid w:val="006C1C9B"/>
    <w:rsid w:val="006C1EA7"/>
    <w:rsid w:val="006C1EB3"/>
    <w:rsid w:val="006C2158"/>
    <w:rsid w:val="006C26C3"/>
    <w:rsid w:val="006C26C6"/>
    <w:rsid w:val="006C2732"/>
    <w:rsid w:val="006C2780"/>
    <w:rsid w:val="006C2CA4"/>
    <w:rsid w:val="006C2CBE"/>
    <w:rsid w:val="006C3563"/>
    <w:rsid w:val="006C3680"/>
    <w:rsid w:val="006C3E75"/>
    <w:rsid w:val="006C40ED"/>
    <w:rsid w:val="006C5365"/>
    <w:rsid w:val="006C541C"/>
    <w:rsid w:val="006C5BA9"/>
    <w:rsid w:val="006C5E93"/>
    <w:rsid w:val="006C5F76"/>
    <w:rsid w:val="006C6462"/>
    <w:rsid w:val="006D04C4"/>
    <w:rsid w:val="006D0761"/>
    <w:rsid w:val="006D0EA2"/>
    <w:rsid w:val="006D1340"/>
    <w:rsid w:val="006D1A86"/>
    <w:rsid w:val="006D2428"/>
    <w:rsid w:val="006D26C1"/>
    <w:rsid w:val="006D2B38"/>
    <w:rsid w:val="006D3454"/>
    <w:rsid w:val="006D3456"/>
    <w:rsid w:val="006D41CE"/>
    <w:rsid w:val="006D4378"/>
    <w:rsid w:val="006D49AF"/>
    <w:rsid w:val="006D4EE6"/>
    <w:rsid w:val="006D5077"/>
    <w:rsid w:val="006D5158"/>
    <w:rsid w:val="006D56FD"/>
    <w:rsid w:val="006D59F5"/>
    <w:rsid w:val="006D5F78"/>
    <w:rsid w:val="006D65D2"/>
    <w:rsid w:val="006D65FA"/>
    <w:rsid w:val="006D6C0F"/>
    <w:rsid w:val="006D6C27"/>
    <w:rsid w:val="006D6C92"/>
    <w:rsid w:val="006D6DB3"/>
    <w:rsid w:val="006D6DCC"/>
    <w:rsid w:val="006D6E5B"/>
    <w:rsid w:val="006D7228"/>
    <w:rsid w:val="006D7569"/>
    <w:rsid w:val="006D7B6D"/>
    <w:rsid w:val="006D7C1B"/>
    <w:rsid w:val="006D7E6F"/>
    <w:rsid w:val="006D7EE6"/>
    <w:rsid w:val="006E020E"/>
    <w:rsid w:val="006E027D"/>
    <w:rsid w:val="006E03A2"/>
    <w:rsid w:val="006E058A"/>
    <w:rsid w:val="006E06E2"/>
    <w:rsid w:val="006E0710"/>
    <w:rsid w:val="006E14EE"/>
    <w:rsid w:val="006E161B"/>
    <w:rsid w:val="006E1842"/>
    <w:rsid w:val="006E1CE4"/>
    <w:rsid w:val="006E1F34"/>
    <w:rsid w:val="006E21FD"/>
    <w:rsid w:val="006E2E59"/>
    <w:rsid w:val="006E2F73"/>
    <w:rsid w:val="006E392C"/>
    <w:rsid w:val="006E3A0F"/>
    <w:rsid w:val="006E3E3E"/>
    <w:rsid w:val="006E49A9"/>
    <w:rsid w:val="006E54DA"/>
    <w:rsid w:val="006E6155"/>
    <w:rsid w:val="006E6AC1"/>
    <w:rsid w:val="006E72D9"/>
    <w:rsid w:val="006E7451"/>
    <w:rsid w:val="006E7AC0"/>
    <w:rsid w:val="006F0661"/>
    <w:rsid w:val="006F0686"/>
    <w:rsid w:val="006F0805"/>
    <w:rsid w:val="006F0ACA"/>
    <w:rsid w:val="006F14B6"/>
    <w:rsid w:val="006F175E"/>
    <w:rsid w:val="006F1AC6"/>
    <w:rsid w:val="006F1D53"/>
    <w:rsid w:val="006F1E03"/>
    <w:rsid w:val="006F1F03"/>
    <w:rsid w:val="006F2ABA"/>
    <w:rsid w:val="006F2E06"/>
    <w:rsid w:val="006F2F62"/>
    <w:rsid w:val="006F3854"/>
    <w:rsid w:val="006F437F"/>
    <w:rsid w:val="006F58F0"/>
    <w:rsid w:val="006F5BB3"/>
    <w:rsid w:val="006F5DA7"/>
    <w:rsid w:val="006F5DE9"/>
    <w:rsid w:val="006F5ED9"/>
    <w:rsid w:val="006F61B6"/>
    <w:rsid w:val="006F6C71"/>
    <w:rsid w:val="006F6D80"/>
    <w:rsid w:val="006F6F55"/>
    <w:rsid w:val="006F779C"/>
    <w:rsid w:val="006F7A45"/>
    <w:rsid w:val="006F7FB8"/>
    <w:rsid w:val="007000C9"/>
    <w:rsid w:val="00700286"/>
    <w:rsid w:val="0070054C"/>
    <w:rsid w:val="00700A00"/>
    <w:rsid w:val="007016E1"/>
    <w:rsid w:val="00701CA3"/>
    <w:rsid w:val="00701CAE"/>
    <w:rsid w:val="0070224A"/>
    <w:rsid w:val="0070230C"/>
    <w:rsid w:val="00702551"/>
    <w:rsid w:val="00703284"/>
    <w:rsid w:val="0070357E"/>
    <w:rsid w:val="007038D2"/>
    <w:rsid w:val="00703ED8"/>
    <w:rsid w:val="007040C2"/>
    <w:rsid w:val="007040CC"/>
    <w:rsid w:val="00704166"/>
    <w:rsid w:val="0070417D"/>
    <w:rsid w:val="007043C0"/>
    <w:rsid w:val="007044D2"/>
    <w:rsid w:val="007045AB"/>
    <w:rsid w:val="00704925"/>
    <w:rsid w:val="00704EB7"/>
    <w:rsid w:val="00705E86"/>
    <w:rsid w:val="00706045"/>
    <w:rsid w:val="0070691E"/>
    <w:rsid w:val="00706C20"/>
    <w:rsid w:val="007076DA"/>
    <w:rsid w:val="00707C4E"/>
    <w:rsid w:val="00707CB0"/>
    <w:rsid w:val="0071064D"/>
    <w:rsid w:val="00711599"/>
    <w:rsid w:val="00711B4A"/>
    <w:rsid w:val="00711C5C"/>
    <w:rsid w:val="00711EDC"/>
    <w:rsid w:val="00712790"/>
    <w:rsid w:val="007127D5"/>
    <w:rsid w:val="00712A77"/>
    <w:rsid w:val="00712D80"/>
    <w:rsid w:val="00712E0E"/>
    <w:rsid w:val="0071314B"/>
    <w:rsid w:val="00713A7F"/>
    <w:rsid w:val="00713EA8"/>
    <w:rsid w:val="0071402F"/>
    <w:rsid w:val="00714AAF"/>
    <w:rsid w:val="00715777"/>
    <w:rsid w:val="007157A0"/>
    <w:rsid w:val="00715FC9"/>
    <w:rsid w:val="007160B4"/>
    <w:rsid w:val="0071661C"/>
    <w:rsid w:val="0071681C"/>
    <w:rsid w:val="0071715E"/>
    <w:rsid w:val="007203C7"/>
    <w:rsid w:val="00720D55"/>
    <w:rsid w:val="007223F6"/>
    <w:rsid w:val="007230F0"/>
    <w:rsid w:val="00723F39"/>
    <w:rsid w:val="00723FD3"/>
    <w:rsid w:val="0072467C"/>
    <w:rsid w:val="00724929"/>
    <w:rsid w:val="00724CAC"/>
    <w:rsid w:val="00724D1E"/>
    <w:rsid w:val="007250ED"/>
    <w:rsid w:val="00725747"/>
    <w:rsid w:val="0072579D"/>
    <w:rsid w:val="00725A29"/>
    <w:rsid w:val="00725D14"/>
    <w:rsid w:val="00725ECC"/>
    <w:rsid w:val="00725F65"/>
    <w:rsid w:val="007265B4"/>
    <w:rsid w:val="00726DAF"/>
    <w:rsid w:val="00726DFF"/>
    <w:rsid w:val="00727255"/>
    <w:rsid w:val="007275E2"/>
    <w:rsid w:val="00727E9F"/>
    <w:rsid w:val="00730F69"/>
    <w:rsid w:val="00731041"/>
    <w:rsid w:val="0073249D"/>
    <w:rsid w:val="007325B1"/>
    <w:rsid w:val="00732B3B"/>
    <w:rsid w:val="00732EF2"/>
    <w:rsid w:val="00733544"/>
    <w:rsid w:val="00733560"/>
    <w:rsid w:val="00733855"/>
    <w:rsid w:val="00733A9A"/>
    <w:rsid w:val="00733B1D"/>
    <w:rsid w:val="00734156"/>
    <w:rsid w:val="00735510"/>
    <w:rsid w:val="00735574"/>
    <w:rsid w:val="0073565E"/>
    <w:rsid w:val="0073578F"/>
    <w:rsid w:val="007359E9"/>
    <w:rsid w:val="00735AE4"/>
    <w:rsid w:val="00735BD9"/>
    <w:rsid w:val="007361A1"/>
    <w:rsid w:val="00736260"/>
    <w:rsid w:val="00736305"/>
    <w:rsid w:val="00736390"/>
    <w:rsid w:val="007363EF"/>
    <w:rsid w:val="007364E4"/>
    <w:rsid w:val="00736B2A"/>
    <w:rsid w:val="00736B32"/>
    <w:rsid w:val="00736BD9"/>
    <w:rsid w:val="00736E8A"/>
    <w:rsid w:val="007376E0"/>
    <w:rsid w:val="007377EB"/>
    <w:rsid w:val="007400C2"/>
    <w:rsid w:val="007406A4"/>
    <w:rsid w:val="00741177"/>
    <w:rsid w:val="0074131B"/>
    <w:rsid w:val="00741C76"/>
    <w:rsid w:val="007424E0"/>
    <w:rsid w:val="0074278E"/>
    <w:rsid w:val="00742AFE"/>
    <w:rsid w:val="00742BE0"/>
    <w:rsid w:val="00742E31"/>
    <w:rsid w:val="007433CE"/>
    <w:rsid w:val="007433DC"/>
    <w:rsid w:val="0074369B"/>
    <w:rsid w:val="007439DC"/>
    <w:rsid w:val="00744517"/>
    <w:rsid w:val="00744602"/>
    <w:rsid w:val="00744AAF"/>
    <w:rsid w:val="00744B36"/>
    <w:rsid w:val="007450C5"/>
    <w:rsid w:val="00745487"/>
    <w:rsid w:val="0074552E"/>
    <w:rsid w:val="007457E3"/>
    <w:rsid w:val="00745B3B"/>
    <w:rsid w:val="007461E4"/>
    <w:rsid w:val="007463E6"/>
    <w:rsid w:val="0074698E"/>
    <w:rsid w:val="007470AF"/>
    <w:rsid w:val="007475F3"/>
    <w:rsid w:val="00747B98"/>
    <w:rsid w:val="00750142"/>
    <w:rsid w:val="00750169"/>
    <w:rsid w:val="007502CB"/>
    <w:rsid w:val="0075155D"/>
    <w:rsid w:val="0075245B"/>
    <w:rsid w:val="00752E1A"/>
    <w:rsid w:val="00753696"/>
    <w:rsid w:val="00753EE3"/>
    <w:rsid w:val="00754082"/>
    <w:rsid w:val="007540E3"/>
    <w:rsid w:val="007543D9"/>
    <w:rsid w:val="007544CF"/>
    <w:rsid w:val="00754581"/>
    <w:rsid w:val="00754644"/>
    <w:rsid w:val="007546D0"/>
    <w:rsid w:val="00754A4F"/>
    <w:rsid w:val="00754CC8"/>
    <w:rsid w:val="00754FCA"/>
    <w:rsid w:val="0075526B"/>
    <w:rsid w:val="0075545B"/>
    <w:rsid w:val="0075599E"/>
    <w:rsid w:val="007564D6"/>
    <w:rsid w:val="00756B48"/>
    <w:rsid w:val="00756E57"/>
    <w:rsid w:val="00756F02"/>
    <w:rsid w:val="00757448"/>
    <w:rsid w:val="00757768"/>
    <w:rsid w:val="00757C55"/>
    <w:rsid w:val="007602F4"/>
    <w:rsid w:val="007608AA"/>
    <w:rsid w:val="007611B9"/>
    <w:rsid w:val="007615B0"/>
    <w:rsid w:val="00761C8C"/>
    <w:rsid w:val="007620AE"/>
    <w:rsid w:val="00762790"/>
    <w:rsid w:val="00762B74"/>
    <w:rsid w:val="00762CD7"/>
    <w:rsid w:val="00762D7A"/>
    <w:rsid w:val="00762F9F"/>
    <w:rsid w:val="0076397B"/>
    <w:rsid w:val="00763BDD"/>
    <w:rsid w:val="00763F89"/>
    <w:rsid w:val="007643C5"/>
    <w:rsid w:val="00764544"/>
    <w:rsid w:val="00764A70"/>
    <w:rsid w:val="00764B57"/>
    <w:rsid w:val="00764BA5"/>
    <w:rsid w:val="00765005"/>
    <w:rsid w:val="00765B8E"/>
    <w:rsid w:val="00765EEF"/>
    <w:rsid w:val="007660CA"/>
    <w:rsid w:val="00766254"/>
    <w:rsid w:val="00766462"/>
    <w:rsid w:val="00766B9E"/>
    <w:rsid w:val="00766CD3"/>
    <w:rsid w:val="00767C3B"/>
    <w:rsid w:val="00767D9D"/>
    <w:rsid w:val="0077070D"/>
    <w:rsid w:val="0077078F"/>
    <w:rsid w:val="007707DE"/>
    <w:rsid w:val="00770AED"/>
    <w:rsid w:val="007714BD"/>
    <w:rsid w:val="007715EA"/>
    <w:rsid w:val="00772513"/>
    <w:rsid w:val="007730C6"/>
    <w:rsid w:val="00773811"/>
    <w:rsid w:val="0077437F"/>
    <w:rsid w:val="00774803"/>
    <w:rsid w:val="00774D8F"/>
    <w:rsid w:val="00775B4F"/>
    <w:rsid w:val="0077699B"/>
    <w:rsid w:val="00776BE5"/>
    <w:rsid w:val="00776D0D"/>
    <w:rsid w:val="00776DFD"/>
    <w:rsid w:val="0077708C"/>
    <w:rsid w:val="00777AC9"/>
    <w:rsid w:val="00777B1C"/>
    <w:rsid w:val="007808F7"/>
    <w:rsid w:val="00780D60"/>
    <w:rsid w:val="00780EE0"/>
    <w:rsid w:val="00781603"/>
    <w:rsid w:val="007827B2"/>
    <w:rsid w:val="00782CE2"/>
    <w:rsid w:val="0078333E"/>
    <w:rsid w:val="007833FD"/>
    <w:rsid w:val="007834FB"/>
    <w:rsid w:val="00783CA7"/>
    <w:rsid w:val="00783E03"/>
    <w:rsid w:val="00784271"/>
    <w:rsid w:val="00784642"/>
    <w:rsid w:val="00784C17"/>
    <w:rsid w:val="007859C1"/>
    <w:rsid w:val="00785AEA"/>
    <w:rsid w:val="00785D10"/>
    <w:rsid w:val="00785F6D"/>
    <w:rsid w:val="0078620C"/>
    <w:rsid w:val="007866A4"/>
    <w:rsid w:val="00786942"/>
    <w:rsid w:val="00786D9A"/>
    <w:rsid w:val="0078766C"/>
    <w:rsid w:val="00787E1C"/>
    <w:rsid w:val="007912FF"/>
    <w:rsid w:val="007913A1"/>
    <w:rsid w:val="00791CBE"/>
    <w:rsid w:val="007921C7"/>
    <w:rsid w:val="00792685"/>
    <w:rsid w:val="00792AC2"/>
    <w:rsid w:val="00792AF6"/>
    <w:rsid w:val="00792B07"/>
    <w:rsid w:val="007931EE"/>
    <w:rsid w:val="00793212"/>
    <w:rsid w:val="00793517"/>
    <w:rsid w:val="0079375A"/>
    <w:rsid w:val="0079385A"/>
    <w:rsid w:val="00794302"/>
    <w:rsid w:val="00794397"/>
    <w:rsid w:val="00794A5A"/>
    <w:rsid w:val="00794C6D"/>
    <w:rsid w:val="00795203"/>
    <w:rsid w:val="00795214"/>
    <w:rsid w:val="007954BE"/>
    <w:rsid w:val="00795615"/>
    <w:rsid w:val="00795AF1"/>
    <w:rsid w:val="00795F4C"/>
    <w:rsid w:val="007960CD"/>
    <w:rsid w:val="00796731"/>
    <w:rsid w:val="00796E93"/>
    <w:rsid w:val="00797E2C"/>
    <w:rsid w:val="007A0217"/>
    <w:rsid w:val="007A04B3"/>
    <w:rsid w:val="007A1699"/>
    <w:rsid w:val="007A1EE1"/>
    <w:rsid w:val="007A205F"/>
    <w:rsid w:val="007A2643"/>
    <w:rsid w:val="007A2F8C"/>
    <w:rsid w:val="007A3151"/>
    <w:rsid w:val="007A31F2"/>
    <w:rsid w:val="007A32FD"/>
    <w:rsid w:val="007A33C3"/>
    <w:rsid w:val="007A4CEE"/>
    <w:rsid w:val="007A5117"/>
    <w:rsid w:val="007A5135"/>
    <w:rsid w:val="007A51A9"/>
    <w:rsid w:val="007A5D33"/>
    <w:rsid w:val="007A5D84"/>
    <w:rsid w:val="007A5DCC"/>
    <w:rsid w:val="007A63AC"/>
    <w:rsid w:val="007A63DB"/>
    <w:rsid w:val="007A6697"/>
    <w:rsid w:val="007A69BF"/>
    <w:rsid w:val="007A6EA1"/>
    <w:rsid w:val="007A7136"/>
    <w:rsid w:val="007A7198"/>
    <w:rsid w:val="007A7587"/>
    <w:rsid w:val="007A776F"/>
    <w:rsid w:val="007A7C03"/>
    <w:rsid w:val="007A7F1B"/>
    <w:rsid w:val="007B0AB3"/>
    <w:rsid w:val="007B0C7B"/>
    <w:rsid w:val="007B11B4"/>
    <w:rsid w:val="007B1215"/>
    <w:rsid w:val="007B13B9"/>
    <w:rsid w:val="007B1605"/>
    <w:rsid w:val="007B2C59"/>
    <w:rsid w:val="007B2FC2"/>
    <w:rsid w:val="007B322E"/>
    <w:rsid w:val="007B422F"/>
    <w:rsid w:val="007B4636"/>
    <w:rsid w:val="007B5628"/>
    <w:rsid w:val="007B5F22"/>
    <w:rsid w:val="007B5FED"/>
    <w:rsid w:val="007B7763"/>
    <w:rsid w:val="007B79BA"/>
    <w:rsid w:val="007B7F15"/>
    <w:rsid w:val="007C0112"/>
    <w:rsid w:val="007C0246"/>
    <w:rsid w:val="007C0687"/>
    <w:rsid w:val="007C06B0"/>
    <w:rsid w:val="007C083F"/>
    <w:rsid w:val="007C0B24"/>
    <w:rsid w:val="007C1C6F"/>
    <w:rsid w:val="007C1F98"/>
    <w:rsid w:val="007C234B"/>
    <w:rsid w:val="007C2D78"/>
    <w:rsid w:val="007C2E06"/>
    <w:rsid w:val="007C2E65"/>
    <w:rsid w:val="007C359D"/>
    <w:rsid w:val="007C36DD"/>
    <w:rsid w:val="007C3D00"/>
    <w:rsid w:val="007C40FB"/>
    <w:rsid w:val="007C413A"/>
    <w:rsid w:val="007C44AC"/>
    <w:rsid w:val="007C4B63"/>
    <w:rsid w:val="007C4D0E"/>
    <w:rsid w:val="007C4D77"/>
    <w:rsid w:val="007C4F1A"/>
    <w:rsid w:val="007C4FC3"/>
    <w:rsid w:val="007C77EA"/>
    <w:rsid w:val="007C789C"/>
    <w:rsid w:val="007C7C91"/>
    <w:rsid w:val="007D019A"/>
    <w:rsid w:val="007D0412"/>
    <w:rsid w:val="007D043A"/>
    <w:rsid w:val="007D0EF6"/>
    <w:rsid w:val="007D0FBC"/>
    <w:rsid w:val="007D1838"/>
    <w:rsid w:val="007D18C1"/>
    <w:rsid w:val="007D31B0"/>
    <w:rsid w:val="007D3388"/>
    <w:rsid w:val="007D3794"/>
    <w:rsid w:val="007D37AE"/>
    <w:rsid w:val="007D3B2B"/>
    <w:rsid w:val="007D4443"/>
    <w:rsid w:val="007D4767"/>
    <w:rsid w:val="007D4775"/>
    <w:rsid w:val="007D4C89"/>
    <w:rsid w:val="007D4D2F"/>
    <w:rsid w:val="007D59B8"/>
    <w:rsid w:val="007D5D92"/>
    <w:rsid w:val="007D66C3"/>
    <w:rsid w:val="007D6A72"/>
    <w:rsid w:val="007D74DF"/>
    <w:rsid w:val="007E00AB"/>
    <w:rsid w:val="007E03E5"/>
    <w:rsid w:val="007E06A6"/>
    <w:rsid w:val="007E0C78"/>
    <w:rsid w:val="007E0D8B"/>
    <w:rsid w:val="007E12B7"/>
    <w:rsid w:val="007E283A"/>
    <w:rsid w:val="007E296E"/>
    <w:rsid w:val="007E3090"/>
    <w:rsid w:val="007E30A2"/>
    <w:rsid w:val="007E30CA"/>
    <w:rsid w:val="007E3529"/>
    <w:rsid w:val="007E385C"/>
    <w:rsid w:val="007E3886"/>
    <w:rsid w:val="007E3A62"/>
    <w:rsid w:val="007E3C78"/>
    <w:rsid w:val="007E4628"/>
    <w:rsid w:val="007E4FBE"/>
    <w:rsid w:val="007E52DB"/>
    <w:rsid w:val="007E59C3"/>
    <w:rsid w:val="007E5DE2"/>
    <w:rsid w:val="007E5FBB"/>
    <w:rsid w:val="007E6090"/>
    <w:rsid w:val="007E712A"/>
    <w:rsid w:val="007E7263"/>
    <w:rsid w:val="007E72D1"/>
    <w:rsid w:val="007E7640"/>
    <w:rsid w:val="007E7E0E"/>
    <w:rsid w:val="007E7E44"/>
    <w:rsid w:val="007F118C"/>
    <w:rsid w:val="007F1489"/>
    <w:rsid w:val="007F1C7D"/>
    <w:rsid w:val="007F246B"/>
    <w:rsid w:val="007F2AF0"/>
    <w:rsid w:val="007F332E"/>
    <w:rsid w:val="007F35D5"/>
    <w:rsid w:val="007F35FC"/>
    <w:rsid w:val="007F39A3"/>
    <w:rsid w:val="007F3F36"/>
    <w:rsid w:val="007F49D7"/>
    <w:rsid w:val="007F4C66"/>
    <w:rsid w:val="007F53AC"/>
    <w:rsid w:val="007F589C"/>
    <w:rsid w:val="007F5A0F"/>
    <w:rsid w:val="007F5C18"/>
    <w:rsid w:val="007F6552"/>
    <w:rsid w:val="007F657A"/>
    <w:rsid w:val="007F685D"/>
    <w:rsid w:val="007F74CF"/>
    <w:rsid w:val="007F75DB"/>
    <w:rsid w:val="007F7E0F"/>
    <w:rsid w:val="007F7F7C"/>
    <w:rsid w:val="008002BA"/>
    <w:rsid w:val="0080038E"/>
    <w:rsid w:val="0080077C"/>
    <w:rsid w:val="0080103F"/>
    <w:rsid w:val="0080150C"/>
    <w:rsid w:val="0080298D"/>
    <w:rsid w:val="00802DF0"/>
    <w:rsid w:val="00802E94"/>
    <w:rsid w:val="00802FDC"/>
    <w:rsid w:val="008037DD"/>
    <w:rsid w:val="0080386E"/>
    <w:rsid w:val="00803A38"/>
    <w:rsid w:val="00803E98"/>
    <w:rsid w:val="0080430E"/>
    <w:rsid w:val="00804F23"/>
    <w:rsid w:val="00805473"/>
    <w:rsid w:val="00805740"/>
    <w:rsid w:val="00805C40"/>
    <w:rsid w:val="00805D6D"/>
    <w:rsid w:val="00805EF4"/>
    <w:rsid w:val="008061C3"/>
    <w:rsid w:val="00806B79"/>
    <w:rsid w:val="00806FC6"/>
    <w:rsid w:val="00807694"/>
    <w:rsid w:val="00807C57"/>
    <w:rsid w:val="0081002E"/>
    <w:rsid w:val="00810063"/>
    <w:rsid w:val="0081033F"/>
    <w:rsid w:val="008107A1"/>
    <w:rsid w:val="00810A02"/>
    <w:rsid w:val="00810AA4"/>
    <w:rsid w:val="00810D48"/>
    <w:rsid w:val="008118EC"/>
    <w:rsid w:val="00811DFD"/>
    <w:rsid w:val="008129DE"/>
    <w:rsid w:val="00812D49"/>
    <w:rsid w:val="00813666"/>
    <w:rsid w:val="008138B2"/>
    <w:rsid w:val="00813972"/>
    <w:rsid w:val="00813AAF"/>
    <w:rsid w:val="0081442E"/>
    <w:rsid w:val="00814872"/>
    <w:rsid w:val="00814D06"/>
    <w:rsid w:val="008152DA"/>
    <w:rsid w:val="00815350"/>
    <w:rsid w:val="0081536E"/>
    <w:rsid w:val="008153BF"/>
    <w:rsid w:val="008154C6"/>
    <w:rsid w:val="00815B6A"/>
    <w:rsid w:val="00816000"/>
    <w:rsid w:val="008161A9"/>
    <w:rsid w:val="008163D7"/>
    <w:rsid w:val="00816939"/>
    <w:rsid w:val="00816BEC"/>
    <w:rsid w:val="00817A8A"/>
    <w:rsid w:val="00817F5B"/>
    <w:rsid w:val="00820054"/>
    <w:rsid w:val="00820378"/>
    <w:rsid w:val="00820475"/>
    <w:rsid w:val="0082066D"/>
    <w:rsid w:val="00820B9B"/>
    <w:rsid w:val="00820DFD"/>
    <w:rsid w:val="00821264"/>
    <w:rsid w:val="008218CD"/>
    <w:rsid w:val="00821A88"/>
    <w:rsid w:val="00821FD2"/>
    <w:rsid w:val="0082263A"/>
    <w:rsid w:val="00822B2B"/>
    <w:rsid w:val="008230F4"/>
    <w:rsid w:val="00823AEE"/>
    <w:rsid w:val="00823F1D"/>
    <w:rsid w:val="008243B9"/>
    <w:rsid w:val="008248A1"/>
    <w:rsid w:val="008249E2"/>
    <w:rsid w:val="00824D16"/>
    <w:rsid w:val="00824F06"/>
    <w:rsid w:val="0082510F"/>
    <w:rsid w:val="008253A1"/>
    <w:rsid w:val="008255F4"/>
    <w:rsid w:val="00825EFF"/>
    <w:rsid w:val="0082688F"/>
    <w:rsid w:val="0082772D"/>
    <w:rsid w:val="0082777E"/>
    <w:rsid w:val="00827838"/>
    <w:rsid w:val="00830039"/>
    <w:rsid w:val="0083052C"/>
    <w:rsid w:val="00830A36"/>
    <w:rsid w:val="00831184"/>
    <w:rsid w:val="00831E35"/>
    <w:rsid w:val="0083299C"/>
    <w:rsid w:val="00832A43"/>
    <w:rsid w:val="00832B05"/>
    <w:rsid w:val="00832B35"/>
    <w:rsid w:val="00832B5A"/>
    <w:rsid w:val="00833099"/>
    <w:rsid w:val="008335A2"/>
    <w:rsid w:val="008347FF"/>
    <w:rsid w:val="0083488D"/>
    <w:rsid w:val="00834B34"/>
    <w:rsid w:val="00834C7C"/>
    <w:rsid w:val="00835040"/>
    <w:rsid w:val="00835726"/>
    <w:rsid w:val="008358DC"/>
    <w:rsid w:val="00835D0D"/>
    <w:rsid w:val="0083631E"/>
    <w:rsid w:val="008363AF"/>
    <w:rsid w:val="00836565"/>
    <w:rsid w:val="00836662"/>
    <w:rsid w:val="00836CFB"/>
    <w:rsid w:val="00837197"/>
    <w:rsid w:val="00837266"/>
    <w:rsid w:val="00837C7B"/>
    <w:rsid w:val="008409E1"/>
    <w:rsid w:val="00840EF2"/>
    <w:rsid w:val="00841230"/>
    <w:rsid w:val="0084168B"/>
    <w:rsid w:val="00842868"/>
    <w:rsid w:val="008430E4"/>
    <w:rsid w:val="008430EB"/>
    <w:rsid w:val="008432BF"/>
    <w:rsid w:val="008432FB"/>
    <w:rsid w:val="00843A95"/>
    <w:rsid w:val="00843D53"/>
    <w:rsid w:val="008441A4"/>
    <w:rsid w:val="00844456"/>
    <w:rsid w:val="00844469"/>
    <w:rsid w:val="00844953"/>
    <w:rsid w:val="0084499D"/>
    <w:rsid w:val="008449B0"/>
    <w:rsid w:val="00845192"/>
    <w:rsid w:val="008455F0"/>
    <w:rsid w:val="008456EA"/>
    <w:rsid w:val="00845C39"/>
    <w:rsid w:val="00845D3D"/>
    <w:rsid w:val="00846445"/>
    <w:rsid w:val="008465D3"/>
    <w:rsid w:val="0084695E"/>
    <w:rsid w:val="00846A57"/>
    <w:rsid w:val="00846D15"/>
    <w:rsid w:val="008472F1"/>
    <w:rsid w:val="0084787F"/>
    <w:rsid w:val="00847A9B"/>
    <w:rsid w:val="0085068B"/>
    <w:rsid w:val="00850F57"/>
    <w:rsid w:val="00852246"/>
    <w:rsid w:val="008527F1"/>
    <w:rsid w:val="00852D03"/>
    <w:rsid w:val="00853406"/>
    <w:rsid w:val="0085392D"/>
    <w:rsid w:val="00853A7F"/>
    <w:rsid w:val="00853EC4"/>
    <w:rsid w:val="00853FDC"/>
    <w:rsid w:val="00854543"/>
    <w:rsid w:val="00854B67"/>
    <w:rsid w:val="00854F22"/>
    <w:rsid w:val="0085629A"/>
    <w:rsid w:val="0085633F"/>
    <w:rsid w:val="008563C0"/>
    <w:rsid w:val="00856569"/>
    <w:rsid w:val="008569F4"/>
    <w:rsid w:val="00856CD2"/>
    <w:rsid w:val="00856F08"/>
    <w:rsid w:val="0085724B"/>
    <w:rsid w:val="008577CC"/>
    <w:rsid w:val="008600C6"/>
    <w:rsid w:val="00860482"/>
    <w:rsid w:val="00860655"/>
    <w:rsid w:val="00860699"/>
    <w:rsid w:val="00860BC0"/>
    <w:rsid w:val="00861316"/>
    <w:rsid w:val="008615BA"/>
    <w:rsid w:val="00861A0E"/>
    <w:rsid w:val="00861E25"/>
    <w:rsid w:val="00862BC9"/>
    <w:rsid w:val="00862E7F"/>
    <w:rsid w:val="008630BB"/>
    <w:rsid w:val="00864645"/>
    <w:rsid w:val="00865369"/>
    <w:rsid w:val="008654F1"/>
    <w:rsid w:val="00865EF1"/>
    <w:rsid w:val="00865FFB"/>
    <w:rsid w:val="00866554"/>
    <w:rsid w:val="0086714F"/>
    <w:rsid w:val="008674EF"/>
    <w:rsid w:val="00867A2F"/>
    <w:rsid w:val="00870346"/>
    <w:rsid w:val="00870356"/>
    <w:rsid w:val="00870418"/>
    <w:rsid w:val="008704E6"/>
    <w:rsid w:val="0087063B"/>
    <w:rsid w:val="00871226"/>
    <w:rsid w:val="00871816"/>
    <w:rsid w:val="00871941"/>
    <w:rsid w:val="008729FD"/>
    <w:rsid w:val="00872FD0"/>
    <w:rsid w:val="0087361D"/>
    <w:rsid w:val="00873A0A"/>
    <w:rsid w:val="00873B84"/>
    <w:rsid w:val="00874063"/>
    <w:rsid w:val="0087439E"/>
    <w:rsid w:val="00874664"/>
    <w:rsid w:val="00874C47"/>
    <w:rsid w:val="00874CB3"/>
    <w:rsid w:val="00874CD0"/>
    <w:rsid w:val="008752BC"/>
    <w:rsid w:val="008767D6"/>
    <w:rsid w:val="00876EBE"/>
    <w:rsid w:val="00877731"/>
    <w:rsid w:val="00880122"/>
    <w:rsid w:val="00880DC9"/>
    <w:rsid w:val="00880E10"/>
    <w:rsid w:val="0088135D"/>
    <w:rsid w:val="008813D4"/>
    <w:rsid w:val="0088167A"/>
    <w:rsid w:val="00881A94"/>
    <w:rsid w:val="00882483"/>
    <w:rsid w:val="008829D3"/>
    <w:rsid w:val="00882BC3"/>
    <w:rsid w:val="00882D97"/>
    <w:rsid w:val="00883401"/>
    <w:rsid w:val="00883409"/>
    <w:rsid w:val="00883B7F"/>
    <w:rsid w:val="00883F3E"/>
    <w:rsid w:val="008843EE"/>
    <w:rsid w:val="008847F2"/>
    <w:rsid w:val="00884BB7"/>
    <w:rsid w:val="00885091"/>
    <w:rsid w:val="00885FED"/>
    <w:rsid w:val="0088677A"/>
    <w:rsid w:val="008868B7"/>
    <w:rsid w:val="00886B5D"/>
    <w:rsid w:val="008870CB"/>
    <w:rsid w:val="008876FF"/>
    <w:rsid w:val="00887DCC"/>
    <w:rsid w:val="00887FB4"/>
    <w:rsid w:val="00890078"/>
    <w:rsid w:val="008906D4"/>
    <w:rsid w:val="00890A3F"/>
    <w:rsid w:val="0089175D"/>
    <w:rsid w:val="00891B48"/>
    <w:rsid w:val="00891D59"/>
    <w:rsid w:val="00892311"/>
    <w:rsid w:val="00892338"/>
    <w:rsid w:val="00892CFD"/>
    <w:rsid w:val="00892DCA"/>
    <w:rsid w:val="00893813"/>
    <w:rsid w:val="008938C7"/>
    <w:rsid w:val="00893917"/>
    <w:rsid w:val="00893964"/>
    <w:rsid w:val="008939B2"/>
    <w:rsid w:val="00893D1A"/>
    <w:rsid w:val="00894525"/>
    <w:rsid w:val="0089461C"/>
    <w:rsid w:val="0089463A"/>
    <w:rsid w:val="00894BAA"/>
    <w:rsid w:val="00894EC3"/>
    <w:rsid w:val="0089500C"/>
    <w:rsid w:val="008959B3"/>
    <w:rsid w:val="00895AD6"/>
    <w:rsid w:val="00895C2B"/>
    <w:rsid w:val="00895D94"/>
    <w:rsid w:val="008964B4"/>
    <w:rsid w:val="008967C9"/>
    <w:rsid w:val="00896C38"/>
    <w:rsid w:val="00897030"/>
    <w:rsid w:val="00897043"/>
    <w:rsid w:val="00897346"/>
    <w:rsid w:val="008977A9"/>
    <w:rsid w:val="00897927"/>
    <w:rsid w:val="00897C54"/>
    <w:rsid w:val="00897E7C"/>
    <w:rsid w:val="008A008A"/>
    <w:rsid w:val="008A0185"/>
    <w:rsid w:val="008A097C"/>
    <w:rsid w:val="008A0CA8"/>
    <w:rsid w:val="008A0D3C"/>
    <w:rsid w:val="008A1915"/>
    <w:rsid w:val="008A1D79"/>
    <w:rsid w:val="008A200C"/>
    <w:rsid w:val="008A24AC"/>
    <w:rsid w:val="008A2B33"/>
    <w:rsid w:val="008A35B9"/>
    <w:rsid w:val="008A3748"/>
    <w:rsid w:val="008A3869"/>
    <w:rsid w:val="008A3F56"/>
    <w:rsid w:val="008A4026"/>
    <w:rsid w:val="008A4A0E"/>
    <w:rsid w:val="008A4C98"/>
    <w:rsid w:val="008A4DFE"/>
    <w:rsid w:val="008A5720"/>
    <w:rsid w:val="008A59F1"/>
    <w:rsid w:val="008A5CD9"/>
    <w:rsid w:val="008A5E3A"/>
    <w:rsid w:val="008A64F9"/>
    <w:rsid w:val="008A66F7"/>
    <w:rsid w:val="008A6705"/>
    <w:rsid w:val="008A6B8A"/>
    <w:rsid w:val="008A6ED8"/>
    <w:rsid w:val="008A7027"/>
    <w:rsid w:val="008A706E"/>
    <w:rsid w:val="008A79EB"/>
    <w:rsid w:val="008B014E"/>
    <w:rsid w:val="008B06D2"/>
    <w:rsid w:val="008B09DF"/>
    <w:rsid w:val="008B0D38"/>
    <w:rsid w:val="008B0E96"/>
    <w:rsid w:val="008B1328"/>
    <w:rsid w:val="008B1FF5"/>
    <w:rsid w:val="008B21E9"/>
    <w:rsid w:val="008B27C6"/>
    <w:rsid w:val="008B282C"/>
    <w:rsid w:val="008B2CAD"/>
    <w:rsid w:val="008B3010"/>
    <w:rsid w:val="008B35CB"/>
    <w:rsid w:val="008B3859"/>
    <w:rsid w:val="008B3B82"/>
    <w:rsid w:val="008B418D"/>
    <w:rsid w:val="008B46DB"/>
    <w:rsid w:val="008B470F"/>
    <w:rsid w:val="008B4A56"/>
    <w:rsid w:val="008B4ADD"/>
    <w:rsid w:val="008B4C07"/>
    <w:rsid w:val="008B5A2F"/>
    <w:rsid w:val="008B5AE9"/>
    <w:rsid w:val="008B5F01"/>
    <w:rsid w:val="008B5F2B"/>
    <w:rsid w:val="008B67F5"/>
    <w:rsid w:val="008B685E"/>
    <w:rsid w:val="008B6A42"/>
    <w:rsid w:val="008B712A"/>
    <w:rsid w:val="008B73E6"/>
    <w:rsid w:val="008B7B5D"/>
    <w:rsid w:val="008B7F5A"/>
    <w:rsid w:val="008C0345"/>
    <w:rsid w:val="008C0A96"/>
    <w:rsid w:val="008C100B"/>
    <w:rsid w:val="008C1091"/>
    <w:rsid w:val="008C15DB"/>
    <w:rsid w:val="008C16F9"/>
    <w:rsid w:val="008C2106"/>
    <w:rsid w:val="008C26D7"/>
    <w:rsid w:val="008C30D5"/>
    <w:rsid w:val="008C3260"/>
    <w:rsid w:val="008C33FB"/>
    <w:rsid w:val="008C3554"/>
    <w:rsid w:val="008C4456"/>
    <w:rsid w:val="008C4E1D"/>
    <w:rsid w:val="008C5262"/>
    <w:rsid w:val="008C5D79"/>
    <w:rsid w:val="008C5F13"/>
    <w:rsid w:val="008C60B3"/>
    <w:rsid w:val="008C6104"/>
    <w:rsid w:val="008C64C0"/>
    <w:rsid w:val="008C6B83"/>
    <w:rsid w:val="008C703A"/>
    <w:rsid w:val="008C7265"/>
    <w:rsid w:val="008C7CDE"/>
    <w:rsid w:val="008D01D2"/>
    <w:rsid w:val="008D1961"/>
    <w:rsid w:val="008D20D7"/>
    <w:rsid w:val="008D258F"/>
    <w:rsid w:val="008D27FC"/>
    <w:rsid w:val="008D2E8D"/>
    <w:rsid w:val="008D2F61"/>
    <w:rsid w:val="008D2FC7"/>
    <w:rsid w:val="008D3B40"/>
    <w:rsid w:val="008D43B0"/>
    <w:rsid w:val="008D4827"/>
    <w:rsid w:val="008D4B1C"/>
    <w:rsid w:val="008D4F7D"/>
    <w:rsid w:val="008D4FE3"/>
    <w:rsid w:val="008D54FF"/>
    <w:rsid w:val="008D565A"/>
    <w:rsid w:val="008D5755"/>
    <w:rsid w:val="008D5B2E"/>
    <w:rsid w:val="008D5B60"/>
    <w:rsid w:val="008D6634"/>
    <w:rsid w:val="008D68BE"/>
    <w:rsid w:val="008D6926"/>
    <w:rsid w:val="008D6B4F"/>
    <w:rsid w:val="008D6D6A"/>
    <w:rsid w:val="008D7919"/>
    <w:rsid w:val="008D795B"/>
    <w:rsid w:val="008D7AB1"/>
    <w:rsid w:val="008D7AFA"/>
    <w:rsid w:val="008D7B27"/>
    <w:rsid w:val="008E00FA"/>
    <w:rsid w:val="008E1A21"/>
    <w:rsid w:val="008E1E65"/>
    <w:rsid w:val="008E20B0"/>
    <w:rsid w:val="008E2ED6"/>
    <w:rsid w:val="008E3352"/>
    <w:rsid w:val="008E3B83"/>
    <w:rsid w:val="008E3E50"/>
    <w:rsid w:val="008E459A"/>
    <w:rsid w:val="008E4E32"/>
    <w:rsid w:val="008E4FD6"/>
    <w:rsid w:val="008E5A31"/>
    <w:rsid w:val="008E5B5C"/>
    <w:rsid w:val="008E5CA3"/>
    <w:rsid w:val="008E6337"/>
    <w:rsid w:val="008E6799"/>
    <w:rsid w:val="008E6D2B"/>
    <w:rsid w:val="008E7BB0"/>
    <w:rsid w:val="008E7E42"/>
    <w:rsid w:val="008F0097"/>
    <w:rsid w:val="008F03FD"/>
    <w:rsid w:val="008F0BCF"/>
    <w:rsid w:val="008F26E2"/>
    <w:rsid w:val="008F282A"/>
    <w:rsid w:val="008F2838"/>
    <w:rsid w:val="008F2ABF"/>
    <w:rsid w:val="008F3A45"/>
    <w:rsid w:val="008F5074"/>
    <w:rsid w:val="008F57E1"/>
    <w:rsid w:val="008F5BE3"/>
    <w:rsid w:val="008F5BE5"/>
    <w:rsid w:val="008F5F6A"/>
    <w:rsid w:val="008F61BA"/>
    <w:rsid w:val="008F6A48"/>
    <w:rsid w:val="008F6FB0"/>
    <w:rsid w:val="008F700C"/>
    <w:rsid w:val="008F737A"/>
    <w:rsid w:val="008F7754"/>
    <w:rsid w:val="008F7981"/>
    <w:rsid w:val="008F7CEE"/>
    <w:rsid w:val="008F7D0D"/>
    <w:rsid w:val="008F7D71"/>
    <w:rsid w:val="009010ED"/>
    <w:rsid w:val="00901DB7"/>
    <w:rsid w:val="00901F6D"/>
    <w:rsid w:val="0090202B"/>
    <w:rsid w:val="00902619"/>
    <w:rsid w:val="00902FB4"/>
    <w:rsid w:val="0090313C"/>
    <w:rsid w:val="009032B7"/>
    <w:rsid w:val="00903411"/>
    <w:rsid w:val="00903565"/>
    <w:rsid w:val="00903A5C"/>
    <w:rsid w:val="00904072"/>
    <w:rsid w:val="00905EEF"/>
    <w:rsid w:val="00905F3D"/>
    <w:rsid w:val="00906235"/>
    <w:rsid w:val="00906AA4"/>
    <w:rsid w:val="00906B13"/>
    <w:rsid w:val="00906ED4"/>
    <w:rsid w:val="00907393"/>
    <w:rsid w:val="00907394"/>
    <w:rsid w:val="009074C1"/>
    <w:rsid w:val="00907F02"/>
    <w:rsid w:val="00910056"/>
    <w:rsid w:val="0091058F"/>
    <w:rsid w:val="009106D7"/>
    <w:rsid w:val="00910D2F"/>
    <w:rsid w:val="00911772"/>
    <w:rsid w:val="0091189D"/>
    <w:rsid w:val="00912438"/>
    <w:rsid w:val="009126A6"/>
    <w:rsid w:val="00912C9D"/>
    <w:rsid w:val="00912E45"/>
    <w:rsid w:val="00913028"/>
    <w:rsid w:val="009134B3"/>
    <w:rsid w:val="00913C90"/>
    <w:rsid w:val="00914084"/>
    <w:rsid w:val="009141CA"/>
    <w:rsid w:val="00914C3D"/>
    <w:rsid w:val="00914CBD"/>
    <w:rsid w:val="00914E27"/>
    <w:rsid w:val="00914F03"/>
    <w:rsid w:val="00915E71"/>
    <w:rsid w:val="00916342"/>
    <w:rsid w:val="009169A4"/>
    <w:rsid w:val="00916D79"/>
    <w:rsid w:val="00916F46"/>
    <w:rsid w:val="00917306"/>
    <w:rsid w:val="00917B65"/>
    <w:rsid w:val="00920203"/>
    <w:rsid w:val="00920D88"/>
    <w:rsid w:val="009219F1"/>
    <w:rsid w:val="00921E65"/>
    <w:rsid w:val="00922902"/>
    <w:rsid w:val="00922C02"/>
    <w:rsid w:val="00922C1D"/>
    <w:rsid w:val="009234AC"/>
    <w:rsid w:val="0092369D"/>
    <w:rsid w:val="00923B2C"/>
    <w:rsid w:val="00924344"/>
    <w:rsid w:val="009247D0"/>
    <w:rsid w:val="009247F7"/>
    <w:rsid w:val="00924949"/>
    <w:rsid w:val="00924BB0"/>
    <w:rsid w:val="00925DFD"/>
    <w:rsid w:val="00926117"/>
    <w:rsid w:val="009268BF"/>
    <w:rsid w:val="009268F5"/>
    <w:rsid w:val="009269AF"/>
    <w:rsid w:val="00926BE1"/>
    <w:rsid w:val="00926EFE"/>
    <w:rsid w:val="00927754"/>
    <w:rsid w:val="009302DD"/>
    <w:rsid w:val="00930787"/>
    <w:rsid w:val="00930D6E"/>
    <w:rsid w:val="009314D1"/>
    <w:rsid w:val="009319BD"/>
    <w:rsid w:val="0093216E"/>
    <w:rsid w:val="009326A6"/>
    <w:rsid w:val="009327D9"/>
    <w:rsid w:val="00932AA4"/>
    <w:rsid w:val="009339A2"/>
    <w:rsid w:val="00933A1A"/>
    <w:rsid w:val="00933B63"/>
    <w:rsid w:val="0093413B"/>
    <w:rsid w:val="00934A74"/>
    <w:rsid w:val="00934ABF"/>
    <w:rsid w:val="00934CDD"/>
    <w:rsid w:val="00935A99"/>
    <w:rsid w:val="00935E6E"/>
    <w:rsid w:val="00935E78"/>
    <w:rsid w:val="0093616D"/>
    <w:rsid w:val="009361A6"/>
    <w:rsid w:val="009363C6"/>
    <w:rsid w:val="00936412"/>
    <w:rsid w:val="00936943"/>
    <w:rsid w:val="00936AC8"/>
    <w:rsid w:val="009379F2"/>
    <w:rsid w:val="009405A6"/>
    <w:rsid w:val="00941108"/>
    <w:rsid w:val="00941C90"/>
    <w:rsid w:val="0094207F"/>
    <w:rsid w:val="00942393"/>
    <w:rsid w:val="009423DD"/>
    <w:rsid w:val="0094243A"/>
    <w:rsid w:val="00943099"/>
    <w:rsid w:val="009431E8"/>
    <w:rsid w:val="0094366B"/>
    <w:rsid w:val="0094366E"/>
    <w:rsid w:val="009438FE"/>
    <w:rsid w:val="00943914"/>
    <w:rsid w:val="00943A93"/>
    <w:rsid w:val="00943D1D"/>
    <w:rsid w:val="00943E5C"/>
    <w:rsid w:val="0094425C"/>
    <w:rsid w:val="0094425E"/>
    <w:rsid w:val="00944EAE"/>
    <w:rsid w:val="00944EEA"/>
    <w:rsid w:val="00945229"/>
    <w:rsid w:val="0094577F"/>
    <w:rsid w:val="009457F1"/>
    <w:rsid w:val="0094634C"/>
    <w:rsid w:val="0094661E"/>
    <w:rsid w:val="009466C6"/>
    <w:rsid w:val="00946810"/>
    <w:rsid w:val="00946C11"/>
    <w:rsid w:val="0095013A"/>
    <w:rsid w:val="009502B3"/>
    <w:rsid w:val="00950513"/>
    <w:rsid w:val="00951DC2"/>
    <w:rsid w:val="00951E96"/>
    <w:rsid w:val="00952059"/>
    <w:rsid w:val="00952304"/>
    <w:rsid w:val="00953BC7"/>
    <w:rsid w:val="00953D80"/>
    <w:rsid w:val="009544F7"/>
    <w:rsid w:val="00954A12"/>
    <w:rsid w:val="00955AC1"/>
    <w:rsid w:val="00955FDE"/>
    <w:rsid w:val="00956344"/>
    <w:rsid w:val="009564E9"/>
    <w:rsid w:val="0095693B"/>
    <w:rsid w:val="00956DF7"/>
    <w:rsid w:val="00956FA1"/>
    <w:rsid w:val="009574FC"/>
    <w:rsid w:val="009579DD"/>
    <w:rsid w:val="00957A51"/>
    <w:rsid w:val="00957B59"/>
    <w:rsid w:val="00957D8E"/>
    <w:rsid w:val="00960099"/>
    <w:rsid w:val="00960F9C"/>
    <w:rsid w:val="00961201"/>
    <w:rsid w:val="00961381"/>
    <w:rsid w:val="0096143E"/>
    <w:rsid w:val="0096221A"/>
    <w:rsid w:val="0096243B"/>
    <w:rsid w:val="0096353B"/>
    <w:rsid w:val="009635E9"/>
    <w:rsid w:val="00963CCD"/>
    <w:rsid w:val="00964028"/>
    <w:rsid w:val="009643E3"/>
    <w:rsid w:val="0096445F"/>
    <w:rsid w:val="00964584"/>
    <w:rsid w:val="009647CA"/>
    <w:rsid w:val="00964A16"/>
    <w:rsid w:val="00964A3B"/>
    <w:rsid w:val="00965520"/>
    <w:rsid w:val="0096557B"/>
    <w:rsid w:val="009656A3"/>
    <w:rsid w:val="00965D20"/>
    <w:rsid w:val="00966A99"/>
    <w:rsid w:val="0096771C"/>
    <w:rsid w:val="0097088C"/>
    <w:rsid w:val="00970E5C"/>
    <w:rsid w:val="00971074"/>
    <w:rsid w:val="00971634"/>
    <w:rsid w:val="0097169B"/>
    <w:rsid w:val="009716F1"/>
    <w:rsid w:val="00971744"/>
    <w:rsid w:val="009719E9"/>
    <w:rsid w:val="00972792"/>
    <w:rsid w:val="009727D0"/>
    <w:rsid w:val="00972DC6"/>
    <w:rsid w:val="00973F5A"/>
    <w:rsid w:val="00974330"/>
    <w:rsid w:val="009744EC"/>
    <w:rsid w:val="00974BF9"/>
    <w:rsid w:val="00974FD7"/>
    <w:rsid w:val="0097502E"/>
    <w:rsid w:val="00975135"/>
    <w:rsid w:val="009753F5"/>
    <w:rsid w:val="00975FE1"/>
    <w:rsid w:val="00976409"/>
    <w:rsid w:val="00976447"/>
    <w:rsid w:val="009765EF"/>
    <w:rsid w:val="00976680"/>
    <w:rsid w:val="0097680E"/>
    <w:rsid w:val="009768B0"/>
    <w:rsid w:val="00976965"/>
    <w:rsid w:val="00976A9F"/>
    <w:rsid w:val="00977317"/>
    <w:rsid w:val="0098003A"/>
    <w:rsid w:val="00980872"/>
    <w:rsid w:val="00980FCE"/>
    <w:rsid w:val="00981B53"/>
    <w:rsid w:val="00981C86"/>
    <w:rsid w:val="009825B0"/>
    <w:rsid w:val="009826DC"/>
    <w:rsid w:val="00982B37"/>
    <w:rsid w:val="00982B7E"/>
    <w:rsid w:val="009833C6"/>
    <w:rsid w:val="0098344F"/>
    <w:rsid w:val="009836B3"/>
    <w:rsid w:val="00983E47"/>
    <w:rsid w:val="009844CC"/>
    <w:rsid w:val="009845AF"/>
    <w:rsid w:val="00984AF6"/>
    <w:rsid w:val="00986472"/>
    <w:rsid w:val="009867FD"/>
    <w:rsid w:val="00986809"/>
    <w:rsid w:val="0098698B"/>
    <w:rsid w:val="0098699E"/>
    <w:rsid w:val="00986CDD"/>
    <w:rsid w:val="00986D93"/>
    <w:rsid w:val="009873D3"/>
    <w:rsid w:val="0098750D"/>
    <w:rsid w:val="0098792A"/>
    <w:rsid w:val="00987B13"/>
    <w:rsid w:val="00987DA0"/>
    <w:rsid w:val="009900B4"/>
    <w:rsid w:val="0099015C"/>
    <w:rsid w:val="009901F0"/>
    <w:rsid w:val="00990C9A"/>
    <w:rsid w:val="009913BC"/>
    <w:rsid w:val="00991AF3"/>
    <w:rsid w:val="00991B9F"/>
    <w:rsid w:val="009927D8"/>
    <w:rsid w:val="00992AC1"/>
    <w:rsid w:val="0099334C"/>
    <w:rsid w:val="00993734"/>
    <w:rsid w:val="00993C98"/>
    <w:rsid w:val="0099411C"/>
    <w:rsid w:val="009954BC"/>
    <w:rsid w:val="009959E1"/>
    <w:rsid w:val="0099614D"/>
    <w:rsid w:val="00996310"/>
    <w:rsid w:val="00996795"/>
    <w:rsid w:val="009968CF"/>
    <w:rsid w:val="00996EB5"/>
    <w:rsid w:val="00997082"/>
    <w:rsid w:val="0099750D"/>
    <w:rsid w:val="00997AF2"/>
    <w:rsid w:val="00997EBF"/>
    <w:rsid w:val="009A020D"/>
    <w:rsid w:val="009A08BE"/>
    <w:rsid w:val="009A1478"/>
    <w:rsid w:val="009A1765"/>
    <w:rsid w:val="009A1820"/>
    <w:rsid w:val="009A2045"/>
    <w:rsid w:val="009A2352"/>
    <w:rsid w:val="009A2471"/>
    <w:rsid w:val="009A26E6"/>
    <w:rsid w:val="009A322D"/>
    <w:rsid w:val="009A3438"/>
    <w:rsid w:val="009A3C5D"/>
    <w:rsid w:val="009A4266"/>
    <w:rsid w:val="009A4D4D"/>
    <w:rsid w:val="009A50FF"/>
    <w:rsid w:val="009A5105"/>
    <w:rsid w:val="009A51C1"/>
    <w:rsid w:val="009A558C"/>
    <w:rsid w:val="009A5685"/>
    <w:rsid w:val="009A5CE4"/>
    <w:rsid w:val="009A5E33"/>
    <w:rsid w:val="009A5E6C"/>
    <w:rsid w:val="009A6036"/>
    <w:rsid w:val="009A62B4"/>
    <w:rsid w:val="009A6313"/>
    <w:rsid w:val="009A6316"/>
    <w:rsid w:val="009A6C54"/>
    <w:rsid w:val="009A6C61"/>
    <w:rsid w:val="009A72E5"/>
    <w:rsid w:val="009A73FE"/>
    <w:rsid w:val="009A7564"/>
    <w:rsid w:val="009A7875"/>
    <w:rsid w:val="009A7AAD"/>
    <w:rsid w:val="009B0278"/>
    <w:rsid w:val="009B06C9"/>
    <w:rsid w:val="009B12DF"/>
    <w:rsid w:val="009B14CD"/>
    <w:rsid w:val="009B1A84"/>
    <w:rsid w:val="009B1B20"/>
    <w:rsid w:val="009B23C6"/>
    <w:rsid w:val="009B2BFF"/>
    <w:rsid w:val="009B2CA5"/>
    <w:rsid w:val="009B36F2"/>
    <w:rsid w:val="009B3897"/>
    <w:rsid w:val="009B3A4F"/>
    <w:rsid w:val="009B505F"/>
    <w:rsid w:val="009B582E"/>
    <w:rsid w:val="009B5A9A"/>
    <w:rsid w:val="009B5B73"/>
    <w:rsid w:val="009B5FB1"/>
    <w:rsid w:val="009B6372"/>
    <w:rsid w:val="009B684A"/>
    <w:rsid w:val="009B6D11"/>
    <w:rsid w:val="009B714B"/>
    <w:rsid w:val="009B77AE"/>
    <w:rsid w:val="009B7AC1"/>
    <w:rsid w:val="009C0215"/>
    <w:rsid w:val="009C0418"/>
    <w:rsid w:val="009C0B89"/>
    <w:rsid w:val="009C0E84"/>
    <w:rsid w:val="009C0EFA"/>
    <w:rsid w:val="009C1259"/>
    <w:rsid w:val="009C1982"/>
    <w:rsid w:val="009C1F04"/>
    <w:rsid w:val="009C216C"/>
    <w:rsid w:val="009C258C"/>
    <w:rsid w:val="009C2608"/>
    <w:rsid w:val="009C2A3D"/>
    <w:rsid w:val="009C328C"/>
    <w:rsid w:val="009C3D63"/>
    <w:rsid w:val="009C4103"/>
    <w:rsid w:val="009C4306"/>
    <w:rsid w:val="009C43AA"/>
    <w:rsid w:val="009C4753"/>
    <w:rsid w:val="009C4ADE"/>
    <w:rsid w:val="009C4D15"/>
    <w:rsid w:val="009C5906"/>
    <w:rsid w:val="009C5CF8"/>
    <w:rsid w:val="009C5F0A"/>
    <w:rsid w:val="009C6363"/>
    <w:rsid w:val="009C6398"/>
    <w:rsid w:val="009C63B3"/>
    <w:rsid w:val="009C6A59"/>
    <w:rsid w:val="009C799D"/>
    <w:rsid w:val="009C7C00"/>
    <w:rsid w:val="009D00C6"/>
    <w:rsid w:val="009D0759"/>
    <w:rsid w:val="009D09F2"/>
    <w:rsid w:val="009D12DF"/>
    <w:rsid w:val="009D1689"/>
    <w:rsid w:val="009D1B30"/>
    <w:rsid w:val="009D1C99"/>
    <w:rsid w:val="009D2635"/>
    <w:rsid w:val="009D2DFF"/>
    <w:rsid w:val="009D3175"/>
    <w:rsid w:val="009D349F"/>
    <w:rsid w:val="009D388C"/>
    <w:rsid w:val="009D3AFA"/>
    <w:rsid w:val="009D3B83"/>
    <w:rsid w:val="009D40AB"/>
    <w:rsid w:val="009D455D"/>
    <w:rsid w:val="009D4BEB"/>
    <w:rsid w:val="009D6EF4"/>
    <w:rsid w:val="009D771A"/>
    <w:rsid w:val="009E005E"/>
    <w:rsid w:val="009E0E40"/>
    <w:rsid w:val="009E0EB1"/>
    <w:rsid w:val="009E1314"/>
    <w:rsid w:val="009E13E1"/>
    <w:rsid w:val="009E13F9"/>
    <w:rsid w:val="009E168D"/>
    <w:rsid w:val="009E1A85"/>
    <w:rsid w:val="009E1C5B"/>
    <w:rsid w:val="009E1C5D"/>
    <w:rsid w:val="009E2063"/>
    <w:rsid w:val="009E2124"/>
    <w:rsid w:val="009E2155"/>
    <w:rsid w:val="009E21DE"/>
    <w:rsid w:val="009E2208"/>
    <w:rsid w:val="009E2890"/>
    <w:rsid w:val="009E30F2"/>
    <w:rsid w:val="009E34BD"/>
    <w:rsid w:val="009E3632"/>
    <w:rsid w:val="009E3C29"/>
    <w:rsid w:val="009E3D87"/>
    <w:rsid w:val="009E4AE9"/>
    <w:rsid w:val="009E4B1A"/>
    <w:rsid w:val="009E4D8A"/>
    <w:rsid w:val="009E51D1"/>
    <w:rsid w:val="009E560B"/>
    <w:rsid w:val="009E70E9"/>
    <w:rsid w:val="009E7697"/>
    <w:rsid w:val="009E7A2B"/>
    <w:rsid w:val="009E7D8D"/>
    <w:rsid w:val="009F0333"/>
    <w:rsid w:val="009F0EFA"/>
    <w:rsid w:val="009F1640"/>
    <w:rsid w:val="009F1705"/>
    <w:rsid w:val="009F181A"/>
    <w:rsid w:val="009F1D5C"/>
    <w:rsid w:val="009F1FF2"/>
    <w:rsid w:val="009F2161"/>
    <w:rsid w:val="009F255E"/>
    <w:rsid w:val="009F289E"/>
    <w:rsid w:val="009F30D3"/>
    <w:rsid w:val="009F3487"/>
    <w:rsid w:val="009F365D"/>
    <w:rsid w:val="009F3C9E"/>
    <w:rsid w:val="009F3FCF"/>
    <w:rsid w:val="009F40D0"/>
    <w:rsid w:val="009F414D"/>
    <w:rsid w:val="009F4262"/>
    <w:rsid w:val="009F4266"/>
    <w:rsid w:val="009F4EC4"/>
    <w:rsid w:val="009F4EF2"/>
    <w:rsid w:val="009F56ED"/>
    <w:rsid w:val="009F58BC"/>
    <w:rsid w:val="009F5AC7"/>
    <w:rsid w:val="009F5B0D"/>
    <w:rsid w:val="009F65CD"/>
    <w:rsid w:val="009F693F"/>
    <w:rsid w:val="009F6FC0"/>
    <w:rsid w:val="009F70B5"/>
    <w:rsid w:val="009F7116"/>
    <w:rsid w:val="009F7346"/>
    <w:rsid w:val="009F73EB"/>
    <w:rsid w:val="009F7BFD"/>
    <w:rsid w:val="009F7D54"/>
    <w:rsid w:val="009F7F0B"/>
    <w:rsid w:val="00A0090C"/>
    <w:rsid w:val="00A00B9C"/>
    <w:rsid w:val="00A00BC2"/>
    <w:rsid w:val="00A0154B"/>
    <w:rsid w:val="00A016AC"/>
    <w:rsid w:val="00A01DAA"/>
    <w:rsid w:val="00A01F3E"/>
    <w:rsid w:val="00A0205F"/>
    <w:rsid w:val="00A029B5"/>
    <w:rsid w:val="00A02FCB"/>
    <w:rsid w:val="00A03910"/>
    <w:rsid w:val="00A03F34"/>
    <w:rsid w:val="00A04553"/>
    <w:rsid w:val="00A045B7"/>
    <w:rsid w:val="00A04B43"/>
    <w:rsid w:val="00A054BD"/>
    <w:rsid w:val="00A056E8"/>
    <w:rsid w:val="00A05758"/>
    <w:rsid w:val="00A0672C"/>
    <w:rsid w:val="00A068EF"/>
    <w:rsid w:val="00A06A0A"/>
    <w:rsid w:val="00A06E64"/>
    <w:rsid w:val="00A06F36"/>
    <w:rsid w:val="00A079DB"/>
    <w:rsid w:val="00A07C21"/>
    <w:rsid w:val="00A1048A"/>
    <w:rsid w:val="00A1125D"/>
    <w:rsid w:val="00A1157F"/>
    <w:rsid w:val="00A12C03"/>
    <w:rsid w:val="00A12D1B"/>
    <w:rsid w:val="00A132F6"/>
    <w:rsid w:val="00A13764"/>
    <w:rsid w:val="00A138DC"/>
    <w:rsid w:val="00A13C4F"/>
    <w:rsid w:val="00A14A20"/>
    <w:rsid w:val="00A14D30"/>
    <w:rsid w:val="00A14D50"/>
    <w:rsid w:val="00A150F1"/>
    <w:rsid w:val="00A1514D"/>
    <w:rsid w:val="00A160E2"/>
    <w:rsid w:val="00A1615D"/>
    <w:rsid w:val="00A161A6"/>
    <w:rsid w:val="00A167EA"/>
    <w:rsid w:val="00A16860"/>
    <w:rsid w:val="00A16C8D"/>
    <w:rsid w:val="00A16F40"/>
    <w:rsid w:val="00A17657"/>
    <w:rsid w:val="00A17753"/>
    <w:rsid w:val="00A17A17"/>
    <w:rsid w:val="00A17B04"/>
    <w:rsid w:val="00A17C98"/>
    <w:rsid w:val="00A17D30"/>
    <w:rsid w:val="00A20361"/>
    <w:rsid w:val="00A20437"/>
    <w:rsid w:val="00A21D5E"/>
    <w:rsid w:val="00A21D80"/>
    <w:rsid w:val="00A21DEC"/>
    <w:rsid w:val="00A2225F"/>
    <w:rsid w:val="00A225A8"/>
    <w:rsid w:val="00A22EBA"/>
    <w:rsid w:val="00A230B7"/>
    <w:rsid w:val="00A233B0"/>
    <w:rsid w:val="00A235E9"/>
    <w:rsid w:val="00A23782"/>
    <w:rsid w:val="00A23F9C"/>
    <w:rsid w:val="00A24069"/>
    <w:rsid w:val="00A246F1"/>
    <w:rsid w:val="00A24DBB"/>
    <w:rsid w:val="00A24DEB"/>
    <w:rsid w:val="00A24EA0"/>
    <w:rsid w:val="00A25031"/>
    <w:rsid w:val="00A250D2"/>
    <w:rsid w:val="00A25ED0"/>
    <w:rsid w:val="00A262D4"/>
    <w:rsid w:val="00A27054"/>
    <w:rsid w:val="00A3020A"/>
    <w:rsid w:val="00A3035E"/>
    <w:rsid w:val="00A30812"/>
    <w:rsid w:val="00A30C29"/>
    <w:rsid w:val="00A3111B"/>
    <w:rsid w:val="00A31788"/>
    <w:rsid w:val="00A31C5D"/>
    <w:rsid w:val="00A32665"/>
    <w:rsid w:val="00A32D7A"/>
    <w:rsid w:val="00A330B1"/>
    <w:rsid w:val="00A33256"/>
    <w:rsid w:val="00A33906"/>
    <w:rsid w:val="00A33CB0"/>
    <w:rsid w:val="00A33D46"/>
    <w:rsid w:val="00A33F2E"/>
    <w:rsid w:val="00A3415C"/>
    <w:rsid w:val="00A341E3"/>
    <w:rsid w:val="00A34937"/>
    <w:rsid w:val="00A34AC8"/>
    <w:rsid w:val="00A34EBF"/>
    <w:rsid w:val="00A3587E"/>
    <w:rsid w:val="00A3635E"/>
    <w:rsid w:val="00A36E54"/>
    <w:rsid w:val="00A37261"/>
    <w:rsid w:val="00A37543"/>
    <w:rsid w:val="00A379DF"/>
    <w:rsid w:val="00A40101"/>
    <w:rsid w:val="00A401B6"/>
    <w:rsid w:val="00A402B4"/>
    <w:rsid w:val="00A4050A"/>
    <w:rsid w:val="00A40839"/>
    <w:rsid w:val="00A412BF"/>
    <w:rsid w:val="00A416CB"/>
    <w:rsid w:val="00A41970"/>
    <w:rsid w:val="00A42788"/>
    <w:rsid w:val="00A42AEB"/>
    <w:rsid w:val="00A43031"/>
    <w:rsid w:val="00A433C7"/>
    <w:rsid w:val="00A433CA"/>
    <w:rsid w:val="00A43897"/>
    <w:rsid w:val="00A4436B"/>
    <w:rsid w:val="00A44A2A"/>
    <w:rsid w:val="00A46075"/>
    <w:rsid w:val="00A46729"/>
    <w:rsid w:val="00A46AA6"/>
    <w:rsid w:val="00A470CE"/>
    <w:rsid w:val="00A47339"/>
    <w:rsid w:val="00A473D1"/>
    <w:rsid w:val="00A474CC"/>
    <w:rsid w:val="00A47B65"/>
    <w:rsid w:val="00A47CBB"/>
    <w:rsid w:val="00A5002E"/>
    <w:rsid w:val="00A50553"/>
    <w:rsid w:val="00A50620"/>
    <w:rsid w:val="00A507A4"/>
    <w:rsid w:val="00A50962"/>
    <w:rsid w:val="00A50AFC"/>
    <w:rsid w:val="00A510DE"/>
    <w:rsid w:val="00A51115"/>
    <w:rsid w:val="00A51441"/>
    <w:rsid w:val="00A517FD"/>
    <w:rsid w:val="00A51B3E"/>
    <w:rsid w:val="00A528B9"/>
    <w:rsid w:val="00A52DC9"/>
    <w:rsid w:val="00A52F0E"/>
    <w:rsid w:val="00A531EF"/>
    <w:rsid w:val="00A5398A"/>
    <w:rsid w:val="00A53B0A"/>
    <w:rsid w:val="00A53F77"/>
    <w:rsid w:val="00A54076"/>
    <w:rsid w:val="00A54D53"/>
    <w:rsid w:val="00A54D71"/>
    <w:rsid w:val="00A5587B"/>
    <w:rsid w:val="00A55A95"/>
    <w:rsid w:val="00A55BC4"/>
    <w:rsid w:val="00A55D70"/>
    <w:rsid w:val="00A560BD"/>
    <w:rsid w:val="00A56239"/>
    <w:rsid w:val="00A56280"/>
    <w:rsid w:val="00A565A4"/>
    <w:rsid w:val="00A56982"/>
    <w:rsid w:val="00A56DE6"/>
    <w:rsid w:val="00A56E44"/>
    <w:rsid w:val="00A57578"/>
    <w:rsid w:val="00A57E30"/>
    <w:rsid w:val="00A57E6A"/>
    <w:rsid w:val="00A60D12"/>
    <w:rsid w:val="00A615E3"/>
    <w:rsid w:val="00A616D4"/>
    <w:rsid w:val="00A617CA"/>
    <w:rsid w:val="00A617E4"/>
    <w:rsid w:val="00A61D17"/>
    <w:rsid w:val="00A62388"/>
    <w:rsid w:val="00A630D3"/>
    <w:rsid w:val="00A6314E"/>
    <w:rsid w:val="00A637C5"/>
    <w:rsid w:val="00A63B26"/>
    <w:rsid w:val="00A63D00"/>
    <w:rsid w:val="00A64B98"/>
    <w:rsid w:val="00A651D5"/>
    <w:rsid w:val="00A65748"/>
    <w:rsid w:val="00A657C3"/>
    <w:rsid w:val="00A65B26"/>
    <w:rsid w:val="00A65DC0"/>
    <w:rsid w:val="00A66874"/>
    <w:rsid w:val="00A66E25"/>
    <w:rsid w:val="00A66EE0"/>
    <w:rsid w:val="00A6770D"/>
    <w:rsid w:val="00A677A3"/>
    <w:rsid w:val="00A67C16"/>
    <w:rsid w:val="00A67DD6"/>
    <w:rsid w:val="00A67EB5"/>
    <w:rsid w:val="00A708ED"/>
    <w:rsid w:val="00A70F93"/>
    <w:rsid w:val="00A710B6"/>
    <w:rsid w:val="00A7115E"/>
    <w:rsid w:val="00A71C39"/>
    <w:rsid w:val="00A71D8F"/>
    <w:rsid w:val="00A71D97"/>
    <w:rsid w:val="00A722DE"/>
    <w:rsid w:val="00A725AD"/>
    <w:rsid w:val="00A72913"/>
    <w:rsid w:val="00A72951"/>
    <w:rsid w:val="00A7306D"/>
    <w:rsid w:val="00A7395D"/>
    <w:rsid w:val="00A73B12"/>
    <w:rsid w:val="00A742D0"/>
    <w:rsid w:val="00A74470"/>
    <w:rsid w:val="00A74B6D"/>
    <w:rsid w:val="00A74DCB"/>
    <w:rsid w:val="00A7512D"/>
    <w:rsid w:val="00A75466"/>
    <w:rsid w:val="00A759F6"/>
    <w:rsid w:val="00A75CC4"/>
    <w:rsid w:val="00A75F33"/>
    <w:rsid w:val="00A765E5"/>
    <w:rsid w:val="00A76927"/>
    <w:rsid w:val="00A76DF9"/>
    <w:rsid w:val="00A77074"/>
    <w:rsid w:val="00A773A6"/>
    <w:rsid w:val="00A7752F"/>
    <w:rsid w:val="00A77842"/>
    <w:rsid w:val="00A77A48"/>
    <w:rsid w:val="00A77B52"/>
    <w:rsid w:val="00A77D26"/>
    <w:rsid w:val="00A804F2"/>
    <w:rsid w:val="00A81172"/>
    <w:rsid w:val="00A819E3"/>
    <w:rsid w:val="00A81D4C"/>
    <w:rsid w:val="00A82140"/>
    <w:rsid w:val="00A830B9"/>
    <w:rsid w:val="00A83483"/>
    <w:rsid w:val="00A836FF"/>
    <w:rsid w:val="00A83EA5"/>
    <w:rsid w:val="00A8539C"/>
    <w:rsid w:val="00A85D8C"/>
    <w:rsid w:val="00A85E92"/>
    <w:rsid w:val="00A86549"/>
    <w:rsid w:val="00A877E8"/>
    <w:rsid w:val="00A879AB"/>
    <w:rsid w:val="00A87B2F"/>
    <w:rsid w:val="00A903A7"/>
    <w:rsid w:val="00A90519"/>
    <w:rsid w:val="00A90F6A"/>
    <w:rsid w:val="00A913C8"/>
    <w:rsid w:val="00A91856"/>
    <w:rsid w:val="00A91966"/>
    <w:rsid w:val="00A91CFC"/>
    <w:rsid w:val="00A9219E"/>
    <w:rsid w:val="00A9241B"/>
    <w:rsid w:val="00A92702"/>
    <w:rsid w:val="00A932E5"/>
    <w:rsid w:val="00A93549"/>
    <w:rsid w:val="00A9383A"/>
    <w:rsid w:val="00A938F4"/>
    <w:rsid w:val="00A93AC0"/>
    <w:rsid w:val="00A93E9E"/>
    <w:rsid w:val="00A93EB6"/>
    <w:rsid w:val="00A940D0"/>
    <w:rsid w:val="00A94913"/>
    <w:rsid w:val="00A9515F"/>
    <w:rsid w:val="00A95830"/>
    <w:rsid w:val="00A95936"/>
    <w:rsid w:val="00A95AE6"/>
    <w:rsid w:val="00A95B94"/>
    <w:rsid w:val="00A96961"/>
    <w:rsid w:val="00A971CE"/>
    <w:rsid w:val="00A97271"/>
    <w:rsid w:val="00A972C6"/>
    <w:rsid w:val="00A974AC"/>
    <w:rsid w:val="00A97676"/>
    <w:rsid w:val="00A97829"/>
    <w:rsid w:val="00A97FF4"/>
    <w:rsid w:val="00AA11B3"/>
    <w:rsid w:val="00AA1D05"/>
    <w:rsid w:val="00AA25FA"/>
    <w:rsid w:val="00AA2C52"/>
    <w:rsid w:val="00AA318B"/>
    <w:rsid w:val="00AA3292"/>
    <w:rsid w:val="00AA3A29"/>
    <w:rsid w:val="00AA3D24"/>
    <w:rsid w:val="00AA3D7D"/>
    <w:rsid w:val="00AA4319"/>
    <w:rsid w:val="00AA437D"/>
    <w:rsid w:val="00AA44E1"/>
    <w:rsid w:val="00AA4ECF"/>
    <w:rsid w:val="00AA58A2"/>
    <w:rsid w:val="00AA5D17"/>
    <w:rsid w:val="00AA5DCE"/>
    <w:rsid w:val="00AA64A0"/>
    <w:rsid w:val="00AA7256"/>
    <w:rsid w:val="00AA72B0"/>
    <w:rsid w:val="00AA776C"/>
    <w:rsid w:val="00AB0201"/>
    <w:rsid w:val="00AB091B"/>
    <w:rsid w:val="00AB0AB7"/>
    <w:rsid w:val="00AB0D51"/>
    <w:rsid w:val="00AB0FB2"/>
    <w:rsid w:val="00AB103D"/>
    <w:rsid w:val="00AB1998"/>
    <w:rsid w:val="00AB1FE6"/>
    <w:rsid w:val="00AB2C9C"/>
    <w:rsid w:val="00AB2D94"/>
    <w:rsid w:val="00AB3293"/>
    <w:rsid w:val="00AB37B7"/>
    <w:rsid w:val="00AB3F0F"/>
    <w:rsid w:val="00AB40CC"/>
    <w:rsid w:val="00AB5B26"/>
    <w:rsid w:val="00AB62A9"/>
    <w:rsid w:val="00AB6802"/>
    <w:rsid w:val="00AB6836"/>
    <w:rsid w:val="00AB689B"/>
    <w:rsid w:val="00AB75B5"/>
    <w:rsid w:val="00AB7C8C"/>
    <w:rsid w:val="00AC04C9"/>
    <w:rsid w:val="00AC0D7A"/>
    <w:rsid w:val="00AC1A26"/>
    <w:rsid w:val="00AC1CD5"/>
    <w:rsid w:val="00AC1F75"/>
    <w:rsid w:val="00AC1FCD"/>
    <w:rsid w:val="00AC314C"/>
    <w:rsid w:val="00AC3DD2"/>
    <w:rsid w:val="00AC414F"/>
    <w:rsid w:val="00AC476C"/>
    <w:rsid w:val="00AC4E50"/>
    <w:rsid w:val="00AC5B34"/>
    <w:rsid w:val="00AC5D8A"/>
    <w:rsid w:val="00AC6184"/>
    <w:rsid w:val="00AC6326"/>
    <w:rsid w:val="00AC6649"/>
    <w:rsid w:val="00AC67BE"/>
    <w:rsid w:val="00AC6DEC"/>
    <w:rsid w:val="00AC70F8"/>
    <w:rsid w:val="00AC732D"/>
    <w:rsid w:val="00AC7377"/>
    <w:rsid w:val="00AC739B"/>
    <w:rsid w:val="00AC766C"/>
    <w:rsid w:val="00AC776D"/>
    <w:rsid w:val="00AC7972"/>
    <w:rsid w:val="00AC7BC1"/>
    <w:rsid w:val="00AC7E2E"/>
    <w:rsid w:val="00AD0832"/>
    <w:rsid w:val="00AD08D4"/>
    <w:rsid w:val="00AD0AB7"/>
    <w:rsid w:val="00AD0D3E"/>
    <w:rsid w:val="00AD12BA"/>
    <w:rsid w:val="00AD16A5"/>
    <w:rsid w:val="00AD16EA"/>
    <w:rsid w:val="00AD197D"/>
    <w:rsid w:val="00AD26FB"/>
    <w:rsid w:val="00AD27AA"/>
    <w:rsid w:val="00AD2962"/>
    <w:rsid w:val="00AD2AD4"/>
    <w:rsid w:val="00AD2DAF"/>
    <w:rsid w:val="00AD319C"/>
    <w:rsid w:val="00AD355C"/>
    <w:rsid w:val="00AD3FC5"/>
    <w:rsid w:val="00AD4134"/>
    <w:rsid w:val="00AD530F"/>
    <w:rsid w:val="00AD5AAA"/>
    <w:rsid w:val="00AD6819"/>
    <w:rsid w:val="00AD69EC"/>
    <w:rsid w:val="00AD6E3B"/>
    <w:rsid w:val="00AD71C2"/>
    <w:rsid w:val="00AD75DB"/>
    <w:rsid w:val="00AD7D5E"/>
    <w:rsid w:val="00AD7F91"/>
    <w:rsid w:val="00AE024B"/>
    <w:rsid w:val="00AE04E1"/>
    <w:rsid w:val="00AE0B30"/>
    <w:rsid w:val="00AE0CA5"/>
    <w:rsid w:val="00AE10AC"/>
    <w:rsid w:val="00AE12A3"/>
    <w:rsid w:val="00AE16E5"/>
    <w:rsid w:val="00AE1AD8"/>
    <w:rsid w:val="00AE1EAB"/>
    <w:rsid w:val="00AE2623"/>
    <w:rsid w:val="00AE2659"/>
    <w:rsid w:val="00AE2ECC"/>
    <w:rsid w:val="00AE379D"/>
    <w:rsid w:val="00AE37F6"/>
    <w:rsid w:val="00AE3836"/>
    <w:rsid w:val="00AE387E"/>
    <w:rsid w:val="00AE3BB5"/>
    <w:rsid w:val="00AE3FF0"/>
    <w:rsid w:val="00AE4143"/>
    <w:rsid w:val="00AE4284"/>
    <w:rsid w:val="00AE437F"/>
    <w:rsid w:val="00AE47B9"/>
    <w:rsid w:val="00AE52F3"/>
    <w:rsid w:val="00AE5A9B"/>
    <w:rsid w:val="00AE5C63"/>
    <w:rsid w:val="00AE5F6F"/>
    <w:rsid w:val="00AE6056"/>
    <w:rsid w:val="00AE61ED"/>
    <w:rsid w:val="00AE6219"/>
    <w:rsid w:val="00AE651F"/>
    <w:rsid w:val="00AE6EB1"/>
    <w:rsid w:val="00AE7281"/>
    <w:rsid w:val="00AF02A3"/>
    <w:rsid w:val="00AF063A"/>
    <w:rsid w:val="00AF077E"/>
    <w:rsid w:val="00AF0CD5"/>
    <w:rsid w:val="00AF17D5"/>
    <w:rsid w:val="00AF1CC3"/>
    <w:rsid w:val="00AF1D6E"/>
    <w:rsid w:val="00AF1E15"/>
    <w:rsid w:val="00AF1E58"/>
    <w:rsid w:val="00AF27FF"/>
    <w:rsid w:val="00AF31C6"/>
    <w:rsid w:val="00AF39EC"/>
    <w:rsid w:val="00AF3E69"/>
    <w:rsid w:val="00AF3F40"/>
    <w:rsid w:val="00AF40D8"/>
    <w:rsid w:val="00AF42F9"/>
    <w:rsid w:val="00AF4EE9"/>
    <w:rsid w:val="00AF500F"/>
    <w:rsid w:val="00AF5010"/>
    <w:rsid w:val="00AF5125"/>
    <w:rsid w:val="00AF5DE5"/>
    <w:rsid w:val="00AF5DE7"/>
    <w:rsid w:val="00AF630C"/>
    <w:rsid w:val="00AF6941"/>
    <w:rsid w:val="00AF6E86"/>
    <w:rsid w:val="00AF7135"/>
    <w:rsid w:val="00AF727F"/>
    <w:rsid w:val="00AF7339"/>
    <w:rsid w:val="00AF7499"/>
    <w:rsid w:val="00AF785E"/>
    <w:rsid w:val="00AF78C8"/>
    <w:rsid w:val="00AF7926"/>
    <w:rsid w:val="00AF7B6F"/>
    <w:rsid w:val="00B0015E"/>
    <w:rsid w:val="00B001A2"/>
    <w:rsid w:val="00B0021A"/>
    <w:rsid w:val="00B00891"/>
    <w:rsid w:val="00B009AA"/>
    <w:rsid w:val="00B010BF"/>
    <w:rsid w:val="00B01351"/>
    <w:rsid w:val="00B01395"/>
    <w:rsid w:val="00B01BE7"/>
    <w:rsid w:val="00B01DA9"/>
    <w:rsid w:val="00B01F17"/>
    <w:rsid w:val="00B028D8"/>
    <w:rsid w:val="00B02AC1"/>
    <w:rsid w:val="00B02E1C"/>
    <w:rsid w:val="00B03ED9"/>
    <w:rsid w:val="00B0452B"/>
    <w:rsid w:val="00B04F23"/>
    <w:rsid w:val="00B04FE5"/>
    <w:rsid w:val="00B05123"/>
    <w:rsid w:val="00B056F1"/>
    <w:rsid w:val="00B0587C"/>
    <w:rsid w:val="00B05CE4"/>
    <w:rsid w:val="00B06309"/>
    <w:rsid w:val="00B06B7F"/>
    <w:rsid w:val="00B06F14"/>
    <w:rsid w:val="00B070D1"/>
    <w:rsid w:val="00B071E6"/>
    <w:rsid w:val="00B07469"/>
    <w:rsid w:val="00B07E7B"/>
    <w:rsid w:val="00B103A6"/>
    <w:rsid w:val="00B104DA"/>
    <w:rsid w:val="00B10A85"/>
    <w:rsid w:val="00B10A93"/>
    <w:rsid w:val="00B1125F"/>
    <w:rsid w:val="00B12327"/>
    <w:rsid w:val="00B12B2E"/>
    <w:rsid w:val="00B12E70"/>
    <w:rsid w:val="00B12ED4"/>
    <w:rsid w:val="00B12F0B"/>
    <w:rsid w:val="00B134E3"/>
    <w:rsid w:val="00B1381E"/>
    <w:rsid w:val="00B13FF6"/>
    <w:rsid w:val="00B1425F"/>
    <w:rsid w:val="00B144FA"/>
    <w:rsid w:val="00B150CC"/>
    <w:rsid w:val="00B154C3"/>
    <w:rsid w:val="00B157A5"/>
    <w:rsid w:val="00B16249"/>
    <w:rsid w:val="00B16485"/>
    <w:rsid w:val="00B1660B"/>
    <w:rsid w:val="00B168E0"/>
    <w:rsid w:val="00B1690C"/>
    <w:rsid w:val="00B16BDA"/>
    <w:rsid w:val="00B16C58"/>
    <w:rsid w:val="00B17237"/>
    <w:rsid w:val="00B1755C"/>
    <w:rsid w:val="00B20927"/>
    <w:rsid w:val="00B2144F"/>
    <w:rsid w:val="00B21841"/>
    <w:rsid w:val="00B21963"/>
    <w:rsid w:val="00B21C89"/>
    <w:rsid w:val="00B21E0E"/>
    <w:rsid w:val="00B21FDF"/>
    <w:rsid w:val="00B233AE"/>
    <w:rsid w:val="00B23684"/>
    <w:rsid w:val="00B23F2A"/>
    <w:rsid w:val="00B24150"/>
    <w:rsid w:val="00B24C06"/>
    <w:rsid w:val="00B24E0A"/>
    <w:rsid w:val="00B254CF"/>
    <w:rsid w:val="00B25564"/>
    <w:rsid w:val="00B25566"/>
    <w:rsid w:val="00B25AB9"/>
    <w:rsid w:val="00B25D25"/>
    <w:rsid w:val="00B25E57"/>
    <w:rsid w:val="00B2622C"/>
    <w:rsid w:val="00B26430"/>
    <w:rsid w:val="00B26661"/>
    <w:rsid w:val="00B26824"/>
    <w:rsid w:val="00B27533"/>
    <w:rsid w:val="00B2769C"/>
    <w:rsid w:val="00B27ED6"/>
    <w:rsid w:val="00B300A3"/>
    <w:rsid w:val="00B3077B"/>
    <w:rsid w:val="00B30EBE"/>
    <w:rsid w:val="00B312C3"/>
    <w:rsid w:val="00B314E2"/>
    <w:rsid w:val="00B315D7"/>
    <w:rsid w:val="00B31FD6"/>
    <w:rsid w:val="00B32122"/>
    <w:rsid w:val="00B321FF"/>
    <w:rsid w:val="00B32549"/>
    <w:rsid w:val="00B325A7"/>
    <w:rsid w:val="00B32789"/>
    <w:rsid w:val="00B32BC5"/>
    <w:rsid w:val="00B32BF0"/>
    <w:rsid w:val="00B32D44"/>
    <w:rsid w:val="00B32E32"/>
    <w:rsid w:val="00B32FD6"/>
    <w:rsid w:val="00B336EB"/>
    <w:rsid w:val="00B33B07"/>
    <w:rsid w:val="00B33BC4"/>
    <w:rsid w:val="00B33C0C"/>
    <w:rsid w:val="00B33E48"/>
    <w:rsid w:val="00B34178"/>
    <w:rsid w:val="00B35011"/>
    <w:rsid w:val="00B350F0"/>
    <w:rsid w:val="00B35191"/>
    <w:rsid w:val="00B35937"/>
    <w:rsid w:val="00B3598B"/>
    <w:rsid w:val="00B35BE9"/>
    <w:rsid w:val="00B35E9E"/>
    <w:rsid w:val="00B35F6E"/>
    <w:rsid w:val="00B36743"/>
    <w:rsid w:val="00B36AC7"/>
    <w:rsid w:val="00B36E85"/>
    <w:rsid w:val="00B3703B"/>
    <w:rsid w:val="00B3733F"/>
    <w:rsid w:val="00B37CE2"/>
    <w:rsid w:val="00B37DAA"/>
    <w:rsid w:val="00B37E59"/>
    <w:rsid w:val="00B40370"/>
    <w:rsid w:val="00B4073B"/>
    <w:rsid w:val="00B40C54"/>
    <w:rsid w:val="00B412B1"/>
    <w:rsid w:val="00B41C51"/>
    <w:rsid w:val="00B42869"/>
    <w:rsid w:val="00B432C2"/>
    <w:rsid w:val="00B4363F"/>
    <w:rsid w:val="00B43EB2"/>
    <w:rsid w:val="00B4415F"/>
    <w:rsid w:val="00B4425D"/>
    <w:rsid w:val="00B449E4"/>
    <w:rsid w:val="00B44AFA"/>
    <w:rsid w:val="00B45C24"/>
    <w:rsid w:val="00B46261"/>
    <w:rsid w:val="00B46D2B"/>
    <w:rsid w:val="00B47BB7"/>
    <w:rsid w:val="00B47CDE"/>
    <w:rsid w:val="00B504FF"/>
    <w:rsid w:val="00B508B0"/>
    <w:rsid w:val="00B50C66"/>
    <w:rsid w:val="00B5126A"/>
    <w:rsid w:val="00B5182B"/>
    <w:rsid w:val="00B518ED"/>
    <w:rsid w:val="00B51D0C"/>
    <w:rsid w:val="00B5211A"/>
    <w:rsid w:val="00B5237C"/>
    <w:rsid w:val="00B52861"/>
    <w:rsid w:val="00B52B6C"/>
    <w:rsid w:val="00B5316B"/>
    <w:rsid w:val="00B53737"/>
    <w:rsid w:val="00B53938"/>
    <w:rsid w:val="00B5402B"/>
    <w:rsid w:val="00B5425B"/>
    <w:rsid w:val="00B543CB"/>
    <w:rsid w:val="00B54A25"/>
    <w:rsid w:val="00B5546F"/>
    <w:rsid w:val="00B55B2D"/>
    <w:rsid w:val="00B55BD2"/>
    <w:rsid w:val="00B55CE6"/>
    <w:rsid w:val="00B55E66"/>
    <w:rsid w:val="00B5672E"/>
    <w:rsid w:val="00B56F18"/>
    <w:rsid w:val="00B572CB"/>
    <w:rsid w:val="00B57C5A"/>
    <w:rsid w:val="00B60A18"/>
    <w:rsid w:val="00B60C48"/>
    <w:rsid w:val="00B60FFC"/>
    <w:rsid w:val="00B61549"/>
    <w:rsid w:val="00B618A4"/>
    <w:rsid w:val="00B61AE1"/>
    <w:rsid w:val="00B61B00"/>
    <w:rsid w:val="00B62478"/>
    <w:rsid w:val="00B624CF"/>
    <w:rsid w:val="00B625CF"/>
    <w:rsid w:val="00B626B6"/>
    <w:rsid w:val="00B63230"/>
    <w:rsid w:val="00B63488"/>
    <w:rsid w:val="00B63943"/>
    <w:rsid w:val="00B6442F"/>
    <w:rsid w:val="00B644D3"/>
    <w:rsid w:val="00B64656"/>
    <w:rsid w:val="00B64AA3"/>
    <w:rsid w:val="00B64B16"/>
    <w:rsid w:val="00B6580D"/>
    <w:rsid w:val="00B65B81"/>
    <w:rsid w:val="00B65E8A"/>
    <w:rsid w:val="00B66029"/>
    <w:rsid w:val="00B6603A"/>
    <w:rsid w:val="00B6666C"/>
    <w:rsid w:val="00B670EB"/>
    <w:rsid w:val="00B6714D"/>
    <w:rsid w:val="00B6745E"/>
    <w:rsid w:val="00B67574"/>
    <w:rsid w:val="00B67BA7"/>
    <w:rsid w:val="00B67D81"/>
    <w:rsid w:val="00B67F2C"/>
    <w:rsid w:val="00B67F3E"/>
    <w:rsid w:val="00B709D5"/>
    <w:rsid w:val="00B70B55"/>
    <w:rsid w:val="00B712A2"/>
    <w:rsid w:val="00B71345"/>
    <w:rsid w:val="00B71752"/>
    <w:rsid w:val="00B717E8"/>
    <w:rsid w:val="00B7187E"/>
    <w:rsid w:val="00B71AF8"/>
    <w:rsid w:val="00B72E93"/>
    <w:rsid w:val="00B7311D"/>
    <w:rsid w:val="00B747B5"/>
    <w:rsid w:val="00B74AD2"/>
    <w:rsid w:val="00B74C3B"/>
    <w:rsid w:val="00B75096"/>
    <w:rsid w:val="00B7514B"/>
    <w:rsid w:val="00B75985"/>
    <w:rsid w:val="00B761E9"/>
    <w:rsid w:val="00B76434"/>
    <w:rsid w:val="00B76938"/>
    <w:rsid w:val="00B76C8C"/>
    <w:rsid w:val="00B76D8F"/>
    <w:rsid w:val="00B77021"/>
    <w:rsid w:val="00B77247"/>
    <w:rsid w:val="00B772EF"/>
    <w:rsid w:val="00B77B1B"/>
    <w:rsid w:val="00B77EA5"/>
    <w:rsid w:val="00B805EC"/>
    <w:rsid w:val="00B80AFA"/>
    <w:rsid w:val="00B80BCE"/>
    <w:rsid w:val="00B8138D"/>
    <w:rsid w:val="00B8165B"/>
    <w:rsid w:val="00B817EE"/>
    <w:rsid w:val="00B8243B"/>
    <w:rsid w:val="00B82591"/>
    <w:rsid w:val="00B8285F"/>
    <w:rsid w:val="00B82A7F"/>
    <w:rsid w:val="00B82E5C"/>
    <w:rsid w:val="00B8322C"/>
    <w:rsid w:val="00B83B43"/>
    <w:rsid w:val="00B842E8"/>
    <w:rsid w:val="00B845BF"/>
    <w:rsid w:val="00B8467B"/>
    <w:rsid w:val="00B84B5A"/>
    <w:rsid w:val="00B84FAB"/>
    <w:rsid w:val="00B854E2"/>
    <w:rsid w:val="00B85B44"/>
    <w:rsid w:val="00B867A1"/>
    <w:rsid w:val="00B869AA"/>
    <w:rsid w:val="00B874E2"/>
    <w:rsid w:val="00B87732"/>
    <w:rsid w:val="00B90AC2"/>
    <w:rsid w:val="00B90C32"/>
    <w:rsid w:val="00B91097"/>
    <w:rsid w:val="00B91115"/>
    <w:rsid w:val="00B91C9C"/>
    <w:rsid w:val="00B9208C"/>
    <w:rsid w:val="00B9269A"/>
    <w:rsid w:val="00B92931"/>
    <w:rsid w:val="00B92B14"/>
    <w:rsid w:val="00B92C53"/>
    <w:rsid w:val="00B92CD6"/>
    <w:rsid w:val="00B943DC"/>
    <w:rsid w:val="00B9475D"/>
    <w:rsid w:val="00B94F35"/>
    <w:rsid w:val="00B9540D"/>
    <w:rsid w:val="00B9555F"/>
    <w:rsid w:val="00B955D7"/>
    <w:rsid w:val="00B95C56"/>
    <w:rsid w:val="00B95D3F"/>
    <w:rsid w:val="00B95E4F"/>
    <w:rsid w:val="00B9715D"/>
    <w:rsid w:val="00B9754E"/>
    <w:rsid w:val="00B97CC1"/>
    <w:rsid w:val="00BA04CF"/>
    <w:rsid w:val="00BA0698"/>
    <w:rsid w:val="00BA14F8"/>
    <w:rsid w:val="00BA1800"/>
    <w:rsid w:val="00BA19C4"/>
    <w:rsid w:val="00BA1CDA"/>
    <w:rsid w:val="00BA1D3B"/>
    <w:rsid w:val="00BA2175"/>
    <w:rsid w:val="00BA21FD"/>
    <w:rsid w:val="00BA2DA6"/>
    <w:rsid w:val="00BA3596"/>
    <w:rsid w:val="00BA3616"/>
    <w:rsid w:val="00BA3814"/>
    <w:rsid w:val="00BA390F"/>
    <w:rsid w:val="00BA3F34"/>
    <w:rsid w:val="00BA440C"/>
    <w:rsid w:val="00BA547F"/>
    <w:rsid w:val="00BA5FE8"/>
    <w:rsid w:val="00BA64B7"/>
    <w:rsid w:val="00BA6706"/>
    <w:rsid w:val="00BA6DB4"/>
    <w:rsid w:val="00BA7567"/>
    <w:rsid w:val="00BA7622"/>
    <w:rsid w:val="00BA7CFC"/>
    <w:rsid w:val="00BA7D4C"/>
    <w:rsid w:val="00BB1562"/>
    <w:rsid w:val="00BB1933"/>
    <w:rsid w:val="00BB198C"/>
    <w:rsid w:val="00BB1BE2"/>
    <w:rsid w:val="00BB1EFE"/>
    <w:rsid w:val="00BB242E"/>
    <w:rsid w:val="00BB25F4"/>
    <w:rsid w:val="00BB2B78"/>
    <w:rsid w:val="00BB2DDE"/>
    <w:rsid w:val="00BB2F14"/>
    <w:rsid w:val="00BB30E6"/>
    <w:rsid w:val="00BB3623"/>
    <w:rsid w:val="00BB36FB"/>
    <w:rsid w:val="00BB3732"/>
    <w:rsid w:val="00BB392A"/>
    <w:rsid w:val="00BB3CEA"/>
    <w:rsid w:val="00BB4238"/>
    <w:rsid w:val="00BB4876"/>
    <w:rsid w:val="00BB4D91"/>
    <w:rsid w:val="00BB76A5"/>
    <w:rsid w:val="00BB7EE1"/>
    <w:rsid w:val="00BC0159"/>
    <w:rsid w:val="00BC04CC"/>
    <w:rsid w:val="00BC0B37"/>
    <w:rsid w:val="00BC1029"/>
    <w:rsid w:val="00BC12EA"/>
    <w:rsid w:val="00BC1316"/>
    <w:rsid w:val="00BC2033"/>
    <w:rsid w:val="00BC240B"/>
    <w:rsid w:val="00BC26E1"/>
    <w:rsid w:val="00BC2EFD"/>
    <w:rsid w:val="00BC2FBA"/>
    <w:rsid w:val="00BC3338"/>
    <w:rsid w:val="00BC3EB9"/>
    <w:rsid w:val="00BC469D"/>
    <w:rsid w:val="00BC4DE3"/>
    <w:rsid w:val="00BC4E41"/>
    <w:rsid w:val="00BC5639"/>
    <w:rsid w:val="00BC598C"/>
    <w:rsid w:val="00BC5B3F"/>
    <w:rsid w:val="00BC62C8"/>
    <w:rsid w:val="00BC62FE"/>
    <w:rsid w:val="00BC6305"/>
    <w:rsid w:val="00BC6A8E"/>
    <w:rsid w:val="00BC7865"/>
    <w:rsid w:val="00BC799F"/>
    <w:rsid w:val="00BC7DC5"/>
    <w:rsid w:val="00BD0501"/>
    <w:rsid w:val="00BD0560"/>
    <w:rsid w:val="00BD1513"/>
    <w:rsid w:val="00BD166A"/>
    <w:rsid w:val="00BD16B1"/>
    <w:rsid w:val="00BD182E"/>
    <w:rsid w:val="00BD18AB"/>
    <w:rsid w:val="00BD1AEE"/>
    <w:rsid w:val="00BD27B8"/>
    <w:rsid w:val="00BD3032"/>
    <w:rsid w:val="00BD30DE"/>
    <w:rsid w:val="00BD3E8E"/>
    <w:rsid w:val="00BD4034"/>
    <w:rsid w:val="00BD40F5"/>
    <w:rsid w:val="00BD441C"/>
    <w:rsid w:val="00BD4FD6"/>
    <w:rsid w:val="00BD5017"/>
    <w:rsid w:val="00BD509E"/>
    <w:rsid w:val="00BD56F8"/>
    <w:rsid w:val="00BD5E53"/>
    <w:rsid w:val="00BD5FDC"/>
    <w:rsid w:val="00BD6C8E"/>
    <w:rsid w:val="00BD74CF"/>
    <w:rsid w:val="00BD7945"/>
    <w:rsid w:val="00BD7E2A"/>
    <w:rsid w:val="00BE01F0"/>
    <w:rsid w:val="00BE1115"/>
    <w:rsid w:val="00BE12D1"/>
    <w:rsid w:val="00BE1461"/>
    <w:rsid w:val="00BE1853"/>
    <w:rsid w:val="00BE1A50"/>
    <w:rsid w:val="00BE1AD1"/>
    <w:rsid w:val="00BE1DB1"/>
    <w:rsid w:val="00BE24E2"/>
    <w:rsid w:val="00BE26B9"/>
    <w:rsid w:val="00BE285F"/>
    <w:rsid w:val="00BE2B94"/>
    <w:rsid w:val="00BE2EC7"/>
    <w:rsid w:val="00BE2EE9"/>
    <w:rsid w:val="00BE2EFE"/>
    <w:rsid w:val="00BE308F"/>
    <w:rsid w:val="00BE3E0B"/>
    <w:rsid w:val="00BE3E9B"/>
    <w:rsid w:val="00BE4279"/>
    <w:rsid w:val="00BE446F"/>
    <w:rsid w:val="00BE5F92"/>
    <w:rsid w:val="00BE6193"/>
    <w:rsid w:val="00BE671E"/>
    <w:rsid w:val="00BE6DB9"/>
    <w:rsid w:val="00BE7FD6"/>
    <w:rsid w:val="00BF0366"/>
    <w:rsid w:val="00BF036A"/>
    <w:rsid w:val="00BF048D"/>
    <w:rsid w:val="00BF0BDE"/>
    <w:rsid w:val="00BF0D86"/>
    <w:rsid w:val="00BF1EE6"/>
    <w:rsid w:val="00BF24B1"/>
    <w:rsid w:val="00BF2506"/>
    <w:rsid w:val="00BF2BA8"/>
    <w:rsid w:val="00BF3026"/>
    <w:rsid w:val="00BF3167"/>
    <w:rsid w:val="00BF3B4B"/>
    <w:rsid w:val="00BF4929"/>
    <w:rsid w:val="00BF492F"/>
    <w:rsid w:val="00BF4995"/>
    <w:rsid w:val="00BF544C"/>
    <w:rsid w:val="00BF5990"/>
    <w:rsid w:val="00BF67B8"/>
    <w:rsid w:val="00BF6CA7"/>
    <w:rsid w:val="00BF767B"/>
    <w:rsid w:val="00BF799A"/>
    <w:rsid w:val="00C00A80"/>
    <w:rsid w:val="00C01052"/>
    <w:rsid w:val="00C01458"/>
    <w:rsid w:val="00C0170C"/>
    <w:rsid w:val="00C01C3A"/>
    <w:rsid w:val="00C01DA9"/>
    <w:rsid w:val="00C01DFA"/>
    <w:rsid w:val="00C01EDC"/>
    <w:rsid w:val="00C02241"/>
    <w:rsid w:val="00C02348"/>
    <w:rsid w:val="00C023C7"/>
    <w:rsid w:val="00C02400"/>
    <w:rsid w:val="00C02960"/>
    <w:rsid w:val="00C02CF6"/>
    <w:rsid w:val="00C02D9E"/>
    <w:rsid w:val="00C038D9"/>
    <w:rsid w:val="00C03B2F"/>
    <w:rsid w:val="00C04405"/>
    <w:rsid w:val="00C04466"/>
    <w:rsid w:val="00C04B54"/>
    <w:rsid w:val="00C04EFE"/>
    <w:rsid w:val="00C05F61"/>
    <w:rsid w:val="00C0685B"/>
    <w:rsid w:val="00C07BB7"/>
    <w:rsid w:val="00C10BA9"/>
    <w:rsid w:val="00C10F39"/>
    <w:rsid w:val="00C1114D"/>
    <w:rsid w:val="00C1119E"/>
    <w:rsid w:val="00C11202"/>
    <w:rsid w:val="00C119DC"/>
    <w:rsid w:val="00C11EB8"/>
    <w:rsid w:val="00C12FBD"/>
    <w:rsid w:val="00C131A2"/>
    <w:rsid w:val="00C13270"/>
    <w:rsid w:val="00C135C4"/>
    <w:rsid w:val="00C1367D"/>
    <w:rsid w:val="00C14FBE"/>
    <w:rsid w:val="00C1522A"/>
    <w:rsid w:val="00C15443"/>
    <w:rsid w:val="00C15AF0"/>
    <w:rsid w:val="00C167BA"/>
    <w:rsid w:val="00C16B37"/>
    <w:rsid w:val="00C1717C"/>
    <w:rsid w:val="00C17E75"/>
    <w:rsid w:val="00C2074E"/>
    <w:rsid w:val="00C21C2F"/>
    <w:rsid w:val="00C21C98"/>
    <w:rsid w:val="00C21DC0"/>
    <w:rsid w:val="00C21E4A"/>
    <w:rsid w:val="00C22A93"/>
    <w:rsid w:val="00C2302E"/>
    <w:rsid w:val="00C2309E"/>
    <w:rsid w:val="00C23323"/>
    <w:rsid w:val="00C23454"/>
    <w:rsid w:val="00C2383F"/>
    <w:rsid w:val="00C242FA"/>
    <w:rsid w:val="00C24525"/>
    <w:rsid w:val="00C245AC"/>
    <w:rsid w:val="00C2475E"/>
    <w:rsid w:val="00C24D78"/>
    <w:rsid w:val="00C250B9"/>
    <w:rsid w:val="00C253C4"/>
    <w:rsid w:val="00C25A95"/>
    <w:rsid w:val="00C25E29"/>
    <w:rsid w:val="00C266C6"/>
    <w:rsid w:val="00C2706B"/>
    <w:rsid w:val="00C27AD8"/>
    <w:rsid w:val="00C27D36"/>
    <w:rsid w:val="00C27E17"/>
    <w:rsid w:val="00C30692"/>
    <w:rsid w:val="00C310B7"/>
    <w:rsid w:val="00C31530"/>
    <w:rsid w:val="00C31C9D"/>
    <w:rsid w:val="00C31D83"/>
    <w:rsid w:val="00C31DB5"/>
    <w:rsid w:val="00C31E11"/>
    <w:rsid w:val="00C3269B"/>
    <w:rsid w:val="00C331A7"/>
    <w:rsid w:val="00C33304"/>
    <w:rsid w:val="00C338E8"/>
    <w:rsid w:val="00C339AD"/>
    <w:rsid w:val="00C33B83"/>
    <w:rsid w:val="00C33C90"/>
    <w:rsid w:val="00C34014"/>
    <w:rsid w:val="00C34139"/>
    <w:rsid w:val="00C342DC"/>
    <w:rsid w:val="00C3432C"/>
    <w:rsid w:val="00C34444"/>
    <w:rsid w:val="00C348FA"/>
    <w:rsid w:val="00C34A08"/>
    <w:rsid w:val="00C34B65"/>
    <w:rsid w:val="00C35195"/>
    <w:rsid w:val="00C36B21"/>
    <w:rsid w:val="00C36EAE"/>
    <w:rsid w:val="00C3710F"/>
    <w:rsid w:val="00C37143"/>
    <w:rsid w:val="00C37337"/>
    <w:rsid w:val="00C37760"/>
    <w:rsid w:val="00C37D21"/>
    <w:rsid w:val="00C40161"/>
    <w:rsid w:val="00C40281"/>
    <w:rsid w:val="00C41122"/>
    <w:rsid w:val="00C413FC"/>
    <w:rsid w:val="00C41C5F"/>
    <w:rsid w:val="00C42568"/>
    <w:rsid w:val="00C42D4E"/>
    <w:rsid w:val="00C42ECF"/>
    <w:rsid w:val="00C43183"/>
    <w:rsid w:val="00C43393"/>
    <w:rsid w:val="00C43B8A"/>
    <w:rsid w:val="00C44147"/>
    <w:rsid w:val="00C44585"/>
    <w:rsid w:val="00C447DF"/>
    <w:rsid w:val="00C4487A"/>
    <w:rsid w:val="00C45047"/>
    <w:rsid w:val="00C45434"/>
    <w:rsid w:val="00C45600"/>
    <w:rsid w:val="00C45850"/>
    <w:rsid w:val="00C45BB1"/>
    <w:rsid w:val="00C464D1"/>
    <w:rsid w:val="00C46861"/>
    <w:rsid w:val="00C46D57"/>
    <w:rsid w:val="00C46EA7"/>
    <w:rsid w:val="00C46F84"/>
    <w:rsid w:val="00C504BF"/>
    <w:rsid w:val="00C50743"/>
    <w:rsid w:val="00C50D18"/>
    <w:rsid w:val="00C50F40"/>
    <w:rsid w:val="00C511DB"/>
    <w:rsid w:val="00C5138B"/>
    <w:rsid w:val="00C51907"/>
    <w:rsid w:val="00C52DEE"/>
    <w:rsid w:val="00C5315B"/>
    <w:rsid w:val="00C535FA"/>
    <w:rsid w:val="00C53862"/>
    <w:rsid w:val="00C53F5A"/>
    <w:rsid w:val="00C540D9"/>
    <w:rsid w:val="00C540F1"/>
    <w:rsid w:val="00C54ABF"/>
    <w:rsid w:val="00C54B48"/>
    <w:rsid w:val="00C55013"/>
    <w:rsid w:val="00C5518B"/>
    <w:rsid w:val="00C563C9"/>
    <w:rsid w:val="00C563EB"/>
    <w:rsid w:val="00C565BF"/>
    <w:rsid w:val="00C5689F"/>
    <w:rsid w:val="00C60558"/>
    <w:rsid w:val="00C6109C"/>
    <w:rsid w:val="00C61EB7"/>
    <w:rsid w:val="00C6213F"/>
    <w:rsid w:val="00C639B6"/>
    <w:rsid w:val="00C63F31"/>
    <w:rsid w:val="00C646DE"/>
    <w:rsid w:val="00C64C85"/>
    <w:rsid w:val="00C6515E"/>
    <w:rsid w:val="00C662D7"/>
    <w:rsid w:val="00C67490"/>
    <w:rsid w:val="00C67543"/>
    <w:rsid w:val="00C6791E"/>
    <w:rsid w:val="00C67B70"/>
    <w:rsid w:val="00C701B5"/>
    <w:rsid w:val="00C71109"/>
    <w:rsid w:val="00C71731"/>
    <w:rsid w:val="00C71E32"/>
    <w:rsid w:val="00C72428"/>
    <w:rsid w:val="00C726E9"/>
    <w:rsid w:val="00C72810"/>
    <w:rsid w:val="00C72856"/>
    <w:rsid w:val="00C728C1"/>
    <w:rsid w:val="00C72EEA"/>
    <w:rsid w:val="00C73F1D"/>
    <w:rsid w:val="00C7519C"/>
    <w:rsid w:val="00C7557A"/>
    <w:rsid w:val="00C75843"/>
    <w:rsid w:val="00C75903"/>
    <w:rsid w:val="00C75E60"/>
    <w:rsid w:val="00C76940"/>
    <w:rsid w:val="00C76D4A"/>
    <w:rsid w:val="00C77987"/>
    <w:rsid w:val="00C77A5B"/>
    <w:rsid w:val="00C77BC8"/>
    <w:rsid w:val="00C80CAC"/>
    <w:rsid w:val="00C80DF5"/>
    <w:rsid w:val="00C80F7D"/>
    <w:rsid w:val="00C8119B"/>
    <w:rsid w:val="00C8188E"/>
    <w:rsid w:val="00C81AD6"/>
    <w:rsid w:val="00C823D6"/>
    <w:rsid w:val="00C82860"/>
    <w:rsid w:val="00C8336B"/>
    <w:rsid w:val="00C84117"/>
    <w:rsid w:val="00C84216"/>
    <w:rsid w:val="00C84567"/>
    <w:rsid w:val="00C84B0F"/>
    <w:rsid w:val="00C84D21"/>
    <w:rsid w:val="00C8506C"/>
    <w:rsid w:val="00C8510D"/>
    <w:rsid w:val="00C854C8"/>
    <w:rsid w:val="00C8591C"/>
    <w:rsid w:val="00C85EDD"/>
    <w:rsid w:val="00C8631E"/>
    <w:rsid w:val="00C87152"/>
    <w:rsid w:val="00C87412"/>
    <w:rsid w:val="00C879A0"/>
    <w:rsid w:val="00C87CE2"/>
    <w:rsid w:val="00C87F78"/>
    <w:rsid w:val="00C9017B"/>
    <w:rsid w:val="00C90831"/>
    <w:rsid w:val="00C908D2"/>
    <w:rsid w:val="00C90C16"/>
    <w:rsid w:val="00C91472"/>
    <w:rsid w:val="00C91D47"/>
    <w:rsid w:val="00C91EE4"/>
    <w:rsid w:val="00C920AE"/>
    <w:rsid w:val="00C92137"/>
    <w:rsid w:val="00C92AFD"/>
    <w:rsid w:val="00C93C77"/>
    <w:rsid w:val="00C943C9"/>
    <w:rsid w:val="00C94624"/>
    <w:rsid w:val="00C94971"/>
    <w:rsid w:val="00C94BF1"/>
    <w:rsid w:val="00C94D25"/>
    <w:rsid w:val="00C94F54"/>
    <w:rsid w:val="00C9518F"/>
    <w:rsid w:val="00C95896"/>
    <w:rsid w:val="00C95993"/>
    <w:rsid w:val="00C96392"/>
    <w:rsid w:val="00C965C9"/>
    <w:rsid w:val="00C97080"/>
    <w:rsid w:val="00C97B79"/>
    <w:rsid w:val="00C97DB6"/>
    <w:rsid w:val="00CA01B8"/>
    <w:rsid w:val="00CA0200"/>
    <w:rsid w:val="00CA0451"/>
    <w:rsid w:val="00CA06E8"/>
    <w:rsid w:val="00CA0989"/>
    <w:rsid w:val="00CA09A7"/>
    <w:rsid w:val="00CA0A9D"/>
    <w:rsid w:val="00CA1A2F"/>
    <w:rsid w:val="00CA2F00"/>
    <w:rsid w:val="00CA3A13"/>
    <w:rsid w:val="00CA3F7D"/>
    <w:rsid w:val="00CA43D3"/>
    <w:rsid w:val="00CA4419"/>
    <w:rsid w:val="00CA4495"/>
    <w:rsid w:val="00CA4978"/>
    <w:rsid w:val="00CA4A26"/>
    <w:rsid w:val="00CA5576"/>
    <w:rsid w:val="00CA5C3B"/>
    <w:rsid w:val="00CA61A5"/>
    <w:rsid w:val="00CA664D"/>
    <w:rsid w:val="00CA6685"/>
    <w:rsid w:val="00CA6793"/>
    <w:rsid w:val="00CA6AE1"/>
    <w:rsid w:val="00CA6D68"/>
    <w:rsid w:val="00CA6DC3"/>
    <w:rsid w:val="00CA6EDA"/>
    <w:rsid w:val="00CA71D5"/>
    <w:rsid w:val="00CA71E8"/>
    <w:rsid w:val="00CA71FB"/>
    <w:rsid w:val="00CA735B"/>
    <w:rsid w:val="00CA7577"/>
    <w:rsid w:val="00CA78B4"/>
    <w:rsid w:val="00CA7A5E"/>
    <w:rsid w:val="00CA7B3F"/>
    <w:rsid w:val="00CB0507"/>
    <w:rsid w:val="00CB0A53"/>
    <w:rsid w:val="00CB0F12"/>
    <w:rsid w:val="00CB106A"/>
    <w:rsid w:val="00CB12D5"/>
    <w:rsid w:val="00CB24BB"/>
    <w:rsid w:val="00CB2C33"/>
    <w:rsid w:val="00CB2EF5"/>
    <w:rsid w:val="00CB3537"/>
    <w:rsid w:val="00CB42D8"/>
    <w:rsid w:val="00CB4670"/>
    <w:rsid w:val="00CB46F7"/>
    <w:rsid w:val="00CB4730"/>
    <w:rsid w:val="00CB48E2"/>
    <w:rsid w:val="00CB4C9A"/>
    <w:rsid w:val="00CB56C7"/>
    <w:rsid w:val="00CB57DD"/>
    <w:rsid w:val="00CB5B83"/>
    <w:rsid w:val="00CB63D6"/>
    <w:rsid w:val="00CB6ACC"/>
    <w:rsid w:val="00CB6EC4"/>
    <w:rsid w:val="00CB7F7F"/>
    <w:rsid w:val="00CC06F0"/>
    <w:rsid w:val="00CC0C8B"/>
    <w:rsid w:val="00CC1402"/>
    <w:rsid w:val="00CC1978"/>
    <w:rsid w:val="00CC2BB6"/>
    <w:rsid w:val="00CC2BD8"/>
    <w:rsid w:val="00CC2C52"/>
    <w:rsid w:val="00CC2D4C"/>
    <w:rsid w:val="00CC3397"/>
    <w:rsid w:val="00CC3849"/>
    <w:rsid w:val="00CC3D03"/>
    <w:rsid w:val="00CC41C3"/>
    <w:rsid w:val="00CC47B6"/>
    <w:rsid w:val="00CC5287"/>
    <w:rsid w:val="00CC54A1"/>
    <w:rsid w:val="00CC5812"/>
    <w:rsid w:val="00CC5CEF"/>
    <w:rsid w:val="00CC622F"/>
    <w:rsid w:val="00CC628D"/>
    <w:rsid w:val="00CC64FA"/>
    <w:rsid w:val="00CC6D4A"/>
    <w:rsid w:val="00CC7B98"/>
    <w:rsid w:val="00CC7C65"/>
    <w:rsid w:val="00CC7EFB"/>
    <w:rsid w:val="00CD1170"/>
    <w:rsid w:val="00CD140E"/>
    <w:rsid w:val="00CD149B"/>
    <w:rsid w:val="00CD1568"/>
    <w:rsid w:val="00CD1C00"/>
    <w:rsid w:val="00CD1F97"/>
    <w:rsid w:val="00CD1FAF"/>
    <w:rsid w:val="00CD25F9"/>
    <w:rsid w:val="00CD2D33"/>
    <w:rsid w:val="00CD2EDF"/>
    <w:rsid w:val="00CD3293"/>
    <w:rsid w:val="00CD3647"/>
    <w:rsid w:val="00CD3708"/>
    <w:rsid w:val="00CD388A"/>
    <w:rsid w:val="00CD3B1B"/>
    <w:rsid w:val="00CD3D8C"/>
    <w:rsid w:val="00CD432F"/>
    <w:rsid w:val="00CD4342"/>
    <w:rsid w:val="00CD4573"/>
    <w:rsid w:val="00CD4CCF"/>
    <w:rsid w:val="00CD546C"/>
    <w:rsid w:val="00CD5AED"/>
    <w:rsid w:val="00CD5F96"/>
    <w:rsid w:val="00CD5FF4"/>
    <w:rsid w:val="00CD62A5"/>
    <w:rsid w:val="00CD655C"/>
    <w:rsid w:val="00CD6825"/>
    <w:rsid w:val="00CD760E"/>
    <w:rsid w:val="00CD764B"/>
    <w:rsid w:val="00CD7795"/>
    <w:rsid w:val="00CD7C96"/>
    <w:rsid w:val="00CD7F44"/>
    <w:rsid w:val="00CE020B"/>
    <w:rsid w:val="00CE038A"/>
    <w:rsid w:val="00CE0647"/>
    <w:rsid w:val="00CE06C6"/>
    <w:rsid w:val="00CE0901"/>
    <w:rsid w:val="00CE093B"/>
    <w:rsid w:val="00CE09CA"/>
    <w:rsid w:val="00CE14D8"/>
    <w:rsid w:val="00CE1A6B"/>
    <w:rsid w:val="00CE1BB7"/>
    <w:rsid w:val="00CE2193"/>
    <w:rsid w:val="00CE24AC"/>
    <w:rsid w:val="00CE251B"/>
    <w:rsid w:val="00CE3933"/>
    <w:rsid w:val="00CE3A63"/>
    <w:rsid w:val="00CE3B9D"/>
    <w:rsid w:val="00CE3F07"/>
    <w:rsid w:val="00CE417E"/>
    <w:rsid w:val="00CE45F1"/>
    <w:rsid w:val="00CE4BD7"/>
    <w:rsid w:val="00CE544A"/>
    <w:rsid w:val="00CE5ADE"/>
    <w:rsid w:val="00CE5F41"/>
    <w:rsid w:val="00CE6718"/>
    <w:rsid w:val="00CE6B7F"/>
    <w:rsid w:val="00CE6DE9"/>
    <w:rsid w:val="00CE6FAC"/>
    <w:rsid w:val="00CE722F"/>
    <w:rsid w:val="00CE775E"/>
    <w:rsid w:val="00CE7D27"/>
    <w:rsid w:val="00CF0051"/>
    <w:rsid w:val="00CF03E5"/>
    <w:rsid w:val="00CF0A0E"/>
    <w:rsid w:val="00CF0D84"/>
    <w:rsid w:val="00CF0DDE"/>
    <w:rsid w:val="00CF108E"/>
    <w:rsid w:val="00CF10C9"/>
    <w:rsid w:val="00CF114F"/>
    <w:rsid w:val="00CF1E08"/>
    <w:rsid w:val="00CF235E"/>
    <w:rsid w:val="00CF2B08"/>
    <w:rsid w:val="00CF2E19"/>
    <w:rsid w:val="00CF2F44"/>
    <w:rsid w:val="00CF3B9D"/>
    <w:rsid w:val="00CF3D0A"/>
    <w:rsid w:val="00CF412E"/>
    <w:rsid w:val="00CF4876"/>
    <w:rsid w:val="00CF4E18"/>
    <w:rsid w:val="00CF519E"/>
    <w:rsid w:val="00CF54AD"/>
    <w:rsid w:val="00CF5712"/>
    <w:rsid w:val="00CF57E6"/>
    <w:rsid w:val="00CF59A8"/>
    <w:rsid w:val="00CF5B33"/>
    <w:rsid w:val="00CF68AA"/>
    <w:rsid w:val="00CF6CA7"/>
    <w:rsid w:val="00CF772C"/>
    <w:rsid w:val="00CF7A32"/>
    <w:rsid w:val="00CF7F25"/>
    <w:rsid w:val="00D00949"/>
    <w:rsid w:val="00D01580"/>
    <w:rsid w:val="00D015C7"/>
    <w:rsid w:val="00D0171C"/>
    <w:rsid w:val="00D01842"/>
    <w:rsid w:val="00D018C4"/>
    <w:rsid w:val="00D028EB"/>
    <w:rsid w:val="00D02CEB"/>
    <w:rsid w:val="00D02E33"/>
    <w:rsid w:val="00D02FE5"/>
    <w:rsid w:val="00D041B5"/>
    <w:rsid w:val="00D041EB"/>
    <w:rsid w:val="00D04204"/>
    <w:rsid w:val="00D043A0"/>
    <w:rsid w:val="00D04C53"/>
    <w:rsid w:val="00D04E01"/>
    <w:rsid w:val="00D05435"/>
    <w:rsid w:val="00D063CB"/>
    <w:rsid w:val="00D0640C"/>
    <w:rsid w:val="00D06BCA"/>
    <w:rsid w:val="00D0741B"/>
    <w:rsid w:val="00D07769"/>
    <w:rsid w:val="00D077C3"/>
    <w:rsid w:val="00D07800"/>
    <w:rsid w:val="00D07F18"/>
    <w:rsid w:val="00D1049F"/>
    <w:rsid w:val="00D10654"/>
    <w:rsid w:val="00D120E1"/>
    <w:rsid w:val="00D12F7E"/>
    <w:rsid w:val="00D1386F"/>
    <w:rsid w:val="00D142E1"/>
    <w:rsid w:val="00D143D0"/>
    <w:rsid w:val="00D145F3"/>
    <w:rsid w:val="00D149B8"/>
    <w:rsid w:val="00D152EE"/>
    <w:rsid w:val="00D15932"/>
    <w:rsid w:val="00D1662C"/>
    <w:rsid w:val="00D16CAE"/>
    <w:rsid w:val="00D171BD"/>
    <w:rsid w:val="00D1782F"/>
    <w:rsid w:val="00D17DDF"/>
    <w:rsid w:val="00D20149"/>
    <w:rsid w:val="00D20459"/>
    <w:rsid w:val="00D20CA4"/>
    <w:rsid w:val="00D21658"/>
    <w:rsid w:val="00D21D6D"/>
    <w:rsid w:val="00D2288C"/>
    <w:rsid w:val="00D22ABB"/>
    <w:rsid w:val="00D22B6E"/>
    <w:rsid w:val="00D22CAD"/>
    <w:rsid w:val="00D230C4"/>
    <w:rsid w:val="00D231F3"/>
    <w:rsid w:val="00D23EFB"/>
    <w:rsid w:val="00D241E7"/>
    <w:rsid w:val="00D242AC"/>
    <w:rsid w:val="00D242DD"/>
    <w:rsid w:val="00D245A9"/>
    <w:rsid w:val="00D249EE"/>
    <w:rsid w:val="00D24D48"/>
    <w:rsid w:val="00D2523A"/>
    <w:rsid w:val="00D25E3F"/>
    <w:rsid w:val="00D26063"/>
    <w:rsid w:val="00D26097"/>
    <w:rsid w:val="00D26757"/>
    <w:rsid w:val="00D26DCE"/>
    <w:rsid w:val="00D271FD"/>
    <w:rsid w:val="00D27378"/>
    <w:rsid w:val="00D27633"/>
    <w:rsid w:val="00D279E0"/>
    <w:rsid w:val="00D27A85"/>
    <w:rsid w:val="00D27B06"/>
    <w:rsid w:val="00D27B08"/>
    <w:rsid w:val="00D30596"/>
    <w:rsid w:val="00D3065F"/>
    <w:rsid w:val="00D308FC"/>
    <w:rsid w:val="00D3130A"/>
    <w:rsid w:val="00D31DBE"/>
    <w:rsid w:val="00D31ED4"/>
    <w:rsid w:val="00D327E8"/>
    <w:rsid w:val="00D330DE"/>
    <w:rsid w:val="00D34442"/>
    <w:rsid w:val="00D3504F"/>
    <w:rsid w:val="00D35344"/>
    <w:rsid w:val="00D355D2"/>
    <w:rsid w:val="00D36018"/>
    <w:rsid w:val="00D365DA"/>
    <w:rsid w:val="00D368FF"/>
    <w:rsid w:val="00D36A0A"/>
    <w:rsid w:val="00D36B9C"/>
    <w:rsid w:val="00D378A8"/>
    <w:rsid w:val="00D378C1"/>
    <w:rsid w:val="00D379AB"/>
    <w:rsid w:val="00D37A1A"/>
    <w:rsid w:val="00D4029E"/>
    <w:rsid w:val="00D406A0"/>
    <w:rsid w:val="00D41AB9"/>
    <w:rsid w:val="00D41CA8"/>
    <w:rsid w:val="00D41F3B"/>
    <w:rsid w:val="00D42B62"/>
    <w:rsid w:val="00D42E03"/>
    <w:rsid w:val="00D43963"/>
    <w:rsid w:val="00D449B4"/>
    <w:rsid w:val="00D44C74"/>
    <w:rsid w:val="00D44EA7"/>
    <w:rsid w:val="00D44F7D"/>
    <w:rsid w:val="00D4515C"/>
    <w:rsid w:val="00D45280"/>
    <w:rsid w:val="00D4558C"/>
    <w:rsid w:val="00D4589C"/>
    <w:rsid w:val="00D45C4D"/>
    <w:rsid w:val="00D46603"/>
    <w:rsid w:val="00D46655"/>
    <w:rsid w:val="00D46AC5"/>
    <w:rsid w:val="00D46BC4"/>
    <w:rsid w:val="00D46D92"/>
    <w:rsid w:val="00D46ECD"/>
    <w:rsid w:val="00D47144"/>
    <w:rsid w:val="00D477ED"/>
    <w:rsid w:val="00D50EA5"/>
    <w:rsid w:val="00D516E0"/>
    <w:rsid w:val="00D51860"/>
    <w:rsid w:val="00D51CC0"/>
    <w:rsid w:val="00D51DDC"/>
    <w:rsid w:val="00D5236D"/>
    <w:rsid w:val="00D5237E"/>
    <w:rsid w:val="00D528E3"/>
    <w:rsid w:val="00D52DD0"/>
    <w:rsid w:val="00D5344C"/>
    <w:rsid w:val="00D54438"/>
    <w:rsid w:val="00D54B37"/>
    <w:rsid w:val="00D54E2F"/>
    <w:rsid w:val="00D550D9"/>
    <w:rsid w:val="00D555A1"/>
    <w:rsid w:val="00D55B9A"/>
    <w:rsid w:val="00D55C7E"/>
    <w:rsid w:val="00D55C8C"/>
    <w:rsid w:val="00D56221"/>
    <w:rsid w:val="00D563E7"/>
    <w:rsid w:val="00D56426"/>
    <w:rsid w:val="00D565BC"/>
    <w:rsid w:val="00D56A8E"/>
    <w:rsid w:val="00D573F7"/>
    <w:rsid w:val="00D575E9"/>
    <w:rsid w:val="00D577D6"/>
    <w:rsid w:val="00D5790A"/>
    <w:rsid w:val="00D57C66"/>
    <w:rsid w:val="00D606C5"/>
    <w:rsid w:val="00D60910"/>
    <w:rsid w:val="00D60F1D"/>
    <w:rsid w:val="00D614B5"/>
    <w:rsid w:val="00D61512"/>
    <w:rsid w:val="00D616EB"/>
    <w:rsid w:val="00D6172B"/>
    <w:rsid w:val="00D6287F"/>
    <w:rsid w:val="00D628D7"/>
    <w:rsid w:val="00D63203"/>
    <w:rsid w:val="00D63620"/>
    <w:rsid w:val="00D64036"/>
    <w:rsid w:val="00D641F8"/>
    <w:rsid w:val="00D6484B"/>
    <w:rsid w:val="00D653D1"/>
    <w:rsid w:val="00D65C80"/>
    <w:rsid w:val="00D65FF6"/>
    <w:rsid w:val="00D66CD5"/>
    <w:rsid w:val="00D67333"/>
    <w:rsid w:val="00D677D0"/>
    <w:rsid w:val="00D70121"/>
    <w:rsid w:val="00D70272"/>
    <w:rsid w:val="00D703A6"/>
    <w:rsid w:val="00D70545"/>
    <w:rsid w:val="00D714F4"/>
    <w:rsid w:val="00D7153E"/>
    <w:rsid w:val="00D71BFA"/>
    <w:rsid w:val="00D71D7D"/>
    <w:rsid w:val="00D72478"/>
    <w:rsid w:val="00D724AE"/>
    <w:rsid w:val="00D7395C"/>
    <w:rsid w:val="00D73A57"/>
    <w:rsid w:val="00D73F5D"/>
    <w:rsid w:val="00D73FFB"/>
    <w:rsid w:val="00D7428C"/>
    <w:rsid w:val="00D748CE"/>
    <w:rsid w:val="00D752A7"/>
    <w:rsid w:val="00D7569A"/>
    <w:rsid w:val="00D756C0"/>
    <w:rsid w:val="00D75944"/>
    <w:rsid w:val="00D75CBA"/>
    <w:rsid w:val="00D763BF"/>
    <w:rsid w:val="00D77018"/>
    <w:rsid w:val="00D777FB"/>
    <w:rsid w:val="00D77981"/>
    <w:rsid w:val="00D77ADA"/>
    <w:rsid w:val="00D8025A"/>
    <w:rsid w:val="00D80456"/>
    <w:rsid w:val="00D80644"/>
    <w:rsid w:val="00D80A78"/>
    <w:rsid w:val="00D80B15"/>
    <w:rsid w:val="00D8129A"/>
    <w:rsid w:val="00D812A4"/>
    <w:rsid w:val="00D819CD"/>
    <w:rsid w:val="00D81CF9"/>
    <w:rsid w:val="00D81E43"/>
    <w:rsid w:val="00D825A4"/>
    <w:rsid w:val="00D8273A"/>
    <w:rsid w:val="00D82BA9"/>
    <w:rsid w:val="00D84641"/>
    <w:rsid w:val="00D8488C"/>
    <w:rsid w:val="00D84C22"/>
    <w:rsid w:val="00D84E39"/>
    <w:rsid w:val="00D84F58"/>
    <w:rsid w:val="00D8502A"/>
    <w:rsid w:val="00D8519B"/>
    <w:rsid w:val="00D854E2"/>
    <w:rsid w:val="00D85B31"/>
    <w:rsid w:val="00D860DB"/>
    <w:rsid w:val="00D86C76"/>
    <w:rsid w:val="00D86D8E"/>
    <w:rsid w:val="00D86FB1"/>
    <w:rsid w:val="00D870EE"/>
    <w:rsid w:val="00D87641"/>
    <w:rsid w:val="00D9027A"/>
    <w:rsid w:val="00D902A9"/>
    <w:rsid w:val="00D903DC"/>
    <w:rsid w:val="00D90432"/>
    <w:rsid w:val="00D9058E"/>
    <w:rsid w:val="00D9067F"/>
    <w:rsid w:val="00D9073B"/>
    <w:rsid w:val="00D908B1"/>
    <w:rsid w:val="00D90C54"/>
    <w:rsid w:val="00D90CC7"/>
    <w:rsid w:val="00D910D4"/>
    <w:rsid w:val="00D912AB"/>
    <w:rsid w:val="00D91473"/>
    <w:rsid w:val="00D9148A"/>
    <w:rsid w:val="00D91506"/>
    <w:rsid w:val="00D91C7B"/>
    <w:rsid w:val="00D91D10"/>
    <w:rsid w:val="00D9235B"/>
    <w:rsid w:val="00D9261B"/>
    <w:rsid w:val="00D92668"/>
    <w:rsid w:val="00D92727"/>
    <w:rsid w:val="00D92AC0"/>
    <w:rsid w:val="00D92BCF"/>
    <w:rsid w:val="00D931D6"/>
    <w:rsid w:val="00D937B1"/>
    <w:rsid w:val="00D93FAE"/>
    <w:rsid w:val="00D93FB8"/>
    <w:rsid w:val="00D95253"/>
    <w:rsid w:val="00D95590"/>
    <w:rsid w:val="00D95973"/>
    <w:rsid w:val="00D962AA"/>
    <w:rsid w:val="00D9680F"/>
    <w:rsid w:val="00D96904"/>
    <w:rsid w:val="00D96ABE"/>
    <w:rsid w:val="00D96FFA"/>
    <w:rsid w:val="00D970A4"/>
    <w:rsid w:val="00D9721A"/>
    <w:rsid w:val="00D97753"/>
    <w:rsid w:val="00D97CCB"/>
    <w:rsid w:val="00D97DE1"/>
    <w:rsid w:val="00DA0270"/>
    <w:rsid w:val="00DA0406"/>
    <w:rsid w:val="00DA04CE"/>
    <w:rsid w:val="00DA13D5"/>
    <w:rsid w:val="00DA1DA2"/>
    <w:rsid w:val="00DA2011"/>
    <w:rsid w:val="00DA24B4"/>
    <w:rsid w:val="00DA2783"/>
    <w:rsid w:val="00DA294B"/>
    <w:rsid w:val="00DA2B0C"/>
    <w:rsid w:val="00DA2EA3"/>
    <w:rsid w:val="00DA2F54"/>
    <w:rsid w:val="00DA3396"/>
    <w:rsid w:val="00DA38F0"/>
    <w:rsid w:val="00DA40C8"/>
    <w:rsid w:val="00DA428A"/>
    <w:rsid w:val="00DA4676"/>
    <w:rsid w:val="00DA6A7E"/>
    <w:rsid w:val="00DA6CA5"/>
    <w:rsid w:val="00DA6DD4"/>
    <w:rsid w:val="00DA6F7B"/>
    <w:rsid w:val="00DA7217"/>
    <w:rsid w:val="00DA75DD"/>
    <w:rsid w:val="00DA7DEB"/>
    <w:rsid w:val="00DB01EA"/>
    <w:rsid w:val="00DB054B"/>
    <w:rsid w:val="00DB11F2"/>
    <w:rsid w:val="00DB120A"/>
    <w:rsid w:val="00DB1493"/>
    <w:rsid w:val="00DB1C43"/>
    <w:rsid w:val="00DB1D2E"/>
    <w:rsid w:val="00DB32B9"/>
    <w:rsid w:val="00DB32FF"/>
    <w:rsid w:val="00DB36EF"/>
    <w:rsid w:val="00DB380B"/>
    <w:rsid w:val="00DB431F"/>
    <w:rsid w:val="00DB4CD9"/>
    <w:rsid w:val="00DB51F1"/>
    <w:rsid w:val="00DB5518"/>
    <w:rsid w:val="00DB561D"/>
    <w:rsid w:val="00DB6E96"/>
    <w:rsid w:val="00DB6FFA"/>
    <w:rsid w:val="00DB71F1"/>
    <w:rsid w:val="00DB72DC"/>
    <w:rsid w:val="00DB79A1"/>
    <w:rsid w:val="00DB7D2C"/>
    <w:rsid w:val="00DC0433"/>
    <w:rsid w:val="00DC097D"/>
    <w:rsid w:val="00DC0B51"/>
    <w:rsid w:val="00DC0B8D"/>
    <w:rsid w:val="00DC1EE4"/>
    <w:rsid w:val="00DC20D7"/>
    <w:rsid w:val="00DC2393"/>
    <w:rsid w:val="00DC2ABF"/>
    <w:rsid w:val="00DC2C91"/>
    <w:rsid w:val="00DC2EA8"/>
    <w:rsid w:val="00DC307A"/>
    <w:rsid w:val="00DC3503"/>
    <w:rsid w:val="00DC352A"/>
    <w:rsid w:val="00DC3B9C"/>
    <w:rsid w:val="00DC3F43"/>
    <w:rsid w:val="00DC4363"/>
    <w:rsid w:val="00DC4641"/>
    <w:rsid w:val="00DC497D"/>
    <w:rsid w:val="00DC52D1"/>
    <w:rsid w:val="00DC661B"/>
    <w:rsid w:val="00DC6886"/>
    <w:rsid w:val="00DC6CBE"/>
    <w:rsid w:val="00DD0253"/>
    <w:rsid w:val="00DD03B5"/>
    <w:rsid w:val="00DD06F3"/>
    <w:rsid w:val="00DD0779"/>
    <w:rsid w:val="00DD07D2"/>
    <w:rsid w:val="00DD18EB"/>
    <w:rsid w:val="00DD1DB3"/>
    <w:rsid w:val="00DD1FE3"/>
    <w:rsid w:val="00DD2CCC"/>
    <w:rsid w:val="00DD3328"/>
    <w:rsid w:val="00DD3338"/>
    <w:rsid w:val="00DD3482"/>
    <w:rsid w:val="00DD34C7"/>
    <w:rsid w:val="00DD3AA4"/>
    <w:rsid w:val="00DD3B8F"/>
    <w:rsid w:val="00DD3C6A"/>
    <w:rsid w:val="00DD4192"/>
    <w:rsid w:val="00DD4486"/>
    <w:rsid w:val="00DD4528"/>
    <w:rsid w:val="00DD4B22"/>
    <w:rsid w:val="00DD4EA6"/>
    <w:rsid w:val="00DD5215"/>
    <w:rsid w:val="00DD5513"/>
    <w:rsid w:val="00DD55C5"/>
    <w:rsid w:val="00DD5ACF"/>
    <w:rsid w:val="00DD65C1"/>
    <w:rsid w:val="00DD718E"/>
    <w:rsid w:val="00DD7581"/>
    <w:rsid w:val="00DD75C3"/>
    <w:rsid w:val="00DD76D6"/>
    <w:rsid w:val="00DD7ACB"/>
    <w:rsid w:val="00DD7B54"/>
    <w:rsid w:val="00DD7B73"/>
    <w:rsid w:val="00DD7FDB"/>
    <w:rsid w:val="00DE03AD"/>
    <w:rsid w:val="00DE0E1F"/>
    <w:rsid w:val="00DE0EDA"/>
    <w:rsid w:val="00DE100A"/>
    <w:rsid w:val="00DE12DA"/>
    <w:rsid w:val="00DE14A5"/>
    <w:rsid w:val="00DE14B5"/>
    <w:rsid w:val="00DE1A6D"/>
    <w:rsid w:val="00DE1BF1"/>
    <w:rsid w:val="00DE27DE"/>
    <w:rsid w:val="00DE2CAD"/>
    <w:rsid w:val="00DE3297"/>
    <w:rsid w:val="00DE42FA"/>
    <w:rsid w:val="00DE4A2D"/>
    <w:rsid w:val="00DE51C0"/>
    <w:rsid w:val="00DE5312"/>
    <w:rsid w:val="00DE5733"/>
    <w:rsid w:val="00DE59D6"/>
    <w:rsid w:val="00DE5AB7"/>
    <w:rsid w:val="00DE5B1E"/>
    <w:rsid w:val="00DE612B"/>
    <w:rsid w:val="00DE639C"/>
    <w:rsid w:val="00DE67E4"/>
    <w:rsid w:val="00DE6954"/>
    <w:rsid w:val="00DE6C59"/>
    <w:rsid w:val="00DE7C99"/>
    <w:rsid w:val="00DF0B9A"/>
    <w:rsid w:val="00DF1766"/>
    <w:rsid w:val="00DF1F6C"/>
    <w:rsid w:val="00DF23F7"/>
    <w:rsid w:val="00DF2827"/>
    <w:rsid w:val="00DF2969"/>
    <w:rsid w:val="00DF2B21"/>
    <w:rsid w:val="00DF312D"/>
    <w:rsid w:val="00DF3B7C"/>
    <w:rsid w:val="00DF3F0F"/>
    <w:rsid w:val="00DF3F9A"/>
    <w:rsid w:val="00DF458D"/>
    <w:rsid w:val="00DF459F"/>
    <w:rsid w:val="00DF5002"/>
    <w:rsid w:val="00DF549C"/>
    <w:rsid w:val="00DF5744"/>
    <w:rsid w:val="00DF62AB"/>
    <w:rsid w:val="00DF631D"/>
    <w:rsid w:val="00DF7693"/>
    <w:rsid w:val="00DF796A"/>
    <w:rsid w:val="00DF7986"/>
    <w:rsid w:val="00DF7B1C"/>
    <w:rsid w:val="00E005F8"/>
    <w:rsid w:val="00E00CB3"/>
    <w:rsid w:val="00E01D80"/>
    <w:rsid w:val="00E0233D"/>
    <w:rsid w:val="00E023C0"/>
    <w:rsid w:val="00E023E6"/>
    <w:rsid w:val="00E033B7"/>
    <w:rsid w:val="00E03A8F"/>
    <w:rsid w:val="00E0454B"/>
    <w:rsid w:val="00E058FC"/>
    <w:rsid w:val="00E059CC"/>
    <w:rsid w:val="00E05E23"/>
    <w:rsid w:val="00E06225"/>
    <w:rsid w:val="00E06292"/>
    <w:rsid w:val="00E06744"/>
    <w:rsid w:val="00E06BB3"/>
    <w:rsid w:val="00E07818"/>
    <w:rsid w:val="00E079AA"/>
    <w:rsid w:val="00E07ACB"/>
    <w:rsid w:val="00E07CD0"/>
    <w:rsid w:val="00E1037B"/>
    <w:rsid w:val="00E105A2"/>
    <w:rsid w:val="00E108A6"/>
    <w:rsid w:val="00E10F06"/>
    <w:rsid w:val="00E112DA"/>
    <w:rsid w:val="00E11C7E"/>
    <w:rsid w:val="00E11E01"/>
    <w:rsid w:val="00E11F18"/>
    <w:rsid w:val="00E12CE6"/>
    <w:rsid w:val="00E12DCA"/>
    <w:rsid w:val="00E1310B"/>
    <w:rsid w:val="00E136B9"/>
    <w:rsid w:val="00E13750"/>
    <w:rsid w:val="00E14380"/>
    <w:rsid w:val="00E144CF"/>
    <w:rsid w:val="00E1466B"/>
    <w:rsid w:val="00E14CED"/>
    <w:rsid w:val="00E155B4"/>
    <w:rsid w:val="00E156DE"/>
    <w:rsid w:val="00E16157"/>
    <w:rsid w:val="00E161BF"/>
    <w:rsid w:val="00E166D9"/>
    <w:rsid w:val="00E168AC"/>
    <w:rsid w:val="00E16A56"/>
    <w:rsid w:val="00E16BAD"/>
    <w:rsid w:val="00E173FA"/>
    <w:rsid w:val="00E17A65"/>
    <w:rsid w:val="00E20219"/>
    <w:rsid w:val="00E20248"/>
    <w:rsid w:val="00E204A4"/>
    <w:rsid w:val="00E206C7"/>
    <w:rsid w:val="00E209F3"/>
    <w:rsid w:val="00E20F8E"/>
    <w:rsid w:val="00E21270"/>
    <w:rsid w:val="00E21492"/>
    <w:rsid w:val="00E214F7"/>
    <w:rsid w:val="00E216A4"/>
    <w:rsid w:val="00E21DFA"/>
    <w:rsid w:val="00E2265E"/>
    <w:rsid w:val="00E22E06"/>
    <w:rsid w:val="00E23199"/>
    <w:rsid w:val="00E233E5"/>
    <w:rsid w:val="00E23CD7"/>
    <w:rsid w:val="00E24019"/>
    <w:rsid w:val="00E2558C"/>
    <w:rsid w:val="00E25751"/>
    <w:rsid w:val="00E257E5"/>
    <w:rsid w:val="00E26349"/>
    <w:rsid w:val="00E265AF"/>
    <w:rsid w:val="00E266F0"/>
    <w:rsid w:val="00E26BA7"/>
    <w:rsid w:val="00E26EB3"/>
    <w:rsid w:val="00E26FD9"/>
    <w:rsid w:val="00E30151"/>
    <w:rsid w:val="00E3038C"/>
    <w:rsid w:val="00E30A8E"/>
    <w:rsid w:val="00E30C9F"/>
    <w:rsid w:val="00E30E58"/>
    <w:rsid w:val="00E31172"/>
    <w:rsid w:val="00E3165B"/>
    <w:rsid w:val="00E31A50"/>
    <w:rsid w:val="00E31CDA"/>
    <w:rsid w:val="00E31CF0"/>
    <w:rsid w:val="00E3231A"/>
    <w:rsid w:val="00E3272F"/>
    <w:rsid w:val="00E32B48"/>
    <w:rsid w:val="00E32E96"/>
    <w:rsid w:val="00E330F3"/>
    <w:rsid w:val="00E33274"/>
    <w:rsid w:val="00E338B5"/>
    <w:rsid w:val="00E33AC7"/>
    <w:rsid w:val="00E35354"/>
    <w:rsid w:val="00E35B2E"/>
    <w:rsid w:val="00E35F1A"/>
    <w:rsid w:val="00E36565"/>
    <w:rsid w:val="00E36B10"/>
    <w:rsid w:val="00E36BC8"/>
    <w:rsid w:val="00E3701A"/>
    <w:rsid w:val="00E3704F"/>
    <w:rsid w:val="00E3710B"/>
    <w:rsid w:val="00E372D5"/>
    <w:rsid w:val="00E37BC4"/>
    <w:rsid w:val="00E37E3A"/>
    <w:rsid w:val="00E40A9C"/>
    <w:rsid w:val="00E40B5F"/>
    <w:rsid w:val="00E40EE9"/>
    <w:rsid w:val="00E40FEF"/>
    <w:rsid w:val="00E4128D"/>
    <w:rsid w:val="00E41814"/>
    <w:rsid w:val="00E41CC4"/>
    <w:rsid w:val="00E421E0"/>
    <w:rsid w:val="00E429B9"/>
    <w:rsid w:val="00E42FBA"/>
    <w:rsid w:val="00E4394C"/>
    <w:rsid w:val="00E43CE3"/>
    <w:rsid w:val="00E443CD"/>
    <w:rsid w:val="00E44CFF"/>
    <w:rsid w:val="00E45561"/>
    <w:rsid w:val="00E45659"/>
    <w:rsid w:val="00E45716"/>
    <w:rsid w:val="00E45BA3"/>
    <w:rsid w:val="00E45F41"/>
    <w:rsid w:val="00E4662B"/>
    <w:rsid w:val="00E467E9"/>
    <w:rsid w:val="00E47EF7"/>
    <w:rsid w:val="00E5033A"/>
    <w:rsid w:val="00E50648"/>
    <w:rsid w:val="00E5113C"/>
    <w:rsid w:val="00E511C8"/>
    <w:rsid w:val="00E516C3"/>
    <w:rsid w:val="00E51EF1"/>
    <w:rsid w:val="00E51F56"/>
    <w:rsid w:val="00E52B15"/>
    <w:rsid w:val="00E534B3"/>
    <w:rsid w:val="00E53A6F"/>
    <w:rsid w:val="00E53BB0"/>
    <w:rsid w:val="00E54121"/>
    <w:rsid w:val="00E54915"/>
    <w:rsid w:val="00E54DB2"/>
    <w:rsid w:val="00E5524D"/>
    <w:rsid w:val="00E553A6"/>
    <w:rsid w:val="00E5550F"/>
    <w:rsid w:val="00E55517"/>
    <w:rsid w:val="00E558B7"/>
    <w:rsid w:val="00E55A18"/>
    <w:rsid w:val="00E55A57"/>
    <w:rsid w:val="00E55C78"/>
    <w:rsid w:val="00E56436"/>
    <w:rsid w:val="00E5667B"/>
    <w:rsid w:val="00E56E86"/>
    <w:rsid w:val="00E57016"/>
    <w:rsid w:val="00E57405"/>
    <w:rsid w:val="00E579B8"/>
    <w:rsid w:val="00E600FF"/>
    <w:rsid w:val="00E603F1"/>
    <w:rsid w:val="00E60418"/>
    <w:rsid w:val="00E60677"/>
    <w:rsid w:val="00E6068A"/>
    <w:rsid w:val="00E61114"/>
    <w:rsid w:val="00E61237"/>
    <w:rsid w:val="00E62605"/>
    <w:rsid w:val="00E62B88"/>
    <w:rsid w:val="00E63143"/>
    <w:rsid w:val="00E63523"/>
    <w:rsid w:val="00E636DE"/>
    <w:rsid w:val="00E63DB6"/>
    <w:rsid w:val="00E63E95"/>
    <w:rsid w:val="00E63F63"/>
    <w:rsid w:val="00E6450A"/>
    <w:rsid w:val="00E646F6"/>
    <w:rsid w:val="00E64C61"/>
    <w:rsid w:val="00E64CF8"/>
    <w:rsid w:val="00E6532B"/>
    <w:rsid w:val="00E65725"/>
    <w:rsid w:val="00E65AF0"/>
    <w:rsid w:val="00E65F69"/>
    <w:rsid w:val="00E66B6A"/>
    <w:rsid w:val="00E67460"/>
    <w:rsid w:val="00E67624"/>
    <w:rsid w:val="00E70167"/>
    <w:rsid w:val="00E70359"/>
    <w:rsid w:val="00E714FF"/>
    <w:rsid w:val="00E71C7D"/>
    <w:rsid w:val="00E72D95"/>
    <w:rsid w:val="00E72D98"/>
    <w:rsid w:val="00E7376C"/>
    <w:rsid w:val="00E74B9A"/>
    <w:rsid w:val="00E74BC6"/>
    <w:rsid w:val="00E74E8A"/>
    <w:rsid w:val="00E74F3F"/>
    <w:rsid w:val="00E74FF6"/>
    <w:rsid w:val="00E750F1"/>
    <w:rsid w:val="00E753CE"/>
    <w:rsid w:val="00E755B3"/>
    <w:rsid w:val="00E7576F"/>
    <w:rsid w:val="00E757A4"/>
    <w:rsid w:val="00E75B5F"/>
    <w:rsid w:val="00E76115"/>
    <w:rsid w:val="00E7626E"/>
    <w:rsid w:val="00E769E9"/>
    <w:rsid w:val="00E77519"/>
    <w:rsid w:val="00E77DA7"/>
    <w:rsid w:val="00E8053E"/>
    <w:rsid w:val="00E806EB"/>
    <w:rsid w:val="00E8115D"/>
    <w:rsid w:val="00E81424"/>
    <w:rsid w:val="00E8147A"/>
    <w:rsid w:val="00E81745"/>
    <w:rsid w:val="00E81E88"/>
    <w:rsid w:val="00E82521"/>
    <w:rsid w:val="00E82623"/>
    <w:rsid w:val="00E82B08"/>
    <w:rsid w:val="00E82BB7"/>
    <w:rsid w:val="00E841B0"/>
    <w:rsid w:val="00E84932"/>
    <w:rsid w:val="00E84B1A"/>
    <w:rsid w:val="00E84BDB"/>
    <w:rsid w:val="00E84F57"/>
    <w:rsid w:val="00E851DC"/>
    <w:rsid w:val="00E85452"/>
    <w:rsid w:val="00E85598"/>
    <w:rsid w:val="00E85A6A"/>
    <w:rsid w:val="00E863B6"/>
    <w:rsid w:val="00E864DD"/>
    <w:rsid w:val="00E86D95"/>
    <w:rsid w:val="00E87A27"/>
    <w:rsid w:val="00E87EB2"/>
    <w:rsid w:val="00E87F50"/>
    <w:rsid w:val="00E90405"/>
    <w:rsid w:val="00E90677"/>
    <w:rsid w:val="00E90B79"/>
    <w:rsid w:val="00E90BB2"/>
    <w:rsid w:val="00E910A5"/>
    <w:rsid w:val="00E910D0"/>
    <w:rsid w:val="00E914B5"/>
    <w:rsid w:val="00E91B6E"/>
    <w:rsid w:val="00E91E53"/>
    <w:rsid w:val="00E91E6E"/>
    <w:rsid w:val="00E92415"/>
    <w:rsid w:val="00E92886"/>
    <w:rsid w:val="00E92D2F"/>
    <w:rsid w:val="00E9347A"/>
    <w:rsid w:val="00E93556"/>
    <w:rsid w:val="00E93861"/>
    <w:rsid w:val="00E93A42"/>
    <w:rsid w:val="00E94048"/>
    <w:rsid w:val="00E94504"/>
    <w:rsid w:val="00E949BD"/>
    <w:rsid w:val="00E94A6A"/>
    <w:rsid w:val="00E94F24"/>
    <w:rsid w:val="00E94FB5"/>
    <w:rsid w:val="00E959F9"/>
    <w:rsid w:val="00E95A97"/>
    <w:rsid w:val="00E95AC7"/>
    <w:rsid w:val="00E95DC7"/>
    <w:rsid w:val="00E962A3"/>
    <w:rsid w:val="00E96415"/>
    <w:rsid w:val="00E9685C"/>
    <w:rsid w:val="00E96C57"/>
    <w:rsid w:val="00E96EF4"/>
    <w:rsid w:val="00E97153"/>
    <w:rsid w:val="00E97642"/>
    <w:rsid w:val="00E97AD2"/>
    <w:rsid w:val="00E97B6D"/>
    <w:rsid w:val="00EA012D"/>
    <w:rsid w:val="00EA0726"/>
    <w:rsid w:val="00EA0F0A"/>
    <w:rsid w:val="00EA1AF7"/>
    <w:rsid w:val="00EA1C44"/>
    <w:rsid w:val="00EA28D6"/>
    <w:rsid w:val="00EA29CD"/>
    <w:rsid w:val="00EA2CA6"/>
    <w:rsid w:val="00EA2EB4"/>
    <w:rsid w:val="00EA3025"/>
    <w:rsid w:val="00EA3C51"/>
    <w:rsid w:val="00EA3E7F"/>
    <w:rsid w:val="00EA4545"/>
    <w:rsid w:val="00EA48E2"/>
    <w:rsid w:val="00EA4951"/>
    <w:rsid w:val="00EA4A6E"/>
    <w:rsid w:val="00EA56E0"/>
    <w:rsid w:val="00EA5863"/>
    <w:rsid w:val="00EA596B"/>
    <w:rsid w:val="00EA5E4B"/>
    <w:rsid w:val="00EA6C53"/>
    <w:rsid w:val="00EA6EED"/>
    <w:rsid w:val="00EA755B"/>
    <w:rsid w:val="00EA7C3B"/>
    <w:rsid w:val="00EA7F99"/>
    <w:rsid w:val="00EB0848"/>
    <w:rsid w:val="00EB0CBC"/>
    <w:rsid w:val="00EB0E12"/>
    <w:rsid w:val="00EB1DAA"/>
    <w:rsid w:val="00EB2544"/>
    <w:rsid w:val="00EB2CF1"/>
    <w:rsid w:val="00EB2E3F"/>
    <w:rsid w:val="00EB32D6"/>
    <w:rsid w:val="00EB32EB"/>
    <w:rsid w:val="00EB352F"/>
    <w:rsid w:val="00EB3978"/>
    <w:rsid w:val="00EB3F08"/>
    <w:rsid w:val="00EB529D"/>
    <w:rsid w:val="00EB5540"/>
    <w:rsid w:val="00EB55D3"/>
    <w:rsid w:val="00EB58A9"/>
    <w:rsid w:val="00EB5932"/>
    <w:rsid w:val="00EB6969"/>
    <w:rsid w:val="00EB6F1B"/>
    <w:rsid w:val="00EB709E"/>
    <w:rsid w:val="00EB7C5E"/>
    <w:rsid w:val="00EC01C2"/>
    <w:rsid w:val="00EC02DF"/>
    <w:rsid w:val="00EC10EF"/>
    <w:rsid w:val="00EC12C1"/>
    <w:rsid w:val="00EC1620"/>
    <w:rsid w:val="00EC1C39"/>
    <w:rsid w:val="00EC1C9C"/>
    <w:rsid w:val="00EC205C"/>
    <w:rsid w:val="00EC291B"/>
    <w:rsid w:val="00EC2B69"/>
    <w:rsid w:val="00EC2D0D"/>
    <w:rsid w:val="00EC2D4F"/>
    <w:rsid w:val="00EC3506"/>
    <w:rsid w:val="00EC40B0"/>
    <w:rsid w:val="00EC4410"/>
    <w:rsid w:val="00EC4569"/>
    <w:rsid w:val="00EC4A58"/>
    <w:rsid w:val="00EC522B"/>
    <w:rsid w:val="00EC55E1"/>
    <w:rsid w:val="00EC6418"/>
    <w:rsid w:val="00EC65C4"/>
    <w:rsid w:val="00EC6E7D"/>
    <w:rsid w:val="00EC71B6"/>
    <w:rsid w:val="00EC7525"/>
    <w:rsid w:val="00EC7C7F"/>
    <w:rsid w:val="00EC7D72"/>
    <w:rsid w:val="00EC7F6A"/>
    <w:rsid w:val="00EC7F97"/>
    <w:rsid w:val="00ED0C89"/>
    <w:rsid w:val="00ED0CC1"/>
    <w:rsid w:val="00ED0CD2"/>
    <w:rsid w:val="00ED0CEB"/>
    <w:rsid w:val="00ED0D33"/>
    <w:rsid w:val="00ED1493"/>
    <w:rsid w:val="00ED18B3"/>
    <w:rsid w:val="00ED19D8"/>
    <w:rsid w:val="00ED26AE"/>
    <w:rsid w:val="00ED275B"/>
    <w:rsid w:val="00ED2816"/>
    <w:rsid w:val="00ED2C4D"/>
    <w:rsid w:val="00ED3AB4"/>
    <w:rsid w:val="00ED40D1"/>
    <w:rsid w:val="00ED4517"/>
    <w:rsid w:val="00ED4E2B"/>
    <w:rsid w:val="00ED4FBF"/>
    <w:rsid w:val="00ED503D"/>
    <w:rsid w:val="00ED52A8"/>
    <w:rsid w:val="00ED5324"/>
    <w:rsid w:val="00ED532E"/>
    <w:rsid w:val="00ED5A86"/>
    <w:rsid w:val="00ED5ADB"/>
    <w:rsid w:val="00ED5EA7"/>
    <w:rsid w:val="00ED63AF"/>
    <w:rsid w:val="00ED66F2"/>
    <w:rsid w:val="00ED67A1"/>
    <w:rsid w:val="00ED6F8A"/>
    <w:rsid w:val="00ED7E63"/>
    <w:rsid w:val="00EE0133"/>
    <w:rsid w:val="00EE089E"/>
    <w:rsid w:val="00EE0973"/>
    <w:rsid w:val="00EE09CA"/>
    <w:rsid w:val="00EE136A"/>
    <w:rsid w:val="00EE15AA"/>
    <w:rsid w:val="00EE19FE"/>
    <w:rsid w:val="00EE2859"/>
    <w:rsid w:val="00EE2AEF"/>
    <w:rsid w:val="00EE3AC9"/>
    <w:rsid w:val="00EE3B36"/>
    <w:rsid w:val="00EE3CDD"/>
    <w:rsid w:val="00EE3D92"/>
    <w:rsid w:val="00EE3E4F"/>
    <w:rsid w:val="00EE3E67"/>
    <w:rsid w:val="00EE4A28"/>
    <w:rsid w:val="00EE4AE7"/>
    <w:rsid w:val="00EE6235"/>
    <w:rsid w:val="00EE65E4"/>
    <w:rsid w:val="00EE6685"/>
    <w:rsid w:val="00EE7129"/>
    <w:rsid w:val="00EE79F6"/>
    <w:rsid w:val="00EF10D1"/>
    <w:rsid w:val="00EF1239"/>
    <w:rsid w:val="00EF12D4"/>
    <w:rsid w:val="00EF1313"/>
    <w:rsid w:val="00EF139C"/>
    <w:rsid w:val="00EF1C2F"/>
    <w:rsid w:val="00EF2214"/>
    <w:rsid w:val="00EF290A"/>
    <w:rsid w:val="00EF2C71"/>
    <w:rsid w:val="00EF306E"/>
    <w:rsid w:val="00EF3879"/>
    <w:rsid w:val="00EF3E39"/>
    <w:rsid w:val="00EF3FCC"/>
    <w:rsid w:val="00EF4055"/>
    <w:rsid w:val="00EF4209"/>
    <w:rsid w:val="00EF4EF9"/>
    <w:rsid w:val="00EF544A"/>
    <w:rsid w:val="00EF5AD0"/>
    <w:rsid w:val="00EF5FE4"/>
    <w:rsid w:val="00EF653A"/>
    <w:rsid w:val="00EF6731"/>
    <w:rsid w:val="00EF6881"/>
    <w:rsid w:val="00EF6A51"/>
    <w:rsid w:val="00EF71B9"/>
    <w:rsid w:val="00EF789C"/>
    <w:rsid w:val="00EF7C65"/>
    <w:rsid w:val="00EF7D17"/>
    <w:rsid w:val="00EF7F0D"/>
    <w:rsid w:val="00F00F42"/>
    <w:rsid w:val="00F01542"/>
    <w:rsid w:val="00F020EA"/>
    <w:rsid w:val="00F02868"/>
    <w:rsid w:val="00F033E5"/>
    <w:rsid w:val="00F036A6"/>
    <w:rsid w:val="00F0382C"/>
    <w:rsid w:val="00F03B02"/>
    <w:rsid w:val="00F03DFF"/>
    <w:rsid w:val="00F0409D"/>
    <w:rsid w:val="00F042F0"/>
    <w:rsid w:val="00F0438A"/>
    <w:rsid w:val="00F05293"/>
    <w:rsid w:val="00F0530A"/>
    <w:rsid w:val="00F056BD"/>
    <w:rsid w:val="00F058C8"/>
    <w:rsid w:val="00F059EC"/>
    <w:rsid w:val="00F05D78"/>
    <w:rsid w:val="00F06370"/>
    <w:rsid w:val="00F068A2"/>
    <w:rsid w:val="00F06931"/>
    <w:rsid w:val="00F06CB8"/>
    <w:rsid w:val="00F0749D"/>
    <w:rsid w:val="00F07EA9"/>
    <w:rsid w:val="00F10549"/>
    <w:rsid w:val="00F111E0"/>
    <w:rsid w:val="00F12029"/>
    <w:rsid w:val="00F12576"/>
    <w:rsid w:val="00F12BCC"/>
    <w:rsid w:val="00F13021"/>
    <w:rsid w:val="00F1316A"/>
    <w:rsid w:val="00F13238"/>
    <w:rsid w:val="00F139EE"/>
    <w:rsid w:val="00F13D2C"/>
    <w:rsid w:val="00F13F1A"/>
    <w:rsid w:val="00F1435C"/>
    <w:rsid w:val="00F1445C"/>
    <w:rsid w:val="00F1456F"/>
    <w:rsid w:val="00F14650"/>
    <w:rsid w:val="00F14657"/>
    <w:rsid w:val="00F1495A"/>
    <w:rsid w:val="00F14D8A"/>
    <w:rsid w:val="00F150CD"/>
    <w:rsid w:val="00F15214"/>
    <w:rsid w:val="00F153AF"/>
    <w:rsid w:val="00F16021"/>
    <w:rsid w:val="00F16580"/>
    <w:rsid w:val="00F16752"/>
    <w:rsid w:val="00F1692C"/>
    <w:rsid w:val="00F175E9"/>
    <w:rsid w:val="00F17691"/>
    <w:rsid w:val="00F1775A"/>
    <w:rsid w:val="00F17FD7"/>
    <w:rsid w:val="00F20810"/>
    <w:rsid w:val="00F20B87"/>
    <w:rsid w:val="00F20E15"/>
    <w:rsid w:val="00F210B2"/>
    <w:rsid w:val="00F21177"/>
    <w:rsid w:val="00F2176B"/>
    <w:rsid w:val="00F22FA5"/>
    <w:rsid w:val="00F2365A"/>
    <w:rsid w:val="00F236A8"/>
    <w:rsid w:val="00F239E2"/>
    <w:rsid w:val="00F23B8F"/>
    <w:rsid w:val="00F23BE2"/>
    <w:rsid w:val="00F2477E"/>
    <w:rsid w:val="00F247D3"/>
    <w:rsid w:val="00F248CD"/>
    <w:rsid w:val="00F249C1"/>
    <w:rsid w:val="00F25093"/>
    <w:rsid w:val="00F252F8"/>
    <w:rsid w:val="00F2538E"/>
    <w:rsid w:val="00F2634B"/>
    <w:rsid w:val="00F26F05"/>
    <w:rsid w:val="00F26FE6"/>
    <w:rsid w:val="00F27321"/>
    <w:rsid w:val="00F2766F"/>
    <w:rsid w:val="00F27B93"/>
    <w:rsid w:val="00F27C08"/>
    <w:rsid w:val="00F27C13"/>
    <w:rsid w:val="00F27CC0"/>
    <w:rsid w:val="00F303F7"/>
    <w:rsid w:val="00F30806"/>
    <w:rsid w:val="00F308E7"/>
    <w:rsid w:val="00F3112F"/>
    <w:rsid w:val="00F3135A"/>
    <w:rsid w:val="00F3149B"/>
    <w:rsid w:val="00F31993"/>
    <w:rsid w:val="00F31C66"/>
    <w:rsid w:val="00F32AC6"/>
    <w:rsid w:val="00F32C6F"/>
    <w:rsid w:val="00F33E3E"/>
    <w:rsid w:val="00F347ED"/>
    <w:rsid w:val="00F3488D"/>
    <w:rsid w:val="00F34E67"/>
    <w:rsid w:val="00F351FF"/>
    <w:rsid w:val="00F352E5"/>
    <w:rsid w:val="00F35B82"/>
    <w:rsid w:val="00F35FD5"/>
    <w:rsid w:val="00F363C7"/>
    <w:rsid w:val="00F364C7"/>
    <w:rsid w:val="00F36BD7"/>
    <w:rsid w:val="00F37773"/>
    <w:rsid w:val="00F3792B"/>
    <w:rsid w:val="00F379C5"/>
    <w:rsid w:val="00F4089D"/>
    <w:rsid w:val="00F40CD0"/>
    <w:rsid w:val="00F415E0"/>
    <w:rsid w:val="00F41742"/>
    <w:rsid w:val="00F41C28"/>
    <w:rsid w:val="00F41F62"/>
    <w:rsid w:val="00F42033"/>
    <w:rsid w:val="00F4227F"/>
    <w:rsid w:val="00F423C1"/>
    <w:rsid w:val="00F424E0"/>
    <w:rsid w:val="00F425D1"/>
    <w:rsid w:val="00F4269C"/>
    <w:rsid w:val="00F426B7"/>
    <w:rsid w:val="00F42789"/>
    <w:rsid w:val="00F43107"/>
    <w:rsid w:val="00F43265"/>
    <w:rsid w:val="00F43603"/>
    <w:rsid w:val="00F43638"/>
    <w:rsid w:val="00F43B5D"/>
    <w:rsid w:val="00F44226"/>
    <w:rsid w:val="00F44400"/>
    <w:rsid w:val="00F44E47"/>
    <w:rsid w:val="00F454E7"/>
    <w:rsid w:val="00F45724"/>
    <w:rsid w:val="00F45DDA"/>
    <w:rsid w:val="00F45F61"/>
    <w:rsid w:val="00F463AE"/>
    <w:rsid w:val="00F4688B"/>
    <w:rsid w:val="00F46FA1"/>
    <w:rsid w:val="00F47B1F"/>
    <w:rsid w:val="00F47B70"/>
    <w:rsid w:val="00F50BAA"/>
    <w:rsid w:val="00F51240"/>
    <w:rsid w:val="00F51527"/>
    <w:rsid w:val="00F51714"/>
    <w:rsid w:val="00F5230A"/>
    <w:rsid w:val="00F52AF0"/>
    <w:rsid w:val="00F52E17"/>
    <w:rsid w:val="00F52FBF"/>
    <w:rsid w:val="00F53517"/>
    <w:rsid w:val="00F536E9"/>
    <w:rsid w:val="00F537FE"/>
    <w:rsid w:val="00F53B2E"/>
    <w:rsid w:val="00F53D98"/>
    <w:rsid w:val="00F53EE0"/>
    <w:rsid w:val="00F54166"/>
    <w:rsid w:val="00F541B8"/>
    <w:rsid w:val="00F54EC8"/>
    <w:rsid w:val="00F55C21"/>
    <w:rsid w:val="00F568F7"/>
    <w:rsid w:val="00F56C30"/>
    <w:rsid w:val="00F5717C"/>
    <w:rsid w:val="00F6018C"/>
    <w:rsid w:val="00F6059A"/>
    <w:rsid w:val="00F609E3"/>
    <w:rsid w:val="00F60B3C"/>
    <w:rsid w:val="00F61AA8"/>
    <w:rsid w:val="00F61B28"/>
    <w:rsid w:val="00F61CB2"/>
    <w:rsid w:val="00F61FBB"/>
    <w:rsid w:val="00F62358"/>
    <w:rsid w:val="00F6265C"/>
    <w:rsid w:val="00F62AD8"/>
    <w:rsid w:val="00F63135"/>
    <w:rsid w:val="00F6369C"/>
    <w:rsid w:val="00F63B46"/>
    <w:rsid w:val="00F6468A"/>
    <w:rsid w:val="00F648C2"/>
    <w:rsid w:val="00F64BD9"/>
    <w:rsid w:val="00F64DA4"/>
    <w:rsid w:val="00F6551F"/>
    <w:rsid w:val="00F65BC4"/>
    <w:rsid w:val="00F65C31"/>
    <w:rsid w:val="00F6636E"/>
    <w:rsid w:val="00F668D9"/>
    <w:rsid w:val="00F66F92"/>
    <w:rsid w:val="00F6728A"/>
    <w:rsid w:val="00F679F2"/>
    <w:rsid w:val="00F67AA6"/>
    <w:rsid w:val="00F67D9A"/>
    <w:rsid w:val="00F70795"/>
    <w:rsid w:val="00F70C88"/>
    <w:rsid w:val="00F70DE4"/>
    <w:rsid w:val="00F71166"/>
    <w:rsid w:val="00F71198"/>
    <w:rsid w:val="00F71F97"/>
    <w:rsid w:val="00F71FD9"/>
    <w:rsid w:val="00F72E4C"/>
    <w:rsid w:val="00F72F55"/>
    <w:rsid w:val="00F72F5B"/>
    <w:rsid w:val="00F73A11"/>
    <w:rsid w:val="00F73A3C"/>
    <w:rsid w:val="00F73D35"/>
    <w:rsid w:val="00F73F39"/>
    <w:rsid w:val="00F73F75"/>
    <w:rsid w:val="00F74089"/>
    <w:rsid w:val="00F74153"/>
    <w:rsid w:val="00F74AB6"/>
    <w:rsid w:val="00F75058"/>
    <w:rsid w:val="00F7589C"/>
    <w:rsid w:val="00F75AB1"/>
    <w:rsid w:val="00F75B8F"/>
    <w:rsid w:val="00F75C2E"/>
    <w:rsid w:val="00F76033"/>
    <w:rsid w:val="00F764A3"/>
    <w:rsid w:val="00F76B60"/>
    <w:rsid w:val="00F76D27"/>
    <w:rsid w:val="00F77190"/>
    <w:rsid w:val="00F77C3C"/>
    <w:rsid w:val="00F77CAD"/>
    <w:rsid w:val="00F80A90"/>
    <w:rsid w:val="00F81290"/>
    <w:rsid w:val="00F81536"/>
    <w:rsid w:val="00F81C5F"/>
    <w:rsid w:val="00F823CE"/>
    <w:rsid w:val="00F825A8"/>
    <w:rsid w:val="00F82627"/>
    <w:rsid w:val="00F82AB0"/>
    <w:rsid w:val="00F82AF8"/>
    <w:rsid w:val="00F82C0B"/>
    <w:rsid w:val="00F82CD2"/>
    <w:rsid w:val="00F83036"/>
    <w:rsid w:val="00F8347A"/>
    <w:rsid w:val="00F83A77"/>
    <w:rsid w:val="00F83E7A"/>
    <w:rsid w:val="00F84271"/>
    <w:rsid w:val="00F842CD"/>
    <w:rsid w:val="00F84FDA"/>
    <w:rsid w:val="00F85170"/>
    <w:rsid w:val="00F856DA"/>
    <w:rsid w:val="00F85768"/>
    <w:rsid w:val="00F85BC5"/>
    <w:rsid w:val="00F85F92"/>
    <w:rsid w:val="00F8668C"/>
    <w:rsid w:val="00F86ED9"/>
    <w:rsid w:val="00F87947"/>
    <w:rsid w:val="00F87FFD"/>
    <w:rsid w:val="00F91CF2"/>
    <w:rsid w:val="00F9228F"/>
    <w:rsid w:val="00F9253C"/>
    <w:rsid w:val="00F927A0"/>
    <w:rsid w:val="00F934B9"/>
    <w:rsid w:val="00F934DB"/>
    <w:rsid w:val="00F93A97"/>
    <w:rsid w:val="00F942D1"/>
    <w:rsid w:val="00F94632"/>
    <w:rsid w:val="00F94887"/>
    <w:rsid w:val="00F95491"/>
    <w:rsid w:val="00F95A8A"/>
    <w:rsid w:val="00F95A96"/>
    <w:rsid w:val="00F95B0F"/>
    <w:rsid w:val="00F96363"/>
    <w:rsid w:val="00F96642"/>
    <w:rsid w:val="00F97175"/>
    <w:rsid w:val="00F972D0"/>
    <w:rsid w:val="00F977A5"/>
    <w:rsid w:val="00F97A81"/>
    <w:rsid w:val="00F97BB1"/>
    <w:rsid w:val="00F97EB8"/>
    <w:rsid w:val="00FA0335"/>
    <w:rsid w:val="00FA078A"/>
    <w:rsid w:val="00FA084B"/>
    <w:rsid w:val="00FA0C01"/>
    <w:rsid w:val="00FA0DB5"/>
    <w:rsid w:val="00FA133A"/>
    <w:rsid w:val="00FA1377"/>
    <w:rsid w:val="00FA152A"/>
    <w:rsid w:val="00FA1839"/>
    <w:rsid w:val="00FA1D12"/>
    <w:rsid w:val="00FA1D1B"/>
    <w:rsid w:val="00FA3014"/>
    <w:rsid w:val="00FA3A6A"/>
    <w:rsid w:val="00FA3C83"/>
    <w:rsid w:val="00FA3F69"/>
    <w:rsid w:val="00FA40FE"/>
    <w:rsid w:val="00FA4413"/>
    <w:rsid w:val="00FA49E9"/>
    <w:rsid w:val="00FA4A64"/>
    <w:rsid w:val="00FA4CFE"/>
    <w:rsid w:val="00FA502D"/>
    <w:rsid w:val="00FA6007"/>
    <w:rsid w:val="00FA6121"/>
    <w:rsid w:val="00FA627D"/>
    <w:rsid w:val="00FA628D"/>
    <w:rsid w:val="00FA6344"/>
    <w:rsid w:val="00FA768C"/>
    <w:rsid w:val="00FA7715"/>
    <w:rsid w:val="00FA7E22"/>
    <w:rsid w:val="00FA7E4E"/>
    <w:rsid w:val="00FA7FE7"/>
    <w:rsid w:val="00FB0665"/>
    <w:rsid w:val="00FB0C65"/>
    <w:rsid w:val="00FB14A8"/>
    <w:rsid w:val="00FB1A40"/>
    <w:rsid w:val="00FB1A45"/>
    <w:rsid w:val="00FB1CF2"/>
    <w:rsid w:val="00FB1CF4"/>
    <w:rsid w:val="00FB263B"/>
    <w:rsid w:val="00FB3216"/>
    <w:rsid w:val="00FB355E"/>
    <w:rsid w:val="00FB389C"/>
    <w:rsid w:val="00FB4797"/>
    <w:rsid w:val="00FB51B8"/>
    <w:rsid w:val="00FB5657"/>
    <w:rsid w:val="00FB5BFC"/>
    <w:rsid w:val="00FB5D10"/>
    <w:rsid w:val="00FB6C27"/>
    <w:rsid w:val="00FB6CCA"/>
    <w:rsid w:val="00FB724C"/>
    <w:rsid w:val="00FB7544"/>
    <w:rsid w:val="00FB7642"/>
    <w:rsid w:val="00FB7E5F"/>
    <w:rsid w:val="00FC023E"/>
    <w:rsid w:val="00FC02E9"/>
    <w:rsid w:val="00FC0612"/>
    <w:rsid w:val="00FC0721"/>
    <w:rsid w:val="00FC0E25"/>
    <w:rsid w:val="00FC1136"/>
    <w:rsid w:val="00FC1ABD"/>
    <w:rsid w:val="00FC21C3"/>
    <w:rsid w:val="00FC2233"/>
    <w:rsid w:val="00FC23CC"/>
    <w:rsid w:val="00FC24C4"/>
    <w:rsid w:val="00FC29B6"/>
    <w:rsid w:val="00FC32DA"/>
    <w:rsid w:val="00FC332F"/>
    <w:rsid w:val="00FC408E"/>
    <w:rsid w:val="00FC451E"/>
    <w:rsid w:val="00FC4579"/>
    <w:rsid w:val="00FC4853"/>
    <w:rsid w:val="00FC491B"/>
    <w:rsid w:val="00FC51F3"/>
    <w:rsid w:val="00FC5742"/>
    <w:rsid w:val="00FC5C86"/>
    <w:rsid w:val="00FC6043"/>
    <w:rsid w:val="00FC60C9"/>
    <w:rsid w:val="00FC6303"/>
    <w:rsid w:val="00FC66BF"/>
    <w:rsid w:val="00FC680F"/>
    <w:rsid w:val="00FC75AA"/>
    <w:rsid w:val="00FC7C09"/>
    <w:rsid w:val="00FC7C70"/>
    <w:rsid w:val="00FC7EA1"/>
    <w:rsid w:val="00FD1590"/>
    <w:rsid w:val="00FD180C"/>
    <w:rsid w:val="00FD1900"/>
    <w:rsid w:val="00FD2143"/>
    <w:rsid w:val="00FD23FE"/>
    <w:rsid w:val="00FD2589"/>
    <w:rsid w:val="00FD36BC"/>
    <w:rsid w:val="00FD3BAA"/>
    <w:rsid w:val="00FD3E8D"/>
    <w:rsid w:val="00FD4A3E"/>
    <w:rsid w:val="00FD505C"/>
    <w:rsid w:val="00FD5557"/>
    <w:rsid w:val="00FD562C"/>
    <w:rsid w:val="00FD571A"/>
    <w:rsid w:val="00FD5CF9"/>
    <w:rsid w:val="00FD5F43"/>
    <w:rsid w:val="00FD60BD"/>
    <w:rsid w:val="00FD616A"/>
    <w:rsid w:val="00FD62E1"/>
    <w:rsid w:val="00FD657F"/>
    <w:rsid w:val="00FD6BE0"/>
    <w:rsid w:val="00FD6F85"/>
    <w:rsid w:val="00FD7118"/>
    <w:rsid w:val="00FD711D"/>
    <w:rsid w:val="00FD783A"/>
    <w:rsid w:val="00FD78C1"/>
    <w:rsid w:val="00FD7F96"/>
    <w:rsid w:val="00FE0AE8"/>
    <w:rsid w:val="00FE0BCD"/>
    <w:rsid w:val="00FE0E9D"/>
    <w:rsid w:val="00FE130B"/>
    <w:rsid w:val="00FE15B3"/>
    <w:rsid w:val="00FE190D"/>
    <w:rsid w:val="00FE2873"/>
    <w:rsid w:val="00FE2E2E"/>
    <w:rsid w:val="00FE30B8"/>
    <w:rsid w:val="00FE3DF2"/>
    <w:rsid w:val="00FE400D"/>
    <w:rsid w:val="00FE4158"/>
    <w:rsid w:val="00FE418B"/>
    <w:rsid w:val="00FE4253"/>
    <w:rsid w:val="00FE47C0"/>
    <w:rsid w:val="00FE4939"/>
    <w:rsid w:val="00FE4AA1"/>
    <w:rsid w:val="00FE4BAD"/>
    <w:rsid w:val="00FE56E8"/>
    <w:rsid w:val="00FE57B2"/>
    <w:rsid w:val="00FE5966"/>
    <w:rsid w:val="00FE5C44"/>
    <w:rsid w:val="00FE6655"/>
    <w:rsid w:val="00FE75A2"/>
    <w:rsid w:val="00FE7694"/>
    <w:rsid w:val="00FE770D"/>
    <w:rsid w:val="00FE7850"/>
    <w:rsid w:val="00FF005E"/>
    <w:rsid w:val="00FF00BB"/>
    <w:rsid w:val="00FF02DA"/>
    <w:rsid w:val="00FF23B5"/>
    <w:rsid w:val="00FF3798"/>
    <w:rsid w:val="00FF388F"/>
    <w:rsid w:val="00FF3D4B"/>
    <w:rsid w:val="00FF3EC6"/>
    <w:rsid w:val="00FF488C"/>
    <w:rsid w:val="00FF492B"/>
    <w:rsid w:val="00FF4E8A"/>
    <w:rsid w:val="00FF5849"/>
    <w:rsid w:val="00FF599A"/>
    <w:rsid w:val="00FF6833"/>
    <w:rsid w:val="00FF6A21"/>
    <w:rsid w:val="00FF6A50"/>
    <w:rsid w:val="00FF6BC4"/>
    <w:rsid w:val="00FF72FE"/>
    <w:rsid w:val="00FF75C3"/>
    <w:rsid w:val="00FF791B"/>
    <w:rsid w:val="00FF7EC3"/>
    <w:rsid w:val="017A7CFF"/>
    <w:rsid w:val="01D72088"/>
    <w:rsid w:val="022FF575"/>
    <w:rsid w:val="024DE951"/>
    <w:rsid w:val="028CE5D1"/>
    <w:rsid w:val="02F003AD"/>
    <w:rsid w:val="0327C5A0"/>
    <w:rsid w:val="034E6A2E"/>
    <w:rsid w:val="039009C2"/>
    <w:rsid w:val="03A48C71"/>
    <w:rsid w:val="03B24AF6"/>
    <w:rsid w:val="03D6AC75"/>
    <w:rsid w:val="0404837B"/>
    <w:rsid w:val="044E4791"/>
    <w:rsid w:val="04758397"/>
    <w:rsid w:val="050CEDA6"/>
    <w:rsid w:val="05150D02"/>
    <w:rsid w:val="05473A05"/>
    <w:rsid w:val="05C9421E"/>
    <w:rsid w:val="06B07648"/>
    <w:rsid w:val="06B16EC3"/>
    <w:rsid w:val="06DE4CC8"/>
    <w:rsid w:val="07984A7B"/>
    <w:rsid w:val="07C5826D"/>
    <w:rsid w:val="0820CD0E"/>
    <w:rsid w:val="085DA166"/>
    <w:rsid w:val="098AF8F5"/>
    <w:rsid w:val="09A54F47"/>
    <w:rsid w:val="09FDC14E"/>
    <w:rsid w:val="0A5ECCB0"/>
    <w:rsid w:val="0A6ABE8A"/>
    <w:rsid w:val="0A91AAA1"/>
    <w:rsid w:val="0B9991AF"/>
    <w:rsid w:val="0BA24188"/>
    <w:rsid w:val="0BD5FA01"/>
    <w:rsid w:val="0C056FD8"/>
    <w:rsid w:val="0C1E484B"/>
    <w:rsid w:val="0C2E8703"/>
    <w:rsid w:val="0C549419"/>
    <w:rsid w:val="0C710FD2"/>
    <w:rsid w:val="0C787620"/>
    <w:rsid w:val="0DF20051"/>
    <w:rsid w:val="0E666B0F"/>
    <w:rsid w:val="0EE8628E"/>
    <w:rsid w:val="0F1EA3C4"/>
    <w:rsid w:val="0F56FC07"/>
    <w:rsid w:val="0F7B2BDA"/>
    <w:rsid w:val="0F8281E8"/>
    <w:rsid w:val="0FC4837F"/>
    <w:rsid w:val="0FEBBF85"/>
    <w:rsid w:val="0FFD7DDA"/>
    <w:rsid w:val="100E54FF"/>
    <w:rsid w:val="102740D7"/>
    <w:rsid w:val="10607F55"/>
    <w:rsid w:val="1065594C"/>
    <w:rsid w:val="10C61C41"/>
    <w:rsid w:val="115146BC"/>
    <w:rsid w:val="11B620FF"/>
    <w:rsid w:val="1274C714"/>
    <w:rsid w:val="1377E9E0"/>
    <w:rsid w:val="14C227F0"/>
    <w:rsid w:val="14C5508D"/>
    <w:rsid w:val="1504EABE"/>
    <w:rsid w:val="15F5C4A0"/>
    <w:rsid w:val="1616DC17"/>
    <w:rsid w:val="169A03AB"/>
    <w:rsid w:val="169F6DBC"/>
    <w:rsid w:val="16BECC72"/>
    <w:rsid w:val="16E61DD7"/>
    <w:rsid w:val="16F503ED"/>
    <w:rsid w:val="174F68B0"/>
    <w:rsid w:val="18A4D325"/>
    <w:rsid w:val="18B7CA99"/>
    <w:rsid w:val="1935D3BE"/>
    <w:rsid w:val="19410630"/>
    <w:rsid w:val="194E7CD9"/>
    <w:rsid w:val="1992A1CB"/>
    <w:rsid w:val="1995616E"/>
    <w:rsid w:val="19C4B4A7"/>
    <w:rsid w:val="1A338346"/>
    <w:rsid w:val="1AC76242"/>
    <w:rsid w:val="1B02A2D1"/>
    <w:rsid w:val="1B1B68C9"/>
    <w:rsid w:val="1B622138"/>
    <w:rsid w:val="1BAE5821"/>
    <w:rsid w:val="1C170E12"/>
    <w:rsid w:val="1C18E2D0"/>
    <w:rsid w:val="1C393172"/>
    <w:rsid w:val="1C4054AF"/>
    <w:rsid w:val="1C411EF8"/>
    <w:rsid w:val="1C802DC7"/>
    <w:rsid w:val="1C93F963"/>
    <w:rsid w:val="1D26A325"/>
    <w:rsid w:val="1E38E29B"/>
    <w:rsid w:val="1EC1D45A"/>
    <w:rsid w:val="1EC8C4C6"/>
    <w:rsid w:val="1F79D94B"/>
    <w:rsid w:val="1FD36FA8"/>
    <w:rsid w:val="1FEB260E"/>
    <w:rsid w:val="1FF77365"/>
    <w:rsid w:val="20358222"/>
    <w:rsid w:val="206C9F24"/>
    <w:rsid w:val="2085ABFD"/>
    <w:rsid w:val="20B2A791"/>
    <w:rsid w:val="20E4CD9E"/>
    <w:rsid w:val="20F1850B"/>
    <w:rsid w:val="22217C5E"/>
    <w:rsid w:val="222974C3"/>
    <w:rsid w:val="225B2D79"/>
    <w:rsid w:val="22AF3430"/>
    <w:rsid w:val="2331BCB1"/>
    <w:rsid w:val="23469B9B"/>
    <w:rsid w:val="235888FB"/>
    <w:rsid w:val="251A8B6E"/>
    <w:rsid w:val="25255508"/>
    <w:rsid w:val="253FF3D0"/>
    <w:rsid w:val="25BB1B24"/>
    <w:rsid w:val="25CB4274"/>
    <w:rsid w:val="25D21E4A"/>
    <w:rsid w:val="266E64F0"/>
    <w:rsid w:val="26BC74B6"/>
    <w:rsid w:val="27996D2C"/>
    <w:rsid w:val="27AAA803"/>
    <w:rsid w:val="28F1758E"/>
    <w:rsid w:val="2918E36A"/>
    <w:rsid w:val="294EC400"/>
    <w:rsid w:val="296C8E29"/>
    <w:rsid w:val="2987F85F"/>
    <w:rsid w:val="29BAF2F9"/>
    <w:rsid w:val="2A119E8B"/>
    <w:rsid w:val="2A39D6B0"/>
    <w:rsid w:val="2A529129"/>
    <w:rsid w:val="2A62FF34"/>
    <w:rsid w:val="2B72049A"/>
    <w:rsid w:val="2BAC3E44"/>
    <w:rsid w:val="2BACF4E6"/>
    <w:rsid w:val="2C124BD3"/>
    <w:rsid w:val="2D6F0D7B"/>
    <w:rsid w:val="2DE7FE6F"/>
    <w:rsid w:val="2DF0B543"/>
    <w:rsid w:val="2F478EB5"/>
    <w:rsid w:val="2F931169"/>
    <w:rsid w:val="2FA8E2C1"/>
    <w:rsid w:val="30229191"/>
    <w:rsid w:val="308C3CE2"/>
    <w:rsid w:val="3112A519"/>
    <w:rsid w:val="31313FAA"/>
    <w:rsid w:val="319454B0"/>
    <w:rsid w:val="31CA961F"/>
    <w:rsid w:val="31DDD50C"/>
    <w:rsid w:val="3246FA09"/>
    <w:rsid w:val="326D19D7"/>
    <w:rsid w:val="32F23D79"/>
    <w:rsid w:val="331F841E"/>
    <w:rsid w:val="332FE2B9"/>
    <w:rsid w:val="3357386E"/>
    <w:rsid w:val="33D26570"/>
    <w:rsid w:val="33D8AA64"/>
    <w:rsid w:val="33F20109"/>
    <w:rsid w:val="348E0DDA"/>
    <w:rsid w:val="34A1DC9D"/>
    <w:rsid w:val="34BC5CE7"/>
    <w:rsid w:val="34BED7C9"/>
    <w:rsid w:val="34DF532E"/>
    <w:rsid w:val="34EFDB96"/>
    <w:rsid w:val="354FF07C"/>
    <w:rsid w:val="356B1BAF"/>
    <w:rsid w:val="35B51280"/>
    <w:rsid w:val="35FE2508"/>
    <w:rsid w:val="360415A7"/>
    <w:rsid w:val="360E63C0"/>
    <w:rsid w:val="36242F3A"/>
    <w:rsid w:val="36E542AA"/>
    <w:rsid w:val="3725A318"/>
    <w:rsid w:val="3753CCA6"/>
    <w:rsid w:val="37E5ABE1"/>
    <w:rsid w:val="3825841A"/>
    <w:rsid w:val="383FA5F2"/>
    <w:rsid w:val="383FD7C8"/>
    <w:rsid w:val="38D9083F"/>
    <w:rsid w:val="38DE3243"/>
    <w:rsid w:val="3900761B"/>
    <w:rsid w:val="3957E169"/>
    <w:rsid w:val="399CA587"/>
    <w:rsid w:val="3A0A0F20"/>
    <w:rsid w:val="3A0D3BD6"/>
    <w:rsid w:val="3A75D4BF"/>
    <w:rsid w:val="3A9D10C5"/>
    <w:rsid w:val="3B1B0B42"/>
    <w:rsid w:val="3B1BBFCD"/>
    <w:rsid w:val="3B2242E3"/>
    <w:rsid w:val="3BF780A4"/>
    <w:rsid w:val="3C5D4546"/>
    <w:rsid w:val="3D1A4486"/>
    <w:rsid w:val="3D2CA50C"/>
    <w:rsid w:val="3D57DDD7"/>
    <w:rsid w:val="3DE19640"/>
    <w:rsid w:val="3E77D15F"/>
    <w:rsid w:val="3EB5403F"/>
    <w:rsid w:val="3EBD2CF5"/>
    <w:rsid w:val="3F132CE5"/>
    <w:rsid w:val="3F3BD743"/>
    <w:rsid w:val="3FE17BE3"/>
    <w:rsid w:val="40A17A51"/>
    <w:rsid w:val="40E7B091"/>
    <w:rsid w:val="40F9F5BE"/>
    <w:rsid w:val="41010BBF"/>
    <w:rsid w:val="418A4CC6"/>
    <w:rsid w:val="422790A0"/>
    <w:rsid w:val="42449560"/>
    <w:rsid w:val="42A822AA"/>
    <w:rsid w:val="42D78997"/>
    <w:rsid w:val="42FEAAEC"/>
    <w:rsid w:val="43091FF2"/>
    <w:rsid w:val="43910D71"/>
    <w:rsid w:val="43CC86C8"/>
    <w:rsid w:val="4466A622"/>
    <w:rsid w:val="44CF8D23"/>
    <w:rsid w:val="452328DC"/>
    <w:rsid w:val="45F9C253"/>
    <w:rsid w:val="4617DF3F"/>
    <w:rsid w:val="4638D2F5"/>
    <w:rsid w:val="463F60D7"/>
    <w:rsid w:val="4659270E"/>
    <w:rsid w:val="47402798"/>
    <w:rsid w:val="476F82FA"/>
    <w:rsid w:val="47B3FE2F"/>
    <w:rsid w:val="47CBA2CB"/>
    <w:rsid w:val="47E065ED"/>
    <w:rsid w:val="480FAF8F"/>
    <w:rsid w:val="4872A4FD"/>
    <w:rsid w:val="48D6CDF5"/>
    <w:rsid w:val="499B0FF1"/>
    <w:rsid w:val="49CCC3AB"/>
    <w:rsid w:val="4AECBF5F"/>
    <w:rsid w:val="4B0F0337"/>
    <w:rsid w:val="4B83B145"/>
    <w:rsid w:val="4C072415"/>
    <w:rsid w:val="4C98C13C"/>
    <w:rsid w:val="4CA4A9D6"/>
    <w:rsid w:val="4CBCA0CF"/>
    <w:rsid w:val="4CFCA204"/>
    <w:rsid w:val="4D16AA8A"/>
    <w:rsid w:val="4E23A39E"/>
    <w:rsid w:val="4E3A6749"/>
    <w:rsid w:val="500DD109"/>
    <w:rsid w:val="50BC376B"/>
    <w:rsid w:val="5117615F"/>
    <w:rsid w:val="512DFA06"/>
    <w:rsid w:val="516A0F04"/>
    <w:rsid w:val="520502E6"/>
    <w:rsid w:val="52511DE1"/>
    <w:rsid w:val="52A5E860"/>
    <w:rsid w:val="52BD24C0"/>
    <w:rsid w:val="52DBC29A"/>
    <w:rsid w:val="530B0459"/>
    <w:rsid w:val="5328EF6F"/>
    <w:rsid w:val="54913F38"/>
    <w:rsid w:val="549A5659"/>
    <w:rsid w:val="54EE8B8C"/>
    <w:rsid w:val="55613FF3"/>
    <w:rsid w:val="55B4ED49"/>
    <w:rsid w:val="5688CA44"/>
    <w:rsid w:val="57225D74"/>
    <w:rsid w:val="577F1E2D"/>
    <w:rsid w:val="579BD9C9"/>
    <w:rsid w:val="57BC42AF"/>
    <w:rsid w:val="57D16985"/>
    <w:rsid w:val="57FF2BC8"/>
    <w:rsid w:val="580084DA"/>
    <w:rsid w:val="58363930"/>
    <w:rsid w:val="588C7832"/>
    <w:rsid w:val="588E7070"/>
    <w:rsid w:val="58BDFCF2"/>
    <w:rsid w:val="5945BDD3"/>
    <w:rsid w:val="5958ECCB"/>
    <w:rsid w:val="598A52BF"/>
    <w:rsid w:val="59FDE55F"/>
    <w:rsid w:val="5AF28860"/>
    <w:rsid w:val="5B185C1B"/>
    <w:rsid w:val="5BF60168"/>
    <w:rsid w:val="5C298AAF"/>
    <w:rsid w:val="5C5FE13D"/>
    <w:rsid w:val="5D24D312"/>
    <w:rsid w:val="5DB9ACFB"/>
    <w:rsid w:val="5EC7DC25"/>
    <w:rsid w:val="5F49994F"/>
    <w:rsid w:val="5F91D272"/>
    <w:rsid w:val="5FA58D8C"/>
    <w:rsid w:val="5FF80A4B"/>
    <w:rsid w:val="601C1211"/>
    <w:rsid w:val="60278B40"/>
    <w:rsid w:val="60753903"/>
    <w:rsid w:val="6105B516"/>
    <w:rsid w:val="6113937E"/>
    <w:rsid w:val="61308CCD"/>
    <w:rsid w:val="61336C6D"/>
    <w:rsid w:val="6165A02B"/>
    <w:rsid w:val="61E14BFF"/>
    <w:rsid w:val="634E24EF"/>
    <w:rsid w:val="635891C9"/>
    <w:rsid w:val="63B0B918"/>
    <w:rsid w:val="64301FE8"/>
    <w:rsid w:val="644AE3A9"/>
    <w:rsid w:val="64E9F550"/>
    <w:rsid w:val="6542459A"/>
    <w:rsid w:val="659DBA38"/>
    <w:rsid w:val="65D76A9D"/>
    <w:rsid w:val="663166C8"/>
    <w:rsid w:val="66CDB31D"/>
    <w:rsid w:val="677429E1"/>
    <w:rsid w:val="67990807"/>
    <w:rsid w:val="67E08B86"/>
    <w:rsid w:val="68417C0A"/>
    <w:rsid w:val="684B2E0A"/>
    <w:rsid w:val="6850EF86"/>
    <w:rsid w:val="69621A9A"/>
    <w:rsid w:val="69933239"/>
    <w:rsid w:val="69B7E316"/>
    <w:rsid w:val="69CF2339"/>
    <w:rsid w:val="6A331897"/>
    <w:rsid w:val="6AB4F35A"/>
    <w:rsid w:val="6AD9F59C"/>
    <w:rsid w:val="6BC08688"/>
    <w:rsid w:val="6BE54DD3"/>
    <w:rsid w:val="6C5DCE53"/>
    <w:rsid w:val="6C60B2B2"/>
    <w:rsid w:val="6CA2C4F8"/>
    <w:rsid w:val="6CCAD2FB"/>
    <w:rsid w:val="6CE2DA94"/>
    <w:rsid w:val="6DC2567D"/>
    <w:rsid w:val="6DC4E821"/>
    <w:rsid w:val="6E66A35C"/>
    <w:rsid w:val="6E6E0E2D"/>
    <w:rsid w:val="6EB24880"/>
    <w:rsid w:val="6EDCB086"/>
    <w:rsid w:val="6F3B4F2D"/>
    <w:rsid w:val="6F6620A7"/>
    <w:rsid w:val="6F85C78B"/>
    <w:rsid w:val="6FAD9B09"/>
    <w:rsid w:val="6FAF5595"/>
    <w:rsid w:val="6FE1BBC8"/>
    <w:rsid w:val="7019BBDA"/>
    <w:rsid w:val="706AD4C5"/>
    <w:rsid w:val="70F46799"/>
    <w:rsid w:val="719B49B6"/>
    <w:rsid w:val="719DDF0F"/>
    <w:rsid w:val="71BDAFB4"/>
    <w:rsid w:val="7220172D"/>
    <w:rsid w:val="7261E6EE"/>
    <w:rsid w:val="7284AE04"/>
    <w:rsid w:val="72C42E97"/>
    <w:rsid w:val="72C5FA87"/>
    <w:rsid w:val="7371F871"/>
    <w:rsid w:val="7374EB25"/>
    <w:rsid w:val="73A24A6A"/>
    <w:rsid w:val="73CECA68"/>
    <w:rsid w:val="741E2783"/>
    <w:rsid w:val="754411FC"/>
    <w:rsid w:val="7549213A"/>
    <w:rsid w:val="75902AE3"/>
    <w:rsid w:val="75B142FE"/>
    <w:rsid w:val="76292BBC"/>
    <w:rsid w:val="763879A3"/>
    <w:rsid w:val="7665C3F8"/>
    <w:rsid w:val="76828E56"/>
    <w:rsid w:val="78D81114"/>
    <w:rsid w:val="78E01DF2"/>
    <w:rsid w:val="78F3A022"/>
    <w:rsid w:val="79A1AD59"/>
    <w:rsid w:val="79CDF9A4"/>
    <w:rsid w:val="79F146D7"/>
    <w:rsid w:val="7A6BFCB4"/>
    <w:rsid w:val="7A753DC4"/>
    <w:rsid w:val="7AA26D1C"/>
    <w:rsid w:val="7B7181D6"/>
    <w:rsid w:val="7B895968"/>
    <w:rsid w:val="7BC0D255"/>
    <w:rsid w:val="7BE021D0"/>
    <w:rsid w:val="7C503174"/>
    <w:rsid w:val="7C514954"/>
    <w:rsid w:val="7CEDA9A8"/>
    <w:rsid w:val="7D2F4B25"/>
    <w:rsid w:val="7D5C8451"/>
    <w:rsid w:val="7DC056B8"/>
    <w:rsid w:val="7DC11852"/>
    <w:rsid w:val="7DC3118B"/>
    <w:rsid w:val="7E070B60"/>
    <w:rsid w:val="7E7F342B"/>
    <w:rsid w:val="7EA5CB7D"/>
    <w:rsid w:val="7EC83113"/>
    <w:rsid w:val="7EE232D6"/>
    <w:rsid w:val="7F1D6041"/>
    <w:rsid w:val="7F47A5EE"/>
    <w:rsid w:val="7F6D276B"/>
    <w:rsid w:val="7FAFC929"/>
    <w:rsid w:val="7FCF3BA7"/>
    <w:rsid w:val="7FD85E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837B"/>
  <w15:chartTrackingRefBased/>
  <w15:docId w15:val="{6C5804A5-DEAA-422C-AACF-B44344CC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243"/>
    <w:pPr>
      <w:keepNext/>
      <w:keepLines/>
      <w:spacing w:before="240" w:after="0"/>
      <w:outlineLvl w:val="0"/>
    </w:pPr>
    <w:rPr>
      <w:rFonts w:ascii="Times New Roman" w:eastAsiaTheme="majorEastAsia" w:hAnsi="Times New Roman"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4499D"/>
    <w:pPr>
      <w:keepNext/>
      <w:keepLines/>
      <w:spacing w:before="40" w:after="0"/>
      <w:outlineLvl w:val="1"/>
    </w:pPr>
    <w:rPr>
      <w:rFonts w:ascii="Times New Roman" w:eastAsiaTheme="majorEastAsia" w:hAnsi="Times New Roman"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9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946"/>
  </w:style>
  <w:style w:type="paragraph" w:styleId="Footer">
    <w:name w:val="footer"/>
    <w:basedOn w:val="Normal"/>
    <w:link w:val="FooterChar"/>
    <w:uiPriority w:val="99"/>
    <w:unhideWhenUsed/>
    <w:rsid w:val="00441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946"/>
  </w:style>
  <w:style w:type="paragraph" w:styleId="ListParagraph">
    <w:name w:val="List Paragraph"/>
    <w:basedOn w:val="Normal"/>
    <w:uiPriority w:val="34"/>
    <w:qFormat/>
    <w:rsid w:val="000F0C14"/>
    <w:pPr>
      <w:ind w:left="720"/>
      <w:contextualSpacing/>
    </w:pPr>
  </w:style>
  <w:style w:type="character" w:customStyle="1" w:styleId="Heading2Char">
    <w:name w:val="Heading 2 Char"/>
    <w:basedOn w:val="DefaultParagraphFont"/>
    <w:link w:val="Heading2"/>
    <w:uiPriority w:val="9"/>
    <w:rsid w:val="0084499D"/>
    <w:rPr>
      <w:rFonts w:ascii="Times New Roman" w:eastAsiaTheme="majorEastAsia" w:hAnsi="Times New Roman" w:cstheme="majorBidi"/>
      <w:color w:val="2F5496" w:themeColor="accent1" w:themeShade="BF"/>
      <w:sz w:val="26"/>
      <w:szCs w:val="26"/>
    </w:rPr>
  </w:style>
  <w:style w:type="character" w:customStyle="1" w:styleId="Heading1Char">
    <w:name w:val="Heading 1 Char"/>
    <w:basedOn w:val="DefaultParagraphFont"/>
    <w:link w:val="Heading1"/>
    <w:uiPriority w:val="9"/>
    <w:rsid w:val="00064243"/>
    <w:rPr>
      <w:rFonts w:ascii="Times New Roman" w:eastAsiaTheme="majorEastAsia" w:hAnsi="Times New Roman" w:cstheme="majorBidi"/>
      <w:color w:val="2F5496" w:themeColor="accent1" w:themeShade="BF"/>
      <w:sz w:val="32"/>
      <w:szCs w:val="32"/>
    </w:rPr>
  </w:style>
  <w:style w:type="table" w:styleId="TableGrid">
    <w:name w:val="Table Grid"/>
    <w:basedOn w:val="TableNormal"/>
    <w:uiPriority w:val="59"/>
    <w:rsid w:val="00D93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262018"/>
    <w:rPr>
      <w:rFonts w:ascii="Times New Roman" w:hAnsi="Times New Roman"/>
      <w:i/>
      <w:iCs/>
      <w:color w:val="1F3763" w:themeColor="accent1" w:themeShade="7F"/>
      <w:sz w:val="26"/>
    </w:rPr>
  </w:style>
  <w:style w:type="paragraph" w:styleId="TOCHeading">
    <w:name w:val="TOC Heading"/>
    <w:basedOn w:val="Heading1"/>
    <w:next w:val="Normal"/>
    <w:uiPriority w:val="39"/>
    <w:unhideWhenUsed/>
    <w:qFormat/>
    <w:rsid w:val="00907393"/>
    <w:pPr>
      <w:outlineLvl w:val="9"/>
    </w:pPr>
    <w:rPr>
      <w:rFonts w:asciiTheme="majorHAnsi" w:hAnsiTheme="majorHAnsi"/>
    </w:rPr>
  </w:style>
  <w:style w:type="paragraph" w:styleId="TOC1">
    <w:name w:val="toc 1"/>
    <w:basedOn w:val="Normal"/>
    <w:next w:val="Normal"/>
    <w:autoRedefine/>
    <w:uiPriority w:val="39"/>
    <w:unhideWhenUsed/>
    <w:rsid w:val="00907393"/>
    <w:pPr>
      <w:spacing w:after="100"/>
    </w:pPr>
  </w:style>
  <w:style w:type="paragraph" w:styleId="TOC2">
    <w:name w:val="toc 2"/>
    <w:basedOn w:val="Normal"/>
    <w:next w:val="Normal"/>
    <w:autoRedefine/>
    <w:uiPriority w:val="39"/>
    <w:unhideWhenUsed/>
    <w:rsid w:val="00907393"/>
    <w:pPr>
      <w:spacing w:after="100"/>
      <w:ind w:left="220"/>
    </w:pPr>
  </w:style>
  <w:style w:type="character" w:styleId="Hyperlink">
    <w:name w:val="Hyperlink"/>
    <w:basedOn w:val="DefaultParagraphFont"/>
    <w:uiPriority w:val="99"/>
    <w:unhideWhenUsed/>
    <w:rsid w:val="00907393"/>
    <w:rPr>
      <w:color w:val="0563C1" w:themeColor="hyperlink"/>
      <w:u w:val="single"/>
    </w:rPr>
  </w:style>
  <w:style w:type="character" w:styleId="IntenseEmphasis">
    <w:name w:val="Intense Emphasis"/>
    <w:basedOn w:val="DefaultParagraphFont"/>
    <w:uiPriority w:val="21"/>
    <w:qFormat/>
    <w:rsid w:val="00887DCC"/>
    <w:rPr>
      <w:rFonts w:ascii="Times New Roman" w:hAnsi="Times New Roman"/>
      <w:i/>
      <w:iCs/>
      <w:color w:val="4472C4" w:themeColor="accent1"/>
    </w:rPr>
  </w:style>
  <w:style w:type="character" w:styleId="UnresolvedMention">
    <w:name w:val="Unresolved Mention"/>
    <w:basedOn w:val="DefaultParagraphFont"/>
    <w:uiPriority w:val="99"/>
    <w:semiHidden/>
    <w:unhideWhenUsed/>
    <w:rsid w:val="00562B88"/>
    <w:rPr>
      <w:color w:val="605E5C"/>
      <w:shd w:val="clear" w:color="auto" w:fill="E1DFDD"/>
    </w:rPr>
  </w:style>
  <w:style w:type="character" w:styleId="FollowedHyperlink">
    <w:name w:val="FollowedHyperlink"/>
    <w:basedOn w:val="DefaultParagraphFont"/>
    <w:uiPriority w:val="99"/>
    <w:semiHidden/>
    <w:unhideWhenUsed/>
    <w:rsid w:val="00381C7D"/>
    <w:rPr>
      <w:color w:val="954F72" w:themeColor="followedHyperlink"/>
      <w:u w:val="single"/>
    </w:rPr>
  </w:style>
  <w:style w:type="character" w:styleId="CommentReference">
    <w:name w:val="annotation reference"/>
    <w:basedOn w:val="DefaultParagraphFont"/>
    <w:uiPriority w:val="99"/>
    <w:semiHidden/>
    <w:unhideWhenUsed/>
    <w:rsid w:val="006F1AC6"/>
    <w:rPr>
      <w:sz w:val="16"/>
      <w:szCs w:val="16"/>
    </w:rPr>
  </w:style>
  <w:style w:type="paragraph" w:styleId="CommentText">
    <w:name w:val="annotation text"/>
    <w:basedOn w:val="Normal"/>
    <w:link w:val="CommentTextChar"/>
    <w:uiPriority w:val="99"/>
    <w:semiHidden/>
    <w:unhideWhenUsed/>
    <w:rsid w:val="006F1AC6"/>
    <w:pPr>
      <w:spacing w:line="240" w:lineRule="auto"/>
    </w:pPr>
    <w:rPr>
      <w:sz w:val="20"/>
      <w:szCs w:val="20"/>
    </w:rPr>
  </w:style>
  <w:style w:type="character" w:customStyle="1" w:styleId="CommentTextChar">
    <w:name w:val="Comment Text Char"/>
    <w:basedOn w:val="DefaultParagraphFont"/>
    <w:link w:val="CommentText"/>
    <w:uiPriority w:val="99"/>
    <w:semiHidden/>
    <w:rsid w:val="006F1AC6"/>
    <w:rPr>
      <w:sz w:val="20"/>
      <w:szCs w:val="20"/>
    </w:rPr>
  </w:style>
  <w:style w:type="paragraph" w:styleId="CommentSubject">
    <w:name w:val="annotation subject"/>
    <w:basedOn w:val="CommentText"/>
    <w:next w:val="CommentText"/>
    <w:link w:val="CommentSubjectChar"/>
    <w:uiPriority w:val="99"/>
    <w:semiHidden/>
    <w:unhideWhenUsed/>
    <w:rsid w:val="006F1AC6"/>
    <w:rPr>
      <w:b/>
      <w:bCs/>
    </w:rPr>
  </w:style>
  <w:style w:type="character" w:customStyle="1" w:styleId="CommentSubjectChar">
    <w:name w:val="Comment Subject Char"/>
    <w:basedOn w:val="CommentTextChar"/>
    <w:link w:val="CommentSubject"/>
    <w:uiPriority w:val="99"/>
    <w:semiHidden/>
    <w:rsid w:val="006F1AC6"/>
    <w:rPr>
      <w:b/>
      <w:bCs/>
      <w:sz w:val="20"/>
      <w:szCs w:val="20"/>
    </w:rPr>
  </w:style>
  <w:style w:type="character" w:styleId="Mention">
    <w:name w:val="Mention"/>
    <w:basedOn w:val="DefaultParagraphFont"/>
    <w:uiPriority w:val="99"/>
    <w:unhideWhenUsed/>
    <w:rsid w:val="0017751A"/>
    <w:rPr>
      <w:color w:val="2B579A"/>
      <w:shd w:val="clear" w:color="auto" w:fill="E6E6E6"/>
    </w:rPr>
  </w:style>
  <w:style w:type="paragraph" w:customStyle="1" w:styleId="paragraph">
    <w:name w:val="paragraph"/>
    <w:basedOn w:val="Normal"/>
    <w:rsid w:val="00AF69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F6941"/>
  </w:style>
  <w:style w:type="character" w:customStyle="1" w:styleId="eop">
    <w:name w:val="eop"/>
    <w:basedOn w:val="DefaultParagraphFont"/>
    <w:rsid w:val="00AF6941"/>
  </w:style>
  <w:style w:type="character" w:customStyle="1" w:styleId="spellingerror">
    <w:name w:val="spellingerror"/>
    <w:basedOn w:val="DefaultParagraphFont"/>
    <w:rsid w:val="000734AC"/>
  </w:style>
  <w:style w:type="character" w:customStyle="1" w:styleId="scxw59924635">
    <w:name w:val="scxw59924635"/>
    <w:basedOn w:val="DefaultParagraphFont"/>
    <w:rsid w:val="001A7F8F"/>
  </w:style>
  <w:style w:type="character" w:customStyle="1" w:styleId="advancedproofingissue">
    <w:name w:val="advancedproofingissue"/>
    <w:basedOn w:val="DefaultParagraphFont"/>
    <w:rsid w:val="00F97EB8"/>
  </w:style>
  <w:style w:type="character" w:customStyle="1" w:styleId="contextualspellingandgrammarerror">
    <w:name w:val="contextualspellingandgrammarerror"/>
    <w:basedOn w:val="DefaultParagraphFont"/>
    <w:rsid w:val="00F97EB8"/>
  </w:style>
  <w:style w:type="character" w:customStyle="1" w:styleId="scxw73392725">
    <w:name w:val="scxw73392725"/>
    <w:basedOn w:val="DefaultParagraphFont"/>
    <w:rsid w:val="00A66874"/>
  </w:style>
  <w:style w:type="character" w:customStyle="1" w:styleId="scxw158243851">
    <w:name w:val="scxw158243851"/>
    <w:basedOn w:val="DefaultParagraphFont"/>
    <w:rsid w:val="00D16CAE"/>
  </w:style>
  <w:style w:type="character" w:customStyle="1" w:styleId="scxw246590375">
    <w:name w:val="scxw246590375"/>
    <w:basedOn w:val="DefaultParagraphFont"/>
    <w:rsid w:val="00E90405"/>
  </w:style>
  <w:style w:type="character" w:customStyle="1" w:styleId="scxw95226893">
    <w:name w:val="scxw95226893"/>
    <w:basedOn w:val="DefaultParagraphFont"/>
    <w:rsid w:val="005F175E"/>
  </w:style>
  <w:style w:type="character" w:customStyle="1" w:styleId="scxw67467753">
    <w:name w:val="scxw67467753"/>
    <w:basedOn w:val="DefaultParagraphFont"/>
    <w:rsid w:val="003742E8"/>
  </w:style>
  <w:style w:type="character" w:customStyle="1" w:styleId="scxw120489810">
    <w:name w:val="scxw120489810"/>
    <w:basedOn w:val="DefaultParagraphFont"/>
    <w:rsid w:val="00147B7A"/>
  </w:style>
  <w:style w:type="character" w:customStyle="1" w:styleId="bcx0">
    <w:name w:val="bcx0"/>
    <w:basedOn w:val="DefaultParagraphFont"/>
    <w:rsid w:val="0060522B"/>
  </w:style>
  <w:style w:type="character" w:customStyle="1" w:styleId="scxw118425629">
    <w:name w:val="scxw118425629"/>
    <w:basedOn w:val="DefaultParagraphFont"/>
    <w:rsid w:val="0048594B"/>
  </w:style>
  <w:style w:type="character" w:customStyle="1" w:styleId="scxw52255993">
    <w:name w:val="scxw52255993"/>
    <w:basedOn w:val="DefaultParagraphFont"/>
    <w:rsid w:val="00344419"/>
  </w:style>
  <w:style w:type="character" w:customStyle="1" w:styleId="scxw124788065">
    <w:name w:val="scxw124788065"/>
    <w:basedOn w:val="DefaultParagraphFont"/>
    <w:rsid w:val="000536B1"/>
  </w:style>
  <w:style w:type="character" w:customStyle="1" w:styleId="scxw124215723">
    <w:name w:val="scxw124215723"/>
    <w:basedOn w:val="DefaultParagraphFont"/>
    <w:rsid w:val="00A85E92"/>
  </w:style>
  <w:style w:type="character" w:customStyle="1" w:styleId="scxw127031168">
    <w:name w:val="scxw127031168"/>
    <w:basedOn w:val="DefaultParagraphFont"/>
    <w:rsid w:val="00142424"/>
  </w:style>
  <w:style w:type="character" w:customStyle="1" w:styleId="scxw158413129">
    <w:name w:val="scxw158413129"/>
    <w:basedOn w:val="DefaultParagraphFont"/>
    <w:rsid w:val="009C4ADE"/>
  </w:style>
  <w:style w:type="character" w:customStyle="1" w:styleId="scxw237298823">
    <w:name w:val="scxw237298823"/>
    <w:basedOn w:val="DefaultParagraphFont"/>
    <w:rsid w:val="009C4ADE"/>
  </w:style>
  <w:style w:type="character" w:customStyle="1" w:styleId="scxw2242163">
    <w:name w:val="scxw2242163"/>
    <w:basedOn w:val="DefaultParagraphFont"/>
    <w:rsid w:val="009C4ADE"/>
  </w:style>
  <w:style w:type="character" w:customStyle="1" w:styleId="scxw217940311">
    <w:name w:val="scxw217940311"/>
    <w:basedOn w:val="DefaultParagraphFont"/>
    <w:rsid w:val="00893917"/>
  </w:style>
  <w:style w:type="character" w:styleId="IntenseReference">
    <w:name w:val="Intense Reference"/>
    <w:basedOn w:val="DefaultParagraphFont"/>
    <w:uiPriority w:val="32"/>
    <w:qFormat/>
    <w:rsid w:val="00F0749D"/>
    <w:rPr>
      <w:b/>
      <w:bCs/>
      <w:smallCaps/>
      <w:color w:val="4472C4" w:themeColor="accent1"/>
      <w:spacing w:val="5"/>
    </w:rPr>
  </w:style>
  <w:style w:type="character" w:customStyle="1" w:styleId="scxw250076644">
    <w:name w:val="scxw250076644"/>
    <w:basedOn w:val="DefaultParagraphFont"/>
    <w:rsid w:val="00C119DC"/>
  </w:style>
  <w:style w:type="character" w:customStyle="1" w:styleId="scxw15433395">
    <w:name w:val="scxw15433395"/>
    <w:basedOn w:val="DefaultParagraphFont"/>
    <w:rsid w:val="00643E50"/>
  </w:style>
  <w:style w:type="character" w:customStyle="1" w:styleId="scxw70757985">
    <w:name w:val="scxw70757985"/>
    <w:basedOn w:val="DefaultParagraphFont"/>
    <w:rsid w:val="00870356"/>
  </w:style>
  <w:style w:type="paragraph" w:styleId="Revision">
    <w:name w:val="Revision"/>
    <w:hidden/>
    <w:uiPriority w:val="99"/>
    <w:semiHidden/>
    <w:rsid w:val="009A2045"/>
    <w:pPr>
      <w:spacing w:after="0" w:line="240" w:lineRule="auto"/>
    </w:pPr>
  </w:style>
  <w:style w:type="character" w:customStyle="1" w:styleId="scxw215991038">
    <w:name w:val="scxw215991038"/>
    <w:basedOn w:val="DefaultParagraphFont"/>
    <w:rsid w:val="006F437F"/>
  </w:style>
  <w:style w:type="character" w:customStyle="1" w:styleId="scxw40621543">
    <w:name w:val="scxw40621543"/>
    <w:basedOn w:val="DefaultParagraphFont"/>
    <w:rsid w:val="006F437F"/>
  </w:style>
  <w:style w:type="character" w:customStyle="1" w:styleId="scxw257872928">
    <w:name w:val="scxw257872928"/>
    <w:basedOn w:val="DefaultParagraphFont"/>
    <w:rsid w:val="00002438"/>
  </w:style>
  <w:style w:type="character" w:customStyle="1" w:styleId="scxw227433378">
    <w:name w:val="scxw227433378"/>
    <w:basedOn w:val="DefaultParagraphFont"/>
    <w:rsid w:val="00E82B08"/>
  </w:style>
  <w:style w:type="character" w:customStyle="1" w:styleId="scxw193657032">
    <w:name w:val="scxw193657032"/>
    <w:basedOn w:val="DefaultParagraphFont"/>
    <w:rsid w:val="009F73EB"/>
  </w:style>
  <w:style w:type="character" w:customStyle="1" w:styleId="scxw256381762">
    <w:name w:val="scxw256381762"/>
    <w:basedOn w:val="DefaultParagraphFont"/>
    <w:rsid w:val="001526BF"/>
  </w:style>
  <w:style w:type="character" w:customStyle="1" w:styleId="scxw202753128">
    <w:name w:val="scxw202753128"/>
    <w:basedOn w:val="DefaultParagraphFont"/>
    <w:rsid w:val="00A677A3"/>
  </w:style>
  <w:style w:type="character" w:customStyle="1" w:styleId="scxw46681282">
    <w:name w:val="scxw46681282"/>
    <w:basedOn w:val="DefaultParagraphFont"/>
    <w:rsid w:val="004A6311"/>
  </w:style>
  <w:style w:type="character" w:customStyle="1" w:styleId="scxw110422706">
    <w:name w:val="scxw110422706"/>
    <w:basedOn w:val="DefaultParagraphFont"/>
    <w:rsid w:val="004A6311"/>
  </w:style>
  <w:style w:type="character" w:customStyle="1" w:styleId="scxw80676492">
    <w:name w:val="scxw80676492"/>
    <w:basedOn w:val="DefaultParagraphFont"/>
    <w:rsid w:val="004A6311"/>
  </w:style>
  <w:style w:type="character" w:customStyle="1" w:styleId="scxw49163752">
    <w:name w:val="scxw49163752"/>
    <w:basedOn w:val="DefaultParagraphFont"/>
    <w:rsid w:val="004A6311"/>
  </w:style>
  <w:style w:type="character" w:customStyle="1" w:styleId="scxw100267300">
    <w:name w:val="scxw100267300"/>
    <w:basedOn w:val="DefaultParagraphFont"/>
    <w:rsid w:val="004A6311"/>
  </w:style>
  <w:style w:type="character" w:customStyle="1" w:styleId="scxw160028431">
    <w:name w:val="scxw160028431"/>
    <w:basedOn w:val="DefaultParagraphFont"/>
    <w:rsid w:val="00FA084B"/>
  </w:style>
  <w:style w:type="character" w:customStyle="1" w:styleId="scxw124067953">
    <w:name w:val="scxw124067953"/>
    <w:basedOn w:val="DefaultParagraphFont"/>
    <w:rsid w:val="00FA084B"/>
  </w:style>
  <w:style w:type="character" w:customStyle="1" w:styleId="scxw98853530">
    <w:name w:val="scxw98853530"/>
    <w:basedOn w:val="DefaultParagraphFont"/>
    <w:rsid w:val="00FA084B"/>
  </w:style>
  <w:style w:type="character" w:customStyle="1" w:styleId="scxw131615683">
    <w:name w:val="scxw131615683"/>
    <w:basedOn w:val="DefaultParagraphFont"/>
    <w:rsid w:val="00FA084B"/>
  </w:style>
  <w:style w:type="character" w:customStyle="1" w:styleId="scxw182392987">
    <w:name w:val="scxw182392987"/>
    <w:basedOn w:val="DefaultParagraphFont"/>
    <w:rsid w:val="00FA084B"/>
  </w:style>
  <w:style w:type="character" w:customStyle="1" w:styleId="scxw170036376">
    <w:name w:val="scxw170036376"/>
    <w:basedOn w:val="DefaultParagraphFont"/>
    <w:rsid w:val="00FA084B"/>
  </w:style>
  <w:style w:type="character" w:customStyle="1" w:styleId="scxw15492598">
    <w:name w:val="scxw15492598"/>
    <w:basedOn w:val="DefaultParagraphFont"/>
    <w:rsid w:val="00FA084B"/>
  </w:style>
  <w:style w:type="character" w:customStyle="1" w:styleId="scxw53920631">
    <w:name w:val="scxw53920631"/>
    <w:basedOn w:val="DefaultParagraphFont"/>
    <w:rsid w:val="00FA084B"/>
  </w:style>
  <w:style w:type="character" w:customStyle="1" w:styleId="scxw267283011">
    <w:name w:val="scxw267283011"/>
    <w:basedOn w:val="DefaultParagraphFont"/>
    <w:rsid w:val="00FA084B"/>
  </w:style>
  <w:style w:type="character" w:customStyle="1" w:styleId="scxw100763308">
    <w:name w:val="scxw100763308"/>
    <w:basedOn w:val="DefaultParagraphFont"/>
    <w:rsid w:val="00C15443"/>
  </w:style>
  <w:style w:type="character" w:customStyle="1" w:styleId="scxw200887821">
    <w:name w:val="scxw200887821"/>
    <w:basedOn w:val="DefaultParagraphFont"/>
    <w:rsid w:val="006E1842"/>
  </w:style>
  <w:style w:type="character" w:customStyle="1" w:styleId="scxw90785609">
    <w:name w:val="scxw90785609"/>
    <w:basedOn w:val="DefaultParagraphFont"/>
    <w:rsid w:val="00806B79"/>
  </w:style>
  <w:style w:type="character" w:customStyle="1" w:styleId="tabchar">
    <w:name w:val="tabchar"/>
    <w:basedOn w:val="DefaultParagraphFont"/>
    <w:rsid w:val="00667371"/>
  </w:style>
  <w:style w:type="character" w:customStyle="1" w:styleId="scxw18906599">
    <w:name w:val="scxw18906599"/>
    <w:basedOn w:val="DefaultParagraphFont"/>
    <w:rsid w:val="00667371"/>
  </w:style>
  <w:style w:type="character" w:customStyle="1" w:styleId="scxw111085187">
    <w:name w:val="scxw111085187"/>
    <w:basedOn w:val="DefaultParagraphFont"/>
    <w:rsid w:val="00667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651">
      <w:bodyDiv w:val="1"/>
      <w:marLeft w:val="0"/>
      <w:marRight w:val="0"/>
      <w:marTop w:val="0"/>
      <w:marBottom w:val="0"/>
      <w:divBdr>
        <w:top w:val="none" w:sz="0" w:space="0" w:color="auto"/>
        <w:left w:val="none" w:sz="0" w:space="0" w:color="auto"/>
        <w:bottom w:val="none" w:sz="0" w:space="0" w:color="auto"/>
        <w:right w:val="none" w:sz="0" w:space="0" w:color="auto"/>
      </w:divBdr>
      <w:divsChild>
        <w:div w:id="91049151">
          <w:marLeft w:val="0"/>
          <w:marRight w:val="0"/>
          <w:marTop w:val="0"/>
          <w:marBottom w:val="0"/>
          <w:divBdr>
            <w:top w:val="none" w:sz="0" w:space="0" w:color="auto"/>
            <w:left w:val="none" w:sz="0" w:space="0" w:color="auto"/>
            <w:bottom w:val="none" w:sz="0" w:space="0" w:color="auto"/>
            <w:right w:val="none" w:sz="0" w:space="0" w:color="auto"/>
          </w:divBdr>
        </w:div>
        <w:div w:id="647199971">
          <w:marLeft w:val="0"/>
          <w:marRight w:val="0"/>
          <w:marTop w:val="0"/>
          <w:marBottom w:val="0"/>
          <w:divBdr>
            <w:top w:val="none" w:sz="0" w:space="0" w:color="auto"/>
            <w:left w:val="none" w:sz="0" w:space="0" w:color="auto"/>
            <w:bottom w:val="none" w:sz="0" w:space="0" w:color="auto"/>
            <w:right w:val="none" w:sz="0" w:space="0" w:color="auto"/>
          </w:divBdr>
          <w:divsChild>
            <w:div w:id="254676929">
              <w:marLeft w:val="0"/>
              <w:marRight w:val="0"/>
              <w:marTop w:val="0"/>
              <w:marBottom w:val="0"/>
              <w:divBdr>
                <w:top w:val="none" w:sz="0" w:space="0" w:color="auto"/>
                <w:left w:val="none" w:sz="0" w:space="0" w:color="auto"/>
                <w:bottom w:val="none" w:sz="0" w:space="0" w:color="auto"/>
                <w:right w:val="none" w:sz="0" w:space="0" w:color="auto"/>
              </w:divBdr>
            </w:div>
            <w:div w:id="1499612679">
              <w:marLeft w:val="0"/>
              <w:marRight w:val="0"/>
              <w:marTop w:val="0"/>
              <w:marBottom w:val="0"/>
              <w:divBdr>
                <w:top w:val="none" w:sz="0" w:space="0" w:color="auto"/>
                <w:left w:val="none" w:sz="0" w:space="0" w:color="auto"/>
                <w:bottom w:val="none" w:sz="0" w:space="0" w:color="auto"/>
                <w:right w:val="none" w:sz="0" w:space="0" w:color="auto"/>
              </w:divBdr>
            </w:div>
            <w:div w:id="1617709814">
              <w:marLeft w:val="0"/>
              <w:marRight w:val="0"/>
              <w:marTop w:val="0"/>
              <w:marBottom w:val="0"/>
              <w:divBdr>
                <w:top w:val="none" w:sz="0" w:space="0" w:color="auto"/>
                <w:left w:val="none" w:sz="0" w:space="0" w:color="auto"/>
                <w:bottom w:val="none" w:sz="0" w:space="0" w:color="auto"/>
                <w:right w:val="none" w:sz="0" w:space="0" w:color="auto"/>
              </w:divBdr>
            </w:div>
            <w:div w:id="2087996352">
              <w:marLeft w:val="0"/>
              <w:marRight w:val="0"/>
              <w:marTop w:val="0"/>
              <w:marBottom w:val="0"/>
              <w:divBdr>
                <w:top w:val="none" w:sz="0" w:space="0" w:color="auto"/>
                <w:left w:val="none" w:sz="0" w:space="0" w:color="auto"/>
                <w:bottom w:val="none" w:sz="0" w:space="0" w:color="auto"/>
                <w:right w:val="none" w:sz="0" w:space="0" w:color="auto"/>
              </w:divBdr>
            </w:div>
          </w:divsChild>
        </w:div>
        <w:div w:id="789975859">
          <w:marLeft w:val="0"/>
          <w:marRight w:val="0"/>
          <w:marTop w:val="0"/>
          <w:marBottom w:val="0"/>
          <w:divBdr>
            <w:top w:val="none" w:sz="0" w:space="0" w:color="auto"/>
            <w:left w:val="none" w:sz="0" w:space="0" w:color="auto"/>
            <w:bottom w:val="none" w:sz="0" w:space="0" w:color="auto"/>
            <w:right w:val="none" w:sz="0" w:space="0" w:color="auto"/>
          </w:divBdr>
        </w:div>
        <w:div w:id="922228868">
          <w:marLeft w:val="0"/>
          <w:marRight w:val="0"/>
          <w:marTop w:val="0"/>
          <w:marBottom w:val="0"/>
          <w:divBdr>
            <w:top w:val="none" w:sz="0" w:space="0" w:color="auto"/>
            <w:left w:val="none" w:sz="0" w:space="0" w:color="auto"/>
            <w:bottom w:val="none" w:sz="0" w:space="0" w:color="auto"/>
            <w:right w:val="none" w:sz="0" w:space="0" w:color="auto"/>
          </w:divBdr>
          <w:divsChild>
            <w:div w:id="944114580">
              <w:marLeft w:val="0"/>
              <w:marRight w:val="0"/>
              <w:marTop w:val="0"/>
              <w:marBottom w:val="0"/>
              <w:divBdr>
                <w:top w:val="none" w:sz="0" w:space="0" w:color="auto"/>
                <w:left w:val="none" w:sz="0" w:space="0" w:color="auto"/>
                <w:bottom w:val="none" w:sz="0" w:space="0" w:color="auto"/>
                <w:right w:val="none" w:sz="0" w:space="0" w:color="auto"/>
              </w:divBdr>
            </w:div>
            <w:div w:id="1036001450">
              <w:marLeft w:val="0"/>
              <w:marRight w:val="0"/>
              <w:marTop w:val="0"/>
              <w:marBottom w:val="0"/>
              <w:divBdr>
                <w:top w:val="none" w:sz="0" w:space="0" w:color="auto"/>
                <w:left w:val="none" w:sz="0" w:space="0" w:color="auto"/>
                <w:bottom w:val="none" w:sz="0" w:space="0" w:color="auto"/>
                <w:right w:val="none" w:sz="0" w:space="0" w:color="auto"/>
              </w:divBdr>
            </w:div>
            <w:div w:id="1510752168">
              <w:marLeft w:val="0"/>
              <w:marRight w:val="0"/>
              <w:marTop w:val="0"/>
              <w:marBottom w:val="0"/>
              <w:divBdr>
                <w:top w:val="none" w:sz="0" w:space="0" w:color="auto"/>
                <w:left w:val="none" w:sz="0" w:space="0" w:color="auto"/>
                <w:bottom w:val="none" w:sz="0" w:space="0" w:color="auto"/>
                <w:right w:val="none" w:sz="0" w:space="0" w:color="auto"/>
              </w:divBdr>
            </w:div>
          </w:divsChild>
        </w:div>
        <w:div w:id="941063424">
          <w:marLeft w:val="0"/>
          <w:marRight w:val="0"/>
          <w:marTop w:val="0"/>
          <w:marBottom w:val="0"/>
          <w:divBdr>
            <w:top w:val="none" w:sz="0" w:space="0" w:color="auto"/>
            <w:left w:val="none" w:sz="0" w:space="0" w:color="auto"/>
            <w:bottom w:val="none" w:sz="0" w:space="0" w:color="auto"/>
            <w:right w:val="none" w:sz="0" w:space="0" w:color="auto"/>
          </w:divBdr>
        </w:div>
        <w:div w:id="941181086">
          <w:marLeft w:val="0"/>
          <w:marRight w:val="0"/>
          <w:marTop w:val="0"/>
          <w:marBottom w:val="0"/>
          <w:divBdr>
            <w:top w:val="none" w:sz="0" w:space="0" w:color="auto"/>
            <w:left w:val="none" w:sz="0" w:space="0" w:color="auto"/>
            <w:bottom w:val="none" w:sz="0" w:space="0" w:color="auto"/>
            <w:right w:val="none" w:sz="0" w:space="0" w:color="auto"/>
          </w:divBdr>
        </w:div>
        <w:div w:id="1039550023">
          <w:marLeft w:val="0"/>
          <w:marRight w:val="0"/>
          <w:marTop w:val="0"/>
          <w:marBottom w:val="0"/>
          <w:divBdr>
            <w:top w:val="none" w:sz="0" w:space="0" w:color="auto"/>
            <w:left w:val="none" w:sz="0" w:space="0" w:color="auto"/>
            <w:bottom w:val="none" w:sz="0" w:space="0" w:color="auto"/>
            <w:right w:val="none" w:sz="0" w:space="0" w:color="auto"/>
          </w:divBdr>
        </w:div>
        <w:div w:id="1410417870">
          <w:marLeft w:val="0"/>
          <w:marRight w:val="0"/>
          <w:marTop w:val="0"/>
          <w:marBottom w:val="0"/>
          <w:divBdr>
            <w:top w:val="none" w:sz="0" w:space="0" w:color="auto"/>
            <w:left w:val="none" w:sz="0" w:space="0" w:color="auto"/>
            <w:bottom w:val="none" w:sz="0" w:space="0" w:color="auto"/>
            <w:right w:val="none" w:sz="0" w:space="0" w:color="auto"/>
          </w:divBdr>
        </w:div>
        <w:div w:id="1709257753">
          <w:marLeft w:val="0"/>
          <w:marRight w:val="0"/>
          <w:marTop w:val="0"/>
          <w:marBottom w:val="0"/>
          <w:divBdr>
            <w:top w:val="none" w:sz="0" w:space="0" w:color="auto"/>
            <w:left w:val="none" w:sz="0" w:space="0" w:color="auto"/>
            <w:bottom w:val="none" w:sz="0" w:space="0" w:color="auto"/>
            <w:right w:val="none" w:sz="0" w:space="0" w:color="auto"/>
          </w:divBdr>
        </w:div>
      </w:divsChild>
    </w:div>
    <w:div w:id="7877898">
      <w:bodyDiv w:val="1"/>
      <w:marLeft w:val="0"/>
      <w:marRight w:val="0"/>
      <w:marTop w:val="0"/>
      <w:marBottom w:val="0"/>
      <w:divBdr>
        <w:top w:val="none" w:sz="0" w:space="0" w:color="auto"/>
        <w:left w:val="none" w:sz="0" w:space="0" w:color="auto"/>
        <w:bottom w:val="none" w:sz="0" w:space="0" w:color="auto"/>
        <w:right w:val="none" w:sz="0" w:space="0" w:color="auto"/>
      </w:divBdr>
      <w:divsChild>
        <w:div w:id="870655274">
          <w:marLeft w:val="0"/>
          <w:marRight w:val="0"/>
          <w:marTop w:val="0"/>
          <w:marBottom w:val="0"/>
          <w:divBdr>
            <w:top w:val="none" w:sz="0" w:space="0" w:color="auto"/>
            <w:left w:val="none" w:sz="0" w:space="0" w:color="auto"/>
            <w:bottom w:val="none" w:sz="0" w:space="0" w:color="auto"/>
            <w:right w:val="none" w:sz="0" w:space="0" w:color="auto"/>
          </w:divBdr>
        </w:div>
        <w:div w:id="1231500051">
          <w:marLeft w:val="0"/>
          <w:marRight w:val="0"/>
          <w:marTop w:val="0"/>
          <w:marBottom w:val="0"/>
          <w:divBdr>
            <w:top w:val="none" w:sz="0" w:space="0" w:color="auto"/>
            <w:left w:val="none" w:sz="0" w:space="0" w:color="auto"/>
            <w:bottom w:val="none" w:sz="0" w:space="0" w:color="auto"/>
            <w:right w:val="none" w:sz="0" w:space="0" w:color="auto"/>
          </w:divBdr>
        </w:div>
        <w:div w:id="1592664618">
          <w:marLeft w:val="0"/>
          <w:marRight w:val="0"/>
          <w:marTop w:val="0"/>
          <w:marBottom w:val="0"/>
          <w:divBdr>
            <w:top w:val="none" w:sz="0" w:space="0" w:color="auto"/>
            <w:left w:val="none" w:sz="0" w:space="0" w:color="auto"/>
            <w:bottom w:val="none" w:sz="0" w:space="0" w:color="auto"/>
            <w:right w:val="none" w:sz="0" w:space="0" w:color="auto"/>
          </w:divBdr>
        </w:div>
        <w:div w:id="1645426645">
          <w:marLeft w:val="0"/>
          <w:marRight w:val="0"/>
          <w:marTop w:val="0"/>
          <w:marBottom w:val="0"/>
          <w:divBdr>
            <w:top w:val="none" w:sz="0" w:space="0" w:color="auto"/>
            <w:left w:val="none" w:sz="0" w:space="0" w:color="auto"/>
            <w:bottom w:val="none" w:sz="0" w:space="0" w:color="auto"/>
            <w:right w:val="none" w:sz="0" w:space="0" w:color="auto"/>
          </w:divBdr>
        </w:div>
        <w:div w:id="1751846395">
          <w:marLeft w:val="0"/>
          <w:marRight w:val="0"/>
          <w:marTop w:val="0"/>
          <w:marBottom w:val="0"/>
          <w:divBdr>
            <w:top w:val="none" w:sz="0" w:space="0" w:color="auto"/>
            <w:left w:val="none" w:sz="0" w:space="0" w:color="auto"/>
            <w:bottom w:val="none" w:sz="0" w:space="0" w:color="auto"/>
            <w:right w:val="none" w:sz="0" w:space="0" w:color="auto"/>
          </w:divBdr>
        </w:div>
        <w:div w:id="1972900660">
          <w:marLeft w:val="0"/>
          <w:marRight w:val="0"/>
          <w:marTop w:val="0"/>
          <w:marBottom w:val="0"/>
          <w:divBdr>
            <w:top w:val="none" w:sz="0" w:space="0" w:color="auto"/>
            <w:left w:val="none" w:sz="0" w:space="0" w:color="auto"/>
            <w:bottom w:val="none" w:sz="0" w:space="0" w:color="auto"/>
            <w:right w:val="none" w:sz="0" w:space="0" w:color="auto"/>
          </w:divBdr>
        </w:div>
      </w:divsChild>
    </w:div>
    <w:div w:id="9576037">
      <w:bodyDiv w:val="1"/>
      <w:marLeft w:val="0"/>
      <w:marRight w:val="0"/>
      <w:marTop w:val="0"/>
      <w:marBottom w:val="0"/>
      <w:divBdr>
        <w:top w:val="none" w:sz="0" w:space="0" w:color="auto"/>
        <w:left w:val="none" w:sz="0" w:space="0" w:color="auto"/>
        <w:bottom w:val="none" w:sz="0" w:space="0" w:color="auto"/>
        <w:right w:val="none" w:sz="0" w:space="0" w:color="auto"/>
      </w:divBdr>
      <w:divsChild>
        <w:div w:id="33190947">
          <w:marLeft w:val="0"/>
          <w:marRight w:val="0"/>
          <w:marTop w:val="0"/>
          <w:marBottom w:val="0"/>
          <w:divBdr>
            <w:top w:val="none" w:sz="0" w:space="0" w:color="auto"/>
            <w:left w:val="none" w:sz="0" w:space="0" w:color="auto"/>
            <w:bottom w:val="none" w:sz="0" w:space="0" w:color="auto"/>
            <w:right w:val="none" w:sz="0" w:space="0" w:color="auto"/>
          </w:divBdr>
        </w:div>
        <w:div w:id="172888048">
          <w:marLeft w:val="0"/>
          <w:marRight w:val="0"/>
          <w:marTop w:val="0"/>
          <w:marBottom w:val="0"/>
          <w:divBdr>
            <w:top w:val="none" w:sz="0" w:space="0" w:color="auto"/>
            <w:left w:val="none" w:sz="0" w:space="0" w:color="auto"/>
            <w:bottom w:val="none" w:sz="0" w:space="0" w:color="auto"/>
            <w:right w:val="none" w:sz="0" w:space="0" w:color="auto"/>
          </w:divBdr>
        </w:div>
        <w:div w:id="375394253">
          <w:marLeft w:val="0"/>
          <w:marRight w:val="0"/>
          <w:marTop w:val="0"/>
          <w:marBottom w:val="0"/>
          <w:divBdr>
            <w:top w:val="none" w:sz="0" w:space="0" w:color="auto"/>
            <w:left w:val="none" w:sz="0" w:space="0" w:color="auto"/>
            <w:bottom w:val="none" w:sz="0" w:space="0" w:color="auto"/>
            <w:right w:val="none" w:sz="0" w:space="0" w:color="auto"/>
          </w:divBdr>
        </w:div>
        <w:div w:id="454763012">
          <w:marLeft w:val="0"/>
          <w:marRight w:val="0"/>
          <w:marTop w:val="0"/>
          <w:marBottom w:val="0"/>
          <w:divBdr>
            <w:top w:val="none" w:sz="0" w:space="0" w:color="auto"/>
            <w:left w:val="none" w:sz="0" w:space="0" w:color="auto"/>
            <w:bottom w:val="none" w:sz="0" w:space="0" w:color="auto"/>
            <w:right w:val="none" w:sz="0" w:space="0" w:color="auto"/>
          </w:divBdr>
        </w:div>
        <w:div w:id="769931139">
          <w:marLeft w:val="0"/>
          <w:marRight w:val="0"/>
          <w:marTop w:val="0"/>
          <w:marBottom w:val="0"/>
          <w:divBdr>
            <w:top w:val="none" w:sz="0" w:space="0" w:color="auto"/>
            <w:left w:val="none" w:sz="0" w:space="0" w:color="auto"/>
            <w:bottom w:val="none" w:sz="0" w:space="0" w:color="auto"/>
            <w:right w:val="none" w:sz="0" w:space="0" w:color="auto"/>
          </w:divBdr>
        </w:div>
        <w:div w:id="865409391">
          <w:marLeft w:val="0"/>
          <w:marRight w:val="0"/>
          <w:marTop w:val="0"/>
          <w:marBottom w:val="0"/>
          <w:divBdr>
            <w:top w:val="none" w:sz="0" w:space="0" w:color="auto"/>
            <w:left w:val="none" w:sz="0" w:space="0" w:color="auto"/>
            <w:bottom w:val="none" w:sz="0" w:space="0" w:color="auto"/>
            <w:right w:val="none" w:sz="0" w:space="0" w:color="auto"/>
          </w:divBdr>
        </w:div>
        <w:div w:id="874195998">
          <w:marLeft w:val="0"/>
          <w:marRight w:val="0"/>
          <w:marTop w:val="0"/>
          <w:marBottom w:val="0"/>
          <w:divBdr>
            <w:top w:val="none" w:sz="0" w:space="0" w:color="auto"/>
            <w:left w:val="none" w:sz="0" w:space="0" w:color="auto"/>
            <w:bottom w:val="none" w:sz="0" w:space="0" w:color="auto"/>
            <w:right w:val="none" w:sz="0" w:space="0" w:color="auto"/>
          </w:divBdr>
        </w:div>
        <w:div w:id="1244215395">
          <w:marLeft w:val="0"/>
          <w:marRight w:val="0"/>
          <w:marTop w:val="0"/>
          <w:marBottom w:val="0"/>
          <w:divBdr>
            <w:top w:val="none" w:sz="0" w:space="0" w:color="auto"/>
            <w:left w:val="none" w:sz="0" w:space="0" w:color="auto"/>
            <w:bottom w:val="none" w:sz="0" w:space="0" w:color="auto"/>
            <w:right w:val="none" w:sz="0" w:space="0" w:color="auto"/>
          </w:divBdr>
        </w:div>
        <w:div w:id="1435127518">
          <w:marLeft w:val="0"/>
          <w:marRight w:val="0"/>
          <w:marTop w:val="0"/>
          <w:marBottom w:val="0"/>
          <w:divBdr>
            <w:top w:val="none" w:sz="0" w:space="0" w:color="auto"/>
            <w:left w:val="none" w:sz="0" w:space="0" w:color="auto"/>
            <w:bottom w:val="none" w:sz="0" w:space="0" w:color="auto"/>
            <w:right w:val="none" w:sz="0" w:space="0" w:color="auto"/>
          </w:divBdr>
        </w:div>
      </w:divsChild>
    </w:div>
    <w:div w:id="12189774">
      <w:bodyDiv w:val="1"/>
      <w:marLeft w:val="0"/>
      <w:marRight w:val="0"/>
      <w:marTop w:val="0"/>
      <w:marBottom w:val="0"/>
      <w:divBdr>
        <w:top w:val="none" w:sz="0" w:space="0" w:color="auto"/>
        <w:left w:val="none" w:sz="0" w:space="0" w:color="auto"/>
        <w:bottom w:val="none" w:sz="0" w:space="0" w:color="auto"/>
        <w:right w:val="none" w:sz="0" w:space="0" w:color="auto"/>
      </w:divBdr>
      <w:divsChild>
        <w:div w:id="2242977">
          <w:marLeft w:val="0"/>
          <w:marRight w:val="0"/>
          <w:marTop w:val="0"/>
          <w:marBottom w:val="0"/>
          <w:divBdr>
            <w:top w:val="none" w:sz="0" w:space="0" w:color="auto"/>
            <w:left w:val="none" w:sz="0" w:space="0" w:color="auto"/>
            <w:bottom w:val="none" w:sz="0" w:space="0" w:color="auto"/>
            <w:right w:val="none" w:sz="0" w:space="0" w:color="auto"/>
          </w:divBdr>
        </w:div>
        <w:div w:id="96681596">
          <w:marLeft w:val="0"/>
          <w:marRight w:val="0"/>
          <w:marTop w:val="0"/>
          <w:marBottom w:val="0"/>
          <w:divBdr>
            <w:top w:val="none" w:sz="0" w:space="0" w:color="auto"/>
            <w:left w:val="none" w:sz="0" w:space="0" w:color="auto"/>
            <w:bottom w:val="none" w:sz="0" w:space="0" w:color="auto"/>
            <w:right w:val="none" w:sz="0" w:space="0" w:color="auto"/>
          </w:divBdr>
        </w:div>
        <w:div w:id="366873404">
          <w:marLeft w:val="0"/>
          <w:marRight w:val="0"/>
          <w:marTop w:val="0"/>
          <w:marBottom w:val="0"/>
          <w:divBdr>
            <w:top w:val="none" w:sz="0" w:space="0" w:color="auto"/>
            <w:left w:val="none" w:sz="0" w:space="0" w:color="auto"/>
            <w:bottom w:val="none" w:sz="0" w:space="0" w:color="auto"/>
            <w:right w:val="none" w:sz="0" w:space="0" w:color="auto"/>
          </w:divBdr>
        </w:div>
        <w:div w:id="711148305">
          <w:marLeft w:val="0"/>
          <w:marRight w:val="0"/>
          <w:marTop w:val="0"/>
          <w:marBottom w:val="0"/>
          <w:divBdr>
            <w:top w:val="none" w:sz="0" w:space="0" w:color="auto"/>
            <w:left w:val="none" w:sz="0" w:space="0" w:color="auto"/>
            <w:bottom w:val="none" w:sz="0" w:space="0" w:color="auto"/>
            <w:right w:val="none" w:sz="0" w:space="0" w:color="auto"/>
          </w:divBdr>
        </w:div>
        <w:div w:id="737441479">
          <w:marLeft w:val="0"/>
          <w:marRight w:val="0"/>
          <w:marTop w:val="0"/>
          <w:marBottom w:val="0"/>
          <w:divBdr>
            <w:top w:val="none" w:sz="0" w:space="0" w:color="auto"/>
            <w:left w:val="none" w:sz="0" w:space="0" w:color="auto"/>
            <w:bottom w:val="none" w:sz="0" w:space="0" w:color="auto"/>
            <w:right w:val="none" w:sz="0" w:space="0" w:color="auto"/>
          </w:divBdr>
        </w:div>
        <w:div w:id="830829238">
          <w:marLeft w:val="0"/>
          <w:marRight w:val="0"/>
          <w:marTop w:val="0"/>
          <w:marBottom w:val="0"/>
          <w:divBdr>
            <w:top w:val="none" w:sz="0" w:space="0" w:color="auto"/>
            <w:left w:val="none" w:sz="0" w:space="0" w:color="auto"/>
            <w:bottom w:val="none" w:sz="0" w:space="0" w:color="auto"/>
            <w:right w:val="none" w:sz="0" w:space="0" w:color="auto"/>
          </w:divBdr>
        </w:div>
        <w:div w:id="1165171886">
          <w:marLeft w:val="0"/>
          <w:marRight w:val="0"/>
          <w:marTop w:val="0"/>
          <w:marBottom w:val="0"/>
          <w:divBdr>
            <w:top w:val="none" w:sz="0" w:space="0" w:color="auto"/>
            <w:left w:val="none" w:sz="0" w:space="0" w:color="auto"/>
            <w:bottom w:val="none" w:sz="0" w:space="0" w:color="auto"/>
            <w:right w:val="none" w:sz="0" w:space="0" w:color="auto"/>
          </w:divBdr>
        </w:div>
        <w:div w:id="1565874887">
          <w:marLeft w:val="0"/>
          <w:marRight w:val="0"/>
          <w:marTop w:val="0"/>
          <w:marBottom w:val="0"/>
          <w:divBdr>
            <w:top w:val="none" w:sz="0" w:space="0" w:color="auto"/>
            <w:left w:val="none" w:sz="0" w:space="0" w:color="auto"/>
            <w:bottom w:val="none" w:sz="0" w:space="0" w:color="auto"/>
            <w:right w:val="none" w:sz="0" w:space="0" w:color="auto"/>
          </w:divBdr>
        </w:div>
        <w:div w:id="1682395760">
          <w:marLeft w:val="0"/>
          <w:marRight w:val="0"/>
          <w:marTop w:val="0"/>
          <w:marBottom w:val="0"/>
          <w:divBdr>
            <w:top w:val="none" w:sz="0" w:space="0" w:color="auto"/>
            <w:left w:val="none" w:sz="0" w:space="0" w:color="auto"/>
            <w:bottom w:val="none" w:sz="0" w:space="0" w:color="auto"/>
            <w:right w:val="none" w:sz="0" w:space="0" w:color="auto"/>
          </w:divBdr>
        </w:div>
        <w:div w:id="1711026074">
          <w:marLeft w:val="0"/>
          <w:marRight w:val="0"/>
          <w:marTop w:val="0"/>
          <w:marBottom w:val="0"/>
          <w:divBdr>
            <w:top w:val="none" w:sz="0" w:space="0" w:color="auto"/>
            <w:left w:val="none" w:sz="0" w:space="0" w:color="auto"/>
            <w:bottom w:val="none" w:sz="0" w:space="0" w:color="auto"/>
            <w:right w:val="none" w:sz="0" w:space="0" w:color="auto"/>
          </w:divBdr>
        </w:div>
      </w:divsChild>
    </w:div>
    <w:div w:id="18431368">
      <w:bodyDiv w:val="1"/>
      <w:marLeft w:val="0"/>
      <w:marRight w:val="0"/>
      <w:marTop w:val="0"/>
      <w:marBottom w:val="0"/>
      <w:divBdr>
        <w:top w:val="none" w:sz="0" w:space="0" w:color="auto"/>
        <w:left w:val="none" w:sz="0" w:space="0" w:color="auto"/>
        <w:bottom w:val="none" w:sz="0" w:space="0" w:color="auto"/>
        <w:right w:val="none" w:sz="0" w:space="0" w:color="auto"/>
      </w:divBdr>
      <w:divsChild>
        <w:div w:id="581135759">
          <w:marLeft w:val="0"/>
          <w:marRight w:val="0"/>
          <w:marTop w:val="0"/>
          <w:marBottom w:val="0"/>
          <w:divBdr>
            <w:top w:val="none" w:sz="0" w:space="0" w:color="auto"/>
            <w:left w:val="none" w:sz="0" w:space="0" w:color="auto"/>
            <w:bottom w:val="none" w:sz="0" w:space="0" w:color="auto"/>
            <w:right w:val="none" w:sz="0" w:space="0" w:color="auto"/>
          </w:divBdr>
        </w:div>
        <w:div w:id="725490640">
          <w:marLeft w:val="0"/>
          <w:marRight w:val="0"/>
          <w:marTop w:val="0"/>
          <w:marBottom w:val="0"/>
          <w:divBdr>
            <w:top w:val="none" w:sz="0" w:space="0" w:color="auto"/>
            <w:left w:val="none" w:sz="0" w:space="0" w:color="auto"/>
            <w:bottom w:val="none" w:sz="0" w:space="0" w:color="auto"/>
            <w:right w:val="none" w:sz="0" w:space="0" w:color="auto"/>
          </w:divBdr>
        </w:div>
        <w:div w:id="752359411">
          <w:marLeft w:val="0"/>
          <w:marRight w:val="0"/>
          <w:marTop w:val="0"/>
          <w:marBottom w:val="0"/>
          <w:divBdr>
            <w:top w:val="none" w:sz="0" w:space="0" w:color="auto"/>
            <w:left w:val="none" w:sz="0" w:space="0" w:color="auto"/>
            <w:bottom w:val="none" w:sz="0" w:space="0" w:color="auto"/>
            <w:right w:val="none" w:sz="0" w:space="0" w:color="auto"/>
          </w:divBdr>
        </w:div>
        <w:div w:id="771362027">
          <w:marLeft w:val="0"/>
          <w:marRight w:val="0"/>
          <w:marTop w:val="0"/>
          <w:marBottom w:val="0"/>
          <w:divBdr>
            <w:top w:val="none" w:sz="0" w:space="0" w:color="auto"/>
            <w:left w:val="none" w:sz="0" w:space="0" w:color="auto"/>
            <w:bottom w:val="none" w:sz="0" w:space="0" w:color="auto"/>
            <w:right w:val="none" w:sz="0" w:space="0" w:color="auto"/>
          </w:divBdr>
        </w:div>
        <w:div w:id="928655728">
          <w:marLeft w:val="0"/>
          <w:marRight w:val="0"/>
          <w:marTop w:val="0"/>
          <w:marBottom w:val="0"/>
          <w:divBdr>
            <w:top w:val="none" w:sz="0" w:space="0" w:color="auto"/>
            <w:left w:val="none" w:sz="0" w:space="0" w:color="auto"/>
            <w:bottom w:val="none" w:sz="0" w:space="0" w:color="auto"/>
            <w:right w:val="none" w:sz="0" w:space="0" w:color="auto"/>
          </w:divBdr>
        </w:div>
        <w:div w:id="931550254">
          <w:marLeft w:val="0"/>
          <w:marRight w:val="0"/>
          <w:marTop w:val="0"/>
          <w:marBottom w:val="0"/>
          <w:divBdr>
            <w:top w:val="none" w:sz="0" w:space="0" w:color="auto"/>
            <w:left w:val="none" w:sz="0" w:space="0" w:color="auto"/>
            <w:bottom w:val="none" w:sz="0" w:space="0" w:color="auto"/>
            <w:right w:val="none" w:sz="0" w:space="0" w:color="auto"/>
          </w:divBdr>
        </w:div>
        <w:div w:id="1262909829">
          <w:marLeft w:val="0"/>
          <w:marRight w:val="0"/>
          <w:marTop w:val="0"/>
          <w:marBottom w:val="0"/>
          <w:divBdr>
            <w:top w:val="none" w:sz="0" w:space="0" w:color="auto"/>
            <w:left w:val="none" w:sz="0" w:space="0" w:color="auto"/>
            <w:bottom w:val="none" w:sz="0" w:space="0" w:color="auto"/>
            <w:right w:val="none" w:sz="0" w:space="0" w:color="auto"/>
          </w:divBdr>
        </w:div>
        <w:div w:id="2045131017">
          <w:marLeft w:val="0"/>
          <w:marRight w:val="0"/>
          <w:marTop w:val="0"/>
          <w:marBottom w:val="0"/>
          <w:divBdr>
            <w:top w:val="none" w:sz="0" w:space="0" w:color="auto"/>
            <w:left w:val="none" w:sz="0" w:space="0" w:color="auto"/>
            <w:bottom w:val="none" w:sz="0" w:space="0" w:color="auto"/>
            <w:right w:val="none" w:sz="0" w:space="0" w:color="auto"/>
          </w:divBdr>
        </w:div>
        <w:div w:id="2103985281">
          <w:marLeft w:val="0"/>
          <w:marRight w:val="0"/>
          <w:marTop w:val="0"/>
          <w:marBottom w:val="0"/>
          <w:divBdr>
            <w:top w:val="none" w:sz="0" w:space="0" w:color="auto"/>
            <w:left w:val="none" w:sz="0" w:space="0" w:color="auto"/>
            <w:bottom w:val="none" w:sz="0" w:space="0" w:color="auto"/>
            <w:right w:val="none" w:sz="0" w:space="0" w:color="auto"/>
          </w:divBdr>
        </w:div>
      </w:divsChild>
    </w:div>
    <w:div w:id="20056094">
      <w:bodyDiv w:val="1"/>
      <w:marLeft w:val="0"/>
      <w:marRight w:val="0"/>
      <w:marTop w:val="0"/>
      <w:marBottom w:val="0"/>
      <w:divBdr>
        <w:top w:val="none" w:sz="0" w:space="0" w:color="auto"/>
        <w:left w:val="none" w:sz="0" w:space="0" w:color="auto"/>
        <w:bottom w:val="none" w:sz="0" w:space="0" w:color="auto"/>
        <w:right w:val="none" w:sz="0" w:space="0" w:color="auto"/>
      </w:divBdr>
      <w:divsChild>
        <w:div w:id="143014889">
          <w:marLeft w:val="0"/>
          <w:marRight w:val="0"/>
          <w:marTop w:val="0"/>
          <w:marBottom w:val="0"/>
          <w:divBdr>
            <w:top w:val="none" w:sz="0" w:space="0" w:color="auto"/>
            <w:left w:val="none" w:sz="0" w:space="0" w:color="auto"/>
            <w:bottom w:val="none" w:sz="0" w:space="0" w:color="auto"/>
            <w:right w:val="none" w:sz="0" w:space="0" w:color="auto"/>
          </w:divBdr>
        </w:div>
        <w:div w:id="1130518015">
          <w:marLeft w:val="0"/>
          <w:marRight w:val="0"/>
          <w:marTop w:val="0"/>
          <w:marBottom w:val="0"/>
          <w:divBdr>
            <w:top w:val="none" w:sz="0" w:space="0" w:color="auto"/>
            <w:left w:val="none" w:sz="0" w:space="0" w:color="auto"/>
            <w:bottom w:val="none" w:sz="0" w:space="0" w:color="auto"/>
            <w:right w:val="none" w:sz="0" w:space="0" w:color="auto"/>
          </w:divBdr>
        </w:div>
        <w:div w:id="1152329954">
          <w:marLeft w:val="0"/>
          <w:marRight w:val="0"/>
          <w:marTop w:val="0"/>
          <w:marBottom w:val="0"/>
          <w:divBdr>
            <w:top w:val="none" w:sz="0" w:space="0" w:color="auto"/>
            <w:left w:val="none" w:sz="0" w:space="0" w:color="auto"/>
            <w:bottom w:val="none" w:sz="0" w:space="0" w:color="auto"/>
            <w:right w:val="none" w:sz="0" w:space="0" w:color="auto"/>
          </w:divBdr>
        </w:div>
        <w:div w:id="1166824974">
          <w:marLeft w:val="0"/>
          <w:marRight w:val="0"/>
          <w:marTop w:val="0"/>
          <w:marBottom w:val="0"/>
          <w:divBdr>
            <w:top w:val="none" w:sz="0" w:space="0" w:color="auto"/>
            <w:left w:val="none" w:sz="0" w:space="0" w:color="auto"/>
            <w:bottom w:val="none" w:sz="0" w:space="0" w:color="auto"/>
            <w:right w:val="none" w:sz="0" w:space="0" w:color="auto"/>
          </w:divBdr>
        </w:div>
        <w:div w:id="1311902672">
          <w:marLeft w:val="0"/>
          <w:marRight w:val="0"/>
          <w:marTop w:val="0"/>
          <w:marBottom w:val="0"/>
          <w:divBdr>
            <w:top w:val="none" w:sz="0" w:space="0" w:color="auto"/>
            <w:left w:val="none" w:sz="0" w:space="0" w:color="auto"/>
            <w:bottom w:val="none" w:sz="0" w:space="0" w:color="auto"/>
            <w:right w:val="none" w:sz="0" w:space="0" w:color="auto"/>
          </w:divBdr>
        </w:div>
        <w:div w:id="1506745217">
          <w:marLeft w:val="0"/>
          <w:marRight w:val="0"/>
          <w:marTop w:val="0"/>
          <w:marBottom w:val="0"/>
          <w:divBdr>
            <w:top w:val="none" w:sz="0" w:space="0" w:color="auto"/>
            <w:left w:val="none" w:sz="0" w:space="0" w:color="auto"/>
            <w:bottom w:val="none" w:sz="0" w:space="0" w:color="auto"/>
            <w:right w:val="none" w:sz="0" w:space="0" w:color="auto"/>
          </w:divBdr>
        </w:div>
        <w:div w:id="1832939004">
          <w:marLeft w:val="0"/>
          <w:marRight w:val="0"/>
          <w:marTop w:val="0"/>
          <w:marBottom w:val="0"/>
          <w:divBdr>
            <w:top w:val="none" w:sz="0" w:space="0" w:color="auto"/>
            <w:left w:val="none" w:sz="0" w:space="0" w:color="auto"/>
            <w:bottom w:val="none" w:sz="0" w:space="0" w:color="auto"/>
            <w:right w:val="none" w:sz="0" w:space="0" w:color="auto"/>
          </w:divBdr>
        </w:div>
        <w:div w:id="2036614034">
          <w:marLeft w:val="0"/>
          <w:marRight w:val="0"/>
          <w:marTop w:val="0"/>
          <w:marBottom w:val="0"/>
          <w:divBdr>
            <w:top w:val="none" w:sz="0" w:space="0" w:color="auto"/>
            <w:left w:val="none" w:sz="0" w:space="0" w:color="auto"/>
            <w:bottom w:val="none" w:sz="0" w:space="0" w:color="auto"/>
            <w:right w:val="none" w:sz="0" w:space="0" w:color="auto"/>
          </w:divBdr>
        </w:div>
        <w:div w:id="2038309713">
          <w:marLeft w:val="0"/>
          <w:marRight w:val="0"/>
          <w:marTop w:val="0"/>
          <w:marBottom w:val="0"/>
          <w:divBdr>
            <w:top w:val="none" w:sz="0" w:space="0" w:color="auto"/>
            <w:left w:val="none" w:sz="0" w:space="0" w:color="auto"/>
            <w:bottom w:val="none" w:sz="0" w:space="0" w:color="auto"/>
            <w:right w:val="none" w:sz="0" w:space="0" w:color="auto"/>
          </w:divBdr>
        </w:div>
      </w:divsChild>
    </w:div>
    <w:div w:id="86927448">
      <w:bodyDiv w:val="1"/>
      <w:marLeft w:val="0"/>
      <w:marRight w:val="0"/>
      <w:marTop w:val="0"/>
      <w:marBottom w:val="0"/>
      <w:divBdr>
        <w:top w:val="none" w:sz="0" w:space="0" w:color="auto"/>
        <w:left w:val="none" w:sz="0" w:space="0" w:color="auto"/>
        <w:bottom w:val="none" w:sz="0" w:space="0" w:color="auto"/>
        <w:right w:val="none" w:sz="0" w:space="0" w:color="auto"/>
      </w:divBdr>
      <w:divsChild>
        <w:div w:id="494224331">
          <w:marLeft w:val="0"/>
          <w:marRight w:val="0"/>
          <w:marTop w:val="0"/>
          <w:marBottom w:val="0"/>
          <w:divBdr>
            <w:top w:val="none" w:sz="0" w:space="0" w:color="auto"/>
            <w:left w:val="none" w:sz="0" w:space="0" w:color="auto"/>
            <w:bottom w:val="none" w:sz="0" w:space="0" w:color="auto"/>
            <w:right w:val="none" w:sz="0" w:space="0" w:color="auto"/>
          </w:divBdr>
        </w:div>
        <w:div w:id="584145741">
          <w:marLeft w:val="0"/>
          <w:marRight w:val="0"/>
          <w:marTop w:val="0"/>
          <w:marBottom w:val="0"/>
          <w:divBdr>
            <w:top w:val="none" w:sz="0" w:space="0" w:color="auto"/>
            <w:left w:val="none" w:sz="0" w:space="0" w:color="auto"/>
            <w:bottom w:val="none" w:sz="0" w:space="0" w:color="auto"/>
            <w:right w:val="none" w:sz="0" w:space="0" w:color="auto"/>
          </w:divBdr>
          <w:divsChild>
            <w:div w:id="57481598">
              <w:marLeft w:val="0"/>
              <w:marRight w:val="0"/>
              <w:marTop w:val="0"/>
              <w:marBottom w:val="0"/>
              <w:divBdr>
                <w:top w:val="none" w:sz="0" w:space="0" w:color="auto"/>
                <w:left w:val="none" w:sz="0" w:space="0" w:color="auto"/>
                <w:bottom w:val="none" w:sz="0" w:space="0" w:color="auto"/>
                <w:right w:val="none" w:sz="0" w:space="0" w:color="auto"/>
              </w:divBdr>
            </w:div>
            <w:div w:id="231937366">
              <w:marLeft w:val="0"/>
              <w:marRight w:val="0"/>
              <w:marTop w:val="0"/>
              <w:marBottom w:val="0"/>
              <w:divBdr>
                <w:top w:val="none" w:sz="0" w:space="0" w:color="auto"/>
                <w:left w:val="none" w:sz="0" w:space="0" w:color="auto"/>
                <w:bottom w:val="none" w:sz="0" w:space="0" w:color="auto"/>
                <w:right w:val="none" w:sz="0" w:space="0" w:color="auto"/>
              </w:divBdr>
            </w:div>
            <w:div w:id="501167355">
              <w:marLeft w:val="0"/>
              <w:marRight w:val="0"/>
              <w:marTop w:val="0"/>
              <w:marBottom w:val="0"/>
              <w:divBdr>
                <w:top w:val="none" w:sz="0" w:space="0" w:color="auto"/>
                <w:left w:val="none" w:sz="0" w:space="0" w:color="auto"/>
                <w:bottom w:val="none" w:sz="0" w:space="0" w:color="auto"/>
                <w:right w:val="none" w:sz="0" w:space="0" w:color="auto"/>
              </w:divBdr>
            </w:div>
            <w:div w:id="963193906">
              <w:marLeft w:val="0"/>
              <w:marRight w:val="0"/>
              <w:marTop w:val="0"/>
              <w:marBottom w:val="0"/>
              <w:divBdr>
                <w:top w:val="none" w:sz="0" w:space="0" w:color="auto"/>
                <w:left w:val="none" w:sz="0" w:space="0" w:color="auto"/>
                <w:bottom w:val="none" w:sz="0" w:space="0" w:color="auto"/>
                <w:right w:val="none" w:sz="0" w:space="0" w:color="auto"/>
              </w:divBdr>
            </w:div>
            <w:div w:id="1422486511">
              <w:marLeft w:val="0"/>
              <w:marRight w:val="0"/>
              <w:marTop w:val="0"/>
              <w:marBottom w:val="0"/>
              <w:divBdr>
                <w:top w:val="none" w:sz="0" w:space="0" w:color="auto"/>
                <w:left w:val="none" w:sz="0" w:space="0" w:color="auto"/>
                <w:bottom w:val="none" w:sz="0" w:space="0" w:color="auto"/>
                <w:right w:val="none" w:sz="0" w:space="0" w:color="auto"/>
              </w:divBdr>
            </w:div>
          </w:divsChild>
        </w:div>
        <w:div w:id="597836773">
          <w:marLeft w:val="0"/>
          <w:marRight w:val="0"/>
          <w:marTop w:val="0"/>
          <w:marBottom w:val="0"/>
          <w:divBdr>
            <w:top w:val="none" w:sz="0" w:space="0" w:color="auto"/>
            <w:left w:val="none" w:sz="0" w:space="0" w:color="auto"/>
            <w:bottom w:val="none" w:sz="0" w:space="0" w:color="auto"/>
            <w:right w:val="none" w:sz="0" w:space="0" w:color="auto"/>
          </w:divBdr>
        </w:div>
        <w:div w:id="900210170">
          <w:marLeft w:val="0"/>
          <w:marRight w:val="0"/>
          <w:marTop w:val="0"/>
          <w:marBottom w:val="0"/>
          <w:divBdr>
            <w:top w:val="none" w:sz="0" w:space="0" w:color="auto"/>
            <w:left w:val="none" w:sz="0" w:space="0" w:color="auto"/>
            <w:bottom w:val="none" w:sz="0" w:space="0" w:color="auto"/>
            <w:right w:val="none" w:sz="0" w:space="0" w:color="auto"/>
          </w:divBdr>
        </w:div>
        <w:div w:id="1245070121">
          <w:marLeft w:val="0"/>
          <w:marRight w:val="0"/>
          <w:marTop w:val="0"/>
          <w:marBottom w:val="0"/>
          <w:divBdr>
            <w:top w:val="none" w:sz="0" w:space="0" w:color="auto"/>
            <w:left w:val="none" w:sz="0" w:space="0" w:color="auto"/>
            <w:bottom w:val="none" w:sz="0" w:space="0" w:color="auto"/>
            <w:right w:val="none" w:sz="0" w:space="0" w:color="auto"/>
          </w:divBdr>
          <w:divsChild>
            <w:div w:id="1017002925">
              <w:marLeft w:val="0"/>
              <w:marRight w:val="0"/>
              <w:marTop w:val="0"/>
              <w:marBottom w:val="0"/>
              <w:divBdr>
                <w:top w:val="none" w:sz="0" w:space="0" w:color="auto"/>
                <w:left w:val="none" w:sz="0" w:space="0" w:color="auto"/>
                <w:bottom w:val="none" w:sz="0" w:space="0" w:color="auto"/>
                <w:right w:val="none" w:sz="0" w:space="0" w:color="auto"/>
              </w:divBdr>
            </w:div>
            <w:div w:id="1576628490">
              <w:marLeft w:val="0"/>
              <w:marRight w:val="0"/>
              <w:marTop w:val="0"/>
              <w:marBottom w:val="0"/>
              <w:divBdr>
                <w:top w:val="none" w:sz="0" w:space="0" w:color="auto"/>
                <w:left w:val="none" w:sz="0" w:space="0" w:color="auto"/>
                <w:bottom w:val="none" w:sz="0" w:space="0" w:color="auto"/>
                <w:right w:val="none" w:sz="0" w:space="0" w:color="auto"/>
              </w:divBdr>
            </w:div>
            <w:div w:id="1827015849">
              <w:marLeft w:val="0"/>
              <w:marRight w:val="0"/>
              <w:marTop w:val="0"/>
              <w:marBottom w:val="0"/>
              <w:divBdr>
                <w:top w:val="none" w:sz="0" w:space="0" w:color="auto"/>
                <w:left w:val="none" w:sz="0" w:space="0" w:color="auto"/>
                <w:bottom w:val="none" w:sz="0" w:space="0" w:color="auto"/>
                <w:right w:val="none" w:sz="0" w:space="0" w:color="auto"/>
              </w:divBdr>
            </w:div>
            <w:div w:id="2026395327">
              <w:marLeft w:val="0"/>
              <w:marRight w:val="0"/>
              <w:marTop w:val="0"/>
              <w:marBottom w:val="0"/>
              <w:divBdr>
                <w:top w:val="none" w:sz="0" w:space="0" w:color="auto"/>
                <w:left w:val="none" w:sz="0" w:space="0" w:color="auto"/>
                <w:bottom w:val="none" w:sz="0" w:space="0" w:color="auto"/>
                <w:right w:val="none" w:sz="0" w:space="0" w:color="auto"/>
              </w:divBdr>
            </w:div>
            <w:div w:id="2051611811">
              <w:marLeft w:val="0"/>
              <w:marRight w:val="0"/>
              <w:marTop w:val="0"/>
              <w:marBottom w:val="0"/>
              <w:divBdr>
                <w:top w:val="none" w:sz="0" w:space="0" w:color="auto"/>
                <w:left w:val="none" w:sz="0" w:space="0" w:color="auto"/>
                <w:bottom w:val="none" w:sz="0" w:space="0" w:color="auto"/>
                <w:right w:val="none" w:sz="0" w:space="0" w:color="auto"/>
              </w:divBdr>
            </w:div>
          </w:divsChild>
        </w:div>
        <w:div w:id="1305355076">
          <w:marLeft w:val="0"/>
          <w:marRight w:val="0"/>
          <w:marTop w:val="0"/>
          <w:marBottom w:val="0"/>
          <w:divBdr>
            <w:top w:val="none" w:sz="0" w:space="0" w:color="auto"/>
            <w:left w:val="none" w:sz="0" w:space="0" w:color="auto"/>
            <w:bottom w:val="none" w:sz="0" w:space="0" w:color="auto"/>
            <w:right w:val="none" w:sz="0" w:space="0" w:color="auto"/>
          </w:divBdr>
        </w:div>
        <w:div w:id="1408646552">
          <w:marLeft w:val="0"/>
          <w:marRight w:val="0"/>
          <w:marTop w:val="0"/>
          <w:marBottom w:val="0"/>
          <w:divBdr>
            <w:top w:val="none" w:sz="0" w:space="0" w:color="auto"/>
            <w:left w:val="none" w:sz="0" w:space="0" w:color="auto"/>
            <w:bottom w:val="none" w:sz="0" w:space="0" w:color="auto"/>
            <w:right w:val="none" w:sz="0" w:space="0" w:color="auto"/>
          </w:divBdr>
        </w:div>
        <w:div w:id="1457480185">
          <w:marLeft w:val="0"/>
          <w:marRight w:val="0"/>
          <w:marTop w:val="0"/>
          <w:marBottom w:val="0"/>
          <w:divBdr>
            <w:top w:val="none" w:sz="0" w:space="0" w:color="auto"/>
            <w:left w:val="none" w:sz="0" w:space="0" w:color="auto"/>
            <w:bottom w:val="none" w:sz="0" w:space="0" w:color="auto"/>
            <w:right w:val="none" w:sz="0" w:space="0" w:color="auto"/>
          </w:divBdr>
          <w:divsChild>
            <w:div w:id="347760521">
              <w:marLeft w:val="0"/>
              <w:marRight w:val="0"/>
              <w:marTop w:val="0"/>
              <w:marBottom w:val="0"/>
              <w:divBdr>
                <w:top w:val="none" w:sz="0" w:space="0" w:color="auto"/>
                <w:left w:val="none" w:sz="0" w:space="0" w:color="auto"/>
                <w:bottom w:val="none" w:sz="0" w:space="0" w:color="auto"/>
                <w:right w:val="none" w:sz="0" w:space="0" w:color="auto"/>
              </w:divBdr>
            </w:div>
            <w:div w:id="377897510">
              <w:marLeft w:val="0"/>
              <w:marRight w:val="0"/>
              <w:marTop w:val="0"/>
              <w:marBottom w:val="0"/>
              <w:divBdr>
                <w:top w:val="none" w:sz="0" w:space="0" w:color="auto"/>
                <w:left w:val="none" w:sz="0" w:space="0" w:color="auto"/>
                <w:bottom w:val="none" w:sz="0" w:space="0" w:color="auto"/>
                <w:right w:val="none" w:sz="0" w:space="0" w:color="auto"/>
              </w:divBdr>
            </w:div>
            <w:div w:id="1756584316">
              <w:marLeft w:val="0"/>
              <w:marRight w:val="0"/>
              <w:marTop w:val="0"/>
              <w:marBottom w:val="0"/>
              <w:divBdr>
                <w:top w:val="none" w:sz="0" w:space="0" w:color="auto"/>
                <w:left w:val="none" w:sz="0" w:space="0" w:color="auto"/>
                <w:bottom w:val="none" w:sz="0" w:space="0" w:color="auto"/>
                <w:right w:val="none" w:sz="0" w:space="0" w:color="auto"/>
              </w:divBdr>
            </w:div>
            <w:div w:id="1850833857">
              <w:marLeft w:val="0"/>
              <w:marRight w:val="0"/>
              <w:marTop w:val="0"/>
              <w:marBottom w:val="0"/>
              <w:divBdr>
                <w:top w:val="none" w:sz="0" w:space="0" w:color="auto"/>
                <w:left w:val="none" w:sz="0" w:space="0" w:color="auto"/>
                <w:bottom w:val="none" w:sz="0" w:space="0" w:color="auto"/>
                <w:right w:val="none" w:sz="0" w:space="0" w:color="auto"/>
              </w:divBdr>
            </w:div>
            <w:div w:id="1975522915">
              <w:marLeft w:val="0"/>
              <w:marRight w:val="0"/>
              <w:marTop w:val="0"/>
              <w:marBottom w:val="0"/>
              <w:divBdr>
                <w:top w:val="none" w:sz="0" w:space="0" w:color="auto"/>
                <w:left w:val="none" w:sz="0" w:space="0" w:color="auto"/>
                <w:bottom w:val="none" w:sz="0" w:space="0" w:color="auto"/>
                <w:right w:val="none" w:sz="0" w:space="0" w:color="auto"/>
              </w:divBdr>
            </w:div>
          </w:divsChild>
        </w:div>
        <w:div w:id="1613391274">
          <w:marLeft w:val="0"/>
          <w:marRight w:val="0"/>
          <w:marTop w:val="0"/>
          <w:marBottom w:val="0"/>
          <w:divBdr>
            <w:top w:val="none" w:sz="0" w:space="0" w:color="auto"/>
            <w:left w:val="none" w:sz="0" w:space="0" w:color="auto"/>
            <w:bottom w:val="none" w:sz="0" w:space="0" w:color="auto"/>
            <w:right w:val="none" w:sz="0" w:space="0" w:color="auto"/>
          </w:divBdr>
        </w:div>
      </w:divsChild>
    </w:div>
    <w:div w:id="96754437">
      <w:bodyDiv w:val="1"/>
      <w:marLeft w:val="0"/>
      <w:marRight w:val="0"/>
      <w:marTop w:val="0"/>
      <w:marBottom w:val="0"/>
      <w:divBdr>
        <w:top w:val="none" w:sz="0" w:space="0" w:color="auto"/>
        <w:left w:val="none" w:sz="0" w:space="0" w:color="auto"/>
        <w:bottom w:val="none" w:sz="0" w:space="0" w:color="auto"/>
        <w:right w:val="none" w:sz="0" w:space="0" w:color="auto"/>
      </w:divBdr>
    </w:div>
    <w:div w:id="108862886">
      <w:bodyDiv w:val="1"/>
      <w:marLeft w:val="0"/>
      <w:marRight w:val="0"/>
      <w:marTop w:val="0"/>
      <w:marBottom w:val="0"/>
      <w:divBdr>
        <w:top w:val="none" w:sz="0" w:space="0" w:color="auto"/>
        <w:left w:val="none" w:sz="0" w:space="0" w:color="auto"/>
        <w:bottom w:val="none" w:sz="0" w:space="0" w:color="auto"/>
        <w:right w:val="none" w:sz="0" w:space="0" w:color="auto"/>
      </w:divBdr>
      <w:divsChild>
        <w:div w:id="392776359">
          <w:marLeft w:val="0"/>
          <w:marRight w:val="0"/>
          <w:marTop w:val="0"/>
          <w:marBottom w:val="0"/>
          <w:divBdr>
            <w:top w:val="none" w:sz="0" w:space="0" w:color="auto"/>
            <w:left w:val="none" w:sz="0" w:space="0" w:color="auto"/>
            <w:bottom w:val="none" w:sz="0" w:space="0" w:color="auto"/>
            <w:right w:val="none" w:sz="0" w:space="0" w:color="auto"/>
          </w:divBdr>
        </w:div>
        <w:div w:id="1592622885">
          <w:marLeft w:val="0"/>
          <w:marRight w:val="0"/>
          <w:marTop w:val="0"/>
          <w:marBottom w:val="0"/>
          <w:divBdr>
            <w:top w:val="none" w:sz="0" w:space="0" w:color="auto"/>
            <w:left w:val="none" w:sz="0" w:space="0" w:color="auto"/>
            <w:bottom w:val="none" w:sz="0" w:space="0" w:color="auto"/>
            <w:right w:val="none" w:sz="0" w:space="0" w:color="auto"/>
          </w:divBdr>
          <w:divsChild>
            <w:div w:id="231089164">
              <w:marLeft w:val="0"/>
              <w:marRight w:val="0"/>
              <w:marTop w:val="0"/>
              <w:marBottom w:val="0"/>
              <w:divBdr>
                <w:top w:val="none" w:sz="0" w:space="0" w:color="auto"/>
                <w:left w:val="none" w:sz="0" w:space="0" w:color="auto"/>
                <w:bottom w:val="none" w:sz="0" w:space="0" w:color="auto"/>
                <w:right w:val="none" w:sz="0" w:space="0" w:color="auto"/>
              </w:divBdr>
            </w:div>
            <w:div w:id="859855687">
              <w:marLeft w:val="0"/>
              <w:marRight w:val="0"/>
              <w:marTop w:val="0"/>
              <w:marBottom w:val="0"/>
              <w:divBdr>
                <w:top w:val="none" w:sz="0" w:space="0" w:color="auto"/>
                <w:left w:val="none" w:sz="0" w:space="0" w:color="auto"/>
                <w:bottom w:val="none" w:sz="0" w:space="0" w:color="auto"/>
                <w:right w:val="none" w:sz="0" w:space="0" w:color="auto"/>
              </w:divBdr>
            </w:div>
            <w:div w:id="1215045258">
              <w:marLeft w:val="0"/>
              <w:marRight w:val="0"/>
              <w:marTop w:val="0"/>
              <w:marBottom w:val="0"/>
              <w:divBdr>
                <w:top w:val="none" w:sz="0" w:space="0" w:color="auto"/>
                <w:left w:val="none" w:sz="0" w:space="0" w:color="auto"/>
                <w:bottom w:val="none" w:sz="0" w:space="0" w:color="auto"/>
                <w:right w:val="none" w:sz="0" w:space="0" w:color="auto"/>
              </w:divBdr>
            </w:div>
            <w:div w:id="2104835742">
              <w:marLeft w:val="0"/>
              <w:marRight w:val="0"/>
              <w:marTop w:val="0"/>
              <w:marBottom w:val="0"/>
              <w:divBdr>
                <w:top w:val="none" w:sz="0" w:space="0" w:color="auto"/>
                <w:left w:val="none" w:sz="0" w:space="0" w:color="auto"/>
                <w:bottom w:val="none" w:sz="0" w:space="0" w:color="auto"/>
                <w:right w:val="none" w:sz="0" w:space="0" w:color="auto"/>
              </w:divBdr>
            </w:div>
          </w:divsChild>
        </w:div>
        <w:div w:id="1763647998">
          <w:marLeft w:val="0"/>
          <w:marRight w:val="0"/>
          <w:marTop w:val="0"/>
          <w:marBottom w:val="0"/>
          <w:divBdr>
            <w:top w:val="none" w:sz="0" w:space="0" w:color="auto"/>
            <w:left w:val="none" w:sz="0" w:space="0" w:color="auto"/>
            <w:bottom w:val="none" w:sz="0" w:space="0" w:color="auto"/>
            <w:right w:val="none" w:sz="0" w:space="0" w:color="auto"/>
          </w:divBdr>
          <w:divsChild>
            <w:div w:id="1160000675">
              <w:marLeft w:val="0"/>
              <w:marRight w:val="0"/>
              <w:marTop w:val="0"/>
              <w:marBottom w:val="0"/>
              <w:divBdr>
                <w:top w:val="none" w:sz="0" w:space="0" w:color="auto"/>
                <w:left w:val="none" w:sz="0" w:space="0" w:color="auto"/>
                <w:bottom w:val="none" w:sz="0" w:space="0" w:color="auto"/>
                <w:right w:val="none" w:sz="0" w:space="0" w:color="auto"/>
              </w:divBdr>
            </w:div>
            <w:div w:id="1700163051">
              <w:marLeft w:val="0"/>
              <w:marRight w:val="0"/>
              <w:marTop w:val="0"/>
              <w:marBottom w:val="0"/>
              <w:divBdr>
                <w:top w:val="none" w:sz="0" w:space="0" w:color="auto"/>
                <w:left w:val="none" w:sz="0" w:space="0" w:color="auto"/>
                <w:bottom w:val="none" w:sz="0" w:space="0" w:color="auto"/>
                <w:right w:val="none" w:sz="0" w:space="0" w:color="auto"/>
              </w:divBdr>
            </w:div>
            <w:div w:id="1899389935">
              <w:marLeft w:val="0"/>
              <w:marRight w:val="0"/>
              <w:marTop w:val="0"/>
              <w:marBottom w:val="0"/>
              <w:divBdr>
                <w:top w:val="none" w:sz="0" w:space="0" w:color="auto"/>
                <w:left w:val="none" w:sz="0" w:space="0" w:color="auto"/>
                <w:bottom w:val="none" w:sz="0" w:space="0" w:color="auto"/>
                <w:right w:val="none" w:sz="0" w:space="0" w:color="auto"/>
              </w:divBdr>
            </w:div>
            <w:div w:id="1936280915">
              <w:marLeft w:val="0"/>
              <w:marRight w:val="0"/>
              <w:marTop w:val="0"/>
              <w:marBottom w:val="0"/>
              <w:divBdr>
                <w:top w:val="none" w:sz="0" w:space="0" w:color="auto"/>
                <w:left w:val="none" w:sz="0" w:space="0" w:color="auto"/>
                <w:bottom w:val="none" w:sz="0" w:space="0" w:color="auto"/>
                <w:right w:val="none" w:sz="0" w:space="0" w:color="auto"/>
              </w:divBdr>
            </w:div>
            <w:div w:id="196557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6866">
      <w:bodyDiv w:val="1"/>
      <w:marLeft w:val="0"/>
      <w:marRight w:val="0"/>
      <w:marTop w:val="0"/>
      <w:marBottom w:val="0"/>
      <w:divBdr>
        <w:top w:val="none" w:sz="0" w:space="0" w:color="auto"/>
        <w:left w:val="none" w:sz="0" w:space="0" w:color="auto"/>
        <w:bottom w:val="none" w:sz="0" w:space="0" w:color="auto"/>
        <w:right w:val="none" w:sz="0" w:space="0" w:color="auto"/>
      </w:divBdr>
      <w:divsChild>
        <w:div w:id="241259565">
          <w:marLeft w:val="0"/>
          <w:marRight w:val="0"/>
          <w:marTop w:val="0"/>
          <w:marBottom w:val="0"/>
          <w:divBdr>
            <w:top w:val="none" w:sz="0" w:space="0" w:color="auto"/>
            <w:left w:val="none" w:sz="0" w:space="0" w:color="auto"/>
            <w:bottom w:val="none" w:sz="0" w:space="0" w:color="auto"/>
            <w:right w:val="none" w:sz="0" w:space="0" w:color="auto"/>
          </w:divBdr>
          <w:divsChild>
            <w:div w:id="762922376">
              <w:marLeft w:val="0"/>
              <w:marRight w:val="0"/>
              <w:marTop w:val="0"/>
              <w:marBottom w:val="0"/>
              <w:divBdr>
                <w:top w:val="none" w:sz="0" w:space="0" w:color="auto"/>
                <w:left w:val="none" w:sz="0" w:space="0" w:color="auto"/>
                <w:bottom w:val="none" w:sz="0" w:space="0" w:color="auto"/>
                <w:right w:val="none" w:sz="0" w:space="0" w:color="auto"/>
              </w:divBdr>
            </w:div>
            <w:div w:id="1472164383">
              <w:marLeft w:val="0"/>
              <w:marRight w:val="0"/>
              <w:marTop w:val="0"/>
              <w:marBottom w:val="0"/>
              <w:divBdr>
                <w:top w:val="none" w:sz="0" w:space="0" w:color="auto"/>
                <w:left w:val="none" w:sz="0" w:space="0" w:color="auto"/>
                <w:bottom w:val="none" w:sz="0" w:space="0" w:color="auto"/>
                <w:right w:val="none" w:sz="0" w:space="0" w:color="auto"/>
              </w:divBdr>
            </w:div>
          </w:divsChild>
        </w:div>
        <w:div w:id="2086024746">
          <w:marLeft w:val="0"/>
          <w:marRight w:val="0"/>
          <w:marTop w:val="0"/>
          <w:marBottom w:val="0"/>
          <w:divBdr>
            <w:top w:val="none" w:sz="0" w:space="0" w:color="auto"/>
            <w:left w:val="none" w:sz="0" w:space="0" w:color="auto"/>
            <w:bottom w:val="none" w:sz="0" w:space="0" w:color="auto"/>
            <w:right w:val="none" w:sz="0" w:space="0" w:color="auto"/>
          </w:divBdr>
          <w:divsChild>
            <w:div w:id="1058893394">
              <w:marLeft w:val="0"/>
              <w:marRight w:val="0"/>
              <w:marTop w:val="0"/>
              <w:marBottom w:val="0"/>
              <w:divBdr>
                <w:top w:val="none" w:sz="0" w:space="0" w:color="auto"/>
                <w:left w:val="none" w:sz="0" w:space="0" w:color="auto"/>
                <w:bottom w:val="none" w:sz="0" w:space="0" w:color="auto"/>
                <w:right w:val="none" w:sz="0" w:space="0" w:color="auto"/>
              </w:divBdr>
            </w:div>
            <w:div w:id="1071192361">
              <w:marLeft w:val="0"/>
              <w:marRight w:val="0"/>
              <w:marTop w:val="0"/>
              <w:marBottom w:val="0"/>
              <w:divBdr>
                <w:top w:val="none" w:sz="0" w:space="0" w:color="auto"/>
                <w:left w:val="none" w:sz="0" w:space="0" w:color="auto"/>
                <w:bottom w:val="none" w:sz="0" w:space="0" w:color="auto"/>
                <w:right w:val="none" w:sz="0" w:space="0" w:color="auto"/>
              </w:divBdr>
            </w:div>
            <w:div w:id="1515849902">
              <w:marLeft w:val="0"/>
              <w:marRight w:val="0"/>
              <w:marTop w:val="0"/>
              <w:marBottom w:val="0"/>
              <w:divBdr>
                <w:top w:val="none" w:sz="0" w:space="0" w:color="auto"/>
                <w:left w:val="none" w:sz="0" w:space="0" w:color="auto"/>
                <w:bottom w:val="none" w:sz="0" w:space="0" w:color="auto"/>
                <w:right w:val="none" w:sz="0" w:space="0" w:color="auto"/>
              </w:divBdr>
            </w:div>
            <w:div w:id="1931234739">
              <w:marLeft w:val="0"/>
              <w:marRight w:val="0"/>
              <w:marTop w:val="0"/>
              <w:marBottom w:val="0"/>
              <w:divBdr>
                <w:top w:val="none" w:sz="0" w:space="0" w:color="auto"/>
                <w:left w:val="none" w:sz="0" w:space="0" w:color="auto"/>
                <w:bottom w:val="none" w:sz="0" w:space="0" w:color="auto"/>
                <w:right w:val="none" w:sz="0" w:space="0" w:color="auto"/>
              </w:divBdr>
            </w:div>
            <w:div w:id="205869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805">
      <w:bodyDiv w:val="1"/>
      <w:marLeft w:val="0"/>
      <w:marRight w:val="0"/>
      <w:marTop w:val="0"/>
      <w:marBottom w:val="0"/>
      <w:divBdr>
        <w:top w:val="none" w:sz="0" w:space="0" w:color="auto"/>
        <w:left w:val="none" w:sz="0" w:space="0" w:color="auto"/>
        <w:bottom w:val="none" w:sz="0" w:space="0" w:color="auto"/>
        <w:right w:val="none" w:sz="0" w:space="0" w:color="auto"/>
      </w:divBdr>
      <w:divsChild>
        <w:div w:id="109858595">
          <w:marLeft w:val="0"/>
          <w:marRight w:val="0"/>
          <w:marTop w:val="0"/>
          <w:marBottom w:val="0"/>
          <w:divBdr>
            <w:top w:val="none" w:sz="0" w:space="0" w:color="auto"/>
            <w:left w:val="none" w:sz="0" w:space="0" w:color="auto"/>
            <w:bottom w:val="none" w:sz="0" w:space="0" w:color="auto"/>
            <w:right w:val="none" w:sz="0" w:space="0" w:color="auto"/>
          </w:divBdr>
        </w:div>
        <w:div w:id="265843557">
          <w:marLeft w:val="0"/>
          <w:marRight w:val="0"/>
          <w:marTop w:val="0"/>
          <w:marBottom w:val="0"/>
          <w:divBdr>
            <w:top w:val="none" w:sz="0" w:space="0" w:color="auto"/>
            <w:left w:val="none" w:sz="0" w:space="0" w:color="auto"/>
            <w:bottom w:val="none" w:sz="0" w:space="0" w:color="auto"/>
            <w:right w:val="none" w:sz="0" w:space="0" w:color="auto"/>
          </w:divBdr>
        </w:div>
        <w:div w:id="285501797">
          <w:marLeft w:val="0"/>
          <w:marRight w:val="0"/>
          <w:marTop w:val="0"/>
          <w:marBottom w:val="0"/>
          <w:divBdr>
            <w:top w:val="none" w:sz="0" w:space="0" w:color="auto"/>
            <w:left w:val="none" w:sz="0" w:space="0" w:color="auto"/>
            <w:bottom w:val="none" w:sz="0" w:space="0" w:color="auto"/>
            <w:right w:val="none" w:sz="0" w:space="0" w:color="auto"/>
          </w:divBdr>
        </w:div>
        <w:div w:id="524830135">
          <w:marLeft w:val="0"/>
          <w:marRight w:val="0"/>
          <w:marTop w:val="0"/>
          <w:marBottom w:val="0"/>
          <w:divBdr>
            <w:top w:val="none" w:sz="0" w:space="0" w:color="auto"/>
            <w:left w:val="none" w:sz="0" w:space="0" w:color="auto"/>
            <w:bottom w:val="none" w:sz="0" w:space="0" w:color="auto"/>
            <w:right w:val="none" w:sz="0" w:space="0" w:color="auto"/>
          </w:divBdr>
        </w:div>
        <w:div w:id="535461106">
          <w:marLeft w:val="0"/>
          <w:marRight w:val="0"/>
          <w:marTop w:val="0"/>
          <w:marBottom w:val="0"/>
          <w:divBdr>
            <w:top w:val="none" w:sz="0" w:space="0" w:color="auto"/>
            <w:left w:val="none" w:sz="0" w:space="0" w:color="auto"/>
            <w:bottom w:val="none" w:sz="0" w:space="0" w:color="auto"/>
            <w:right w:val="none" w:sz="0" w:space="0" w:color="auto"/>
          </w:divBdr>
        </w:div>
        <w:div w:id="549923109">
          <w:marLeft w:val="0"/>
          <w:marRight w:val="0"/>
          <w:marTop w:val="0"/>
          <w:marBottom w:val="0"/>
          <w:divBdr>
            <w:top w:val="none" w:sz="0" w:space="0" w:color="auto"/>
            <w:left w:val="none" w:sz="0" w:space="0" w:color="auto"/>
            <w:bottom w:val="none" w:sz="0" w:space="0" w:color="auto"/>
            <w:right w:val="none" w:sz="0" w:space="0" w:color="auto"/>
          </w:divBdr>
        </w:div>
        <w:div w:id="996766942">
          <w:marLeft w:val="0"/>
          <w:marRight w:val="0"/>
          <w:marTop w:val="0"/>
          <w:marBottom w:val="0"/>
          <w:divBdr>
            <w:top w:val="none" w:sz="0" w:space="0" w:color="auto"/>
            <w:left w:val="none" w:sz="0" w:space="0" w:color="auto"/>
            <w:bottom w:val="none" w:sz="0" w:space="0" w:color="auto"/>
            <w:right w:val="none" w:sz="0" w:space="0" w:color="auto"/>
          </w:divBdr>
        </w:div>
        <w:div w:id="1271015100">
          <w:marLeft w:val="0"/>
          <w:marRight w:val="0"/>
          <w:marTop w:val="0"/>
          <w:marBottom w:val="0"/>
          <w:divBdr>
            <w:top w:val="none" w:sz="0" w:space="0" w:color="auto"/>
            <w:left w:val="none" w:sz="0" w:space="0" w:color="auto"/>
            <w:bottom w:val="none" w:sz="0" w:space="0" w:color="auto"/>
            <w:right w:val="none" w:sz="0" w:space="0" w:color="auto"/>
          </w:divBdr>
        </w:div>
        <w:div w:id="1705134944">
          <w:marLeft w:val="0"/>
          <w:marRight w:val="0"/>
          <w:marTop w:val="0"/>
          <w:marBottom w:val="0"/>
          <w:divBdr>
            <w:top w:val="none" w:sz="0" w:space="0" w:color="auto"/>
            <w:left w:val="none" w:sz="0" w:space="0" w:color="auto"/>
            <w:bottom w:val="none" w:sz="0" w:space="0" w:color="auto"/>
            <w:right w:val="none" w:sz="0" w:space="0" w:color="auto"/>
          </w:divBdr>
        </w:div>
      </w:divsChild>
    </w:div>
    <w:div w:id="137888372">
      <w:bodyDiv w:val="1"/>
      <w:marLeft w:val="0"/>
      <w:marRight w:val="0"/>
      <w:marTop w:val="0"/>
      <w:marBottom w:val="0"/>
      <w:divBdr>
        <w:top w:val="none" w:sz="0" w:space="0" w:color="auto"/>
        <w:left w:val="none" w:sz="0" w:space="0" w:color="auto"/>
        <w:bottom w:val="none" w:sz="0" w:space="0" w:color="auto"/>
        <w:right w:val="none" w:sz="0" w:space="0" w:color="auto"/>
      </w:divBdr>
      <w:divsChild>
        <w:div w:id="116065326">
          <w:marLeft w:val="0"/>
          <w:marRight w:val="0"/>
          <w:marTop w:val="0"/>
          <w:marBottom w:val="0"/>
          <w:divBdr>
            <w:top w:val="none" w:sz="0" w:space="0" w:color="auto"/>
            <w:left w:val="none" w:sz="0" w:space="0" w:color="auto"/>
            <w:bottom w:val="none" w:sz="0" w:space="0" w:color="auto"/>
            <w:right w:val="none" w:sz="0" w:space="0" w:color="auto"/>
          </w:divBdr>
        </w:div>
        <w:div w:id="257298567">
          <w:marLeft w:val="0"/>
          <w:marRight w:val="0"/>
          <w:marTop w:val="0"/>
          <w:marBottom w:val="0"/>
          <w:divBdr>
            <w:top w:val="none" w:sz="0" w:space="0" w:color="auto"/>
            <w:left w:val="none" w:sz="0" w:space="0" w:color="auto"/>
            <w:bottom w:val="none" w:sz="0" w:space="0" w:color="auto"/>
            <w:right w:val="none" w:sz="0" w:space="0" w:color="auto"/>
          </w:divBdr>
        </w:div>
        <w:div w:id="324166843">
          <w:marLeft w:val="0"/>
          <w:marRight w:val="0"/>
          <w:marTop w:val="0"/>
          <w:marBottom w:val="0"/>
          <w:divBdr>
            <w:top w:val="none" w:sz="0" w:space="0" w:color="auto"/>
            <w:left w:val="none" w:sz="0" w:space="0" w:color="auto"/>
            <w:bottom w:val="none" w:sz="0" w:space="0" w:color="auto"/>
            <w:right w:val="none" w:sz="0" w:space="0" w:color="auto"/>
          </w:divBdr>
        </w:div>
        <w:div w:id="630938752">
          <w:marLeft w:val="0"/>
          <w:marRight w:val="0"/>
          <w:marTop w:val="0"/>
          <w:marBottom w:val="0"/>
          <w:divBdr>
            <w:top w:val="none" w:sz="0" w:space="0" w:color="auto"/>
            <w:left w:val="none" w:sz="0" w:space="0" w:color="auto"/>
            <w:bottom w:val="none" w:sz="0" w:space="0" w:color="auto"/>
            <w:right w:val="none" w:sz="0" w:space="0" w:color="auto"/>
          </w:divBdr>
        </w:div>
        <w:div w:id="858815208">
          <w:marLeft w:val="0"/>
          <w:marRight w:val="0"/>
          <w:marTop w:val="0"/>
          <w:marBottom w:val="0"/>
          <w:divBdr>
            <w:top w:val="none" w:sz="0" w:space="0" w:color="auto"/>
            <w:left w:val="none" w:sz="0" w:space="0" w:color="auto"/>
            <w:bottom w:val="none" w:sz="0" w:space="0" w:color="auto"/>
            <w:right w:val="none" w:sz="0" w:space="0" w:color="auto"/>
          </w:divBdr>
        </w:div>
        <w:div w:id="1433548454">
          <w:marLeft w:val="0"/>
          <w:marRight w:val="0"/>
          <w:marTop w:val="0"/>
          <w:marBottom w:val="0"/>
          <w:divBdr>
            <w:top w:val="none" w:sz="0" w:space="0" w:color="auto"/>
            <w:left w:val="none" w:sz="0" w:space="0" w:color="auto"/>
            <w:bottom w:val="none" w:sz="0" w:space="0" w:color="auto"/>
            <w:right w:val="none" w:sz="0" w:space="0" w:color="auto"/>
          </w:divBdr>
        </w:div>
        <w:div w:id="1653296104">
          <w:marLeft w:val="0"/>
          <w:marRight w:val="0"/>
          <w:marTop w:val="0"/>
          <w:marBottom w:val="0"/>
          <w:divBdr>
            <w:top w:val="none" w:sz="0" w:space="0" w:color="auto"/>
            <w:left w:val="none" w:sz="0" w:space="0" w:color="auto"/>
            <w:bottom w:val="none" w:sz="0" w:space="0" w:color="auto"/>
            <w:right w:val="none" w:sz="0" w:space="0" w:color="auto"/>
          </w:divBdr>
        </w:div>
      </w:divsChild>
    </w:div>
    <w:div w:id="145977925">
      <w:bodyDiv w:val="1"/>
      <w:marLeft w:val="0"/>
      <w:marRight w:val="0"/>
      <w:marTop w:val="0"/>
      <w:marBottom w:val="0"/>
      <w:divBdr>
        <w:top w:val="none" w:sz="0" w:space="0" w:color="auto"/>
        <w:left w:val="none" w:sz="0" w:space="0" w:color="auto"/>
        <w:bottom w:val="none" w:sz="0" w:space="0" w:color="auto"/>
        <w:right w:val="none" w:sz="0" w:space="0" w:color="auto"/>
      </w:divBdr>
      <w:divsChild>
        <w:div w:id="314915145">
          <w:marLeft w:val="0"/>
          <w:marRight w:val="0"/>
          <w:marTop w:val="0"/>
          <w:marBottom w:val="0"/>
          <w:divBdr>
            <w:top w:val="none" w:sz="0" w:space="0" w:color="auto"/>
            <w:left w:val="none" w:sz="0" w:space="0" w:color="auto"/>
            <w:bottom w:val="none" w:sz="0" w:space="0" w:color="auto"/>
            <w:right w:val="none" w:sz="0" w:space="0" w:color="auto"/>
          </w:divBdr>
          <w:divsChild>
            <w:div w:id="232084604">
              <w:marLeft w:val="0"/>
              <w:marRight w:val="0"/>
              <w:marTop w:val="0"/>
              <w:marBottom w:val="0"/>
              <w:divBdr>
                <w:top w:val="none" w:sz="0" w:space="0" w:color="auto"/>
                <w:left w:val="none" w:sz="0" w:space="0" w:color="auto"/>
                <w:bottom w:val="none" w:sz="0" w:space="0" w:color="auto"/>
                <w:right w:val="none" w:sz="0" w:space="0" w:color="auto"/>
              </w:divBdr>
            </w:div>
            <w:div w:id="910505843">
              <w:marLeft w:val="0"/>
              <w:marRight w:val="0"/>
              <w:marTop w:val="0"/>
              <w:marBottom w:val="0"/>
              <w:divBdr>
                <w:top w:val="none" w:sz="0" w:space="0" w:color="auto"/>
                <w:left w:val="none" w:sz="0" w:space="0" w:color="auto"/>
                <w:bottom w:val="none" w:sz="0" w:space="0" w:color="auto"/>
                <w:right w:val="none" w:sz="0" w:space="0" w:color="auto"/>
              </w:divBdr>
            </w:div>
            <w:div w:id="1334142066">
              <w:marLeft w:val="0"/>
              <w:marRight w:val="0"/>
              <w:marTop w:val="0"/>
              <w:marBottom w:val="0"/>
              <w:divBdr>
                <w:top w:val="none" w:sz="0" w:space="0" w:color="auto"/>
                <w:left w:val="none" w:sz="0" w:space="0" w:color="auto"/>
                <w:bottom w:val="none" w:sz="0" w:space="0" w:color="auto"/>
                <w:right w:val="none" w:sz="0" w:space="0" w:color="auto"/>
              </w:divBdr>
            </w:div>
          </w:divsChild>
        </w:div>
        <w:div w:id="831068203">
          <w:marLeft w:val="0"/>
          <w:marRight w:val="0"/>
          <w:marTop w:val="0"/>
          <w:marBottom w:val="0"/>
          <w:divBdr>
            <w:top w:val="none" w:sz="0" w:space="0" w:color="auto"/>
            <w:left w:val="none" w:sz="0" w:space="0" w:color="auto"/>
            <w:bottom w:val="none" w:sz="0" w:space="0" w:color="auto"/>
            <w:right w:val="none" w:sz="0" w:space="0" w:color="auto"/>
          </w:divBdr>
        </w:div>
        <w:div w:id="1186794256">
          <w:marLeft w:val="0"/>
          <w:marRight w:val="0"/>
          <w:marTop w:val="0"/>
          <w:marBottom w:val="0"/>
          <w:divBdr>
            <w:top w:val="none" w:sz="0" w:space="0" w:color="auto"/>
            <w:left w:val="none" w:sz="0" w:space="0" w:color="auto"/>
            <w:bottom w:val="none" w:sz="0" w:space="0" w:color="auto"/>
            <w:right w:val="none" w:sz="0" w:space="0" w:color="auto"/>
          </w:divBdr>
          <w:divsChild>
            <w:div w:id="87308896">
              <w:marLeft w:val="0"/>
              <w:marRight w:val="0"/>
              <w:marTop w:val="0"/>
              <w:marBottom w:val="0"/>
              <w:divBdr>
                <w:top w:val="none" w:sz="0" w:space="0" w:color="auto"/>
                <w:left w:val="none" w:sz="0" w:space="0" w:color="auto"/>
                <w:bottom w:val="none" w:sz="0" w:space="0" w:color="auto"/>
                <w:right w:val="none" w:sz="0" w:space="0" w:color="auto"/>
              </w:divBdr>
            </w:div>
            <w:div w:id="210269406">
              <w:marLeft w:val="0"/>
              <w:marRight w:val="0"/>
              <w:marTop w:val="0"/>
              <w:marBottom w:val="0"/>
              <w:divBdr>
                <w:top w:val="none" w:sz="0" w:space="0" w:color="auto"/>
                <w:left w:val="none" w:sz="0" w:space="0" w:color="auto"/>
                <w:bottom w:val="none" w:sz="0" w:space="0" w:color="auto"/>
                <w:right w:val="none" w:sz="0" w:space="0" w:color="auto"/>
              </w:divBdr>
            </w:div>
            <w:div w:id="367488342">
              <w:marLeft w:val="0"/>
              <w:marRight w:val="0"/>
              <w:marTop w:val="0"/>
              <w:marBottom w:val="0"/>
              <w:divBdr>
                <w:top w:val="none" w:sz="0" w:space="0" w:color="auto"/>
                <w:left w:val="none" w:sz="0" w:space="0" w:color="auto"/>
                <w:bottom w:val="none" w:sz="0" w:space="0" w:color="auto"/>
                <w:right w:val="none" w:sz="0" w:space="0" w:color="auto"/>
              </w:divBdr>
            </w:div>
            <w:div w:id="1615671077">
              <w:marLeft w:val="0"/>
              <w:marRight w:val="0"/>
              <w:marTop w:val="0"/>
              <w:marBottom w:val="0"/>
              <w:divBdr>
                <w:top w:val="none" w:sz="0" w:space="0" w:color="auto"/>
                <w:left w:val="none" w:sz="0" w:space="0" w:color="auto"/>
                <w:bottom w:val="none" w:sz="0" w:space="0" w:color="auto"/>
                <w:right w:val="none" w:sz="0" w:space="0" w:color="auto"/>
              </w:divBdr>
            </w:div>
          </w:divsChild>
        </w:div>
        <w:div w:id="1250891720">
          <w:marLeft w:val="0"/>
          <w:marRight w:val="0"/>
          <w:marTop w:val="0"/>
          <w:marBottom w:val="0"/>
          <w:divBdr>
            <w:top w:val="none" w:sz="0" w:space="0" w:color="auto"/>
            <w:left w:val="none" w:sz="0" w:space="0" w:color="auto"/>
            <w:bottom w:val="none" w:sz="0" w:space="0" w:color="auto"/>
            <w:right w:val="none" w:sz="0" w:space="0" w:color="auto"/>
          </w:divBdr>
        </w:div>
        <w:div w:id="1389574818">
          <w:marLeft w:val="0"/>
          <w:marRight w:val="0"/>
          <w:marTop w:val="0"/>
          <w:marBottom w:val="0"/>
          <w:divBdr>
            <w:top w:val="none" w:sz="0" w:space="0" w:color="auto"/>
            <w:left w:val="none" w:sz="0" w:space="0" w:color="auto"/>
            <w:bottom w:val="none" w:sz="0" w:space="0" w:color="auto"/>
            <w:right w:val="none" w:sz="0" w:space="0" w:color="auto"/>
          </w:divBdr>
        </w:div>
        <w:div w:id="1813250609">
          <w:marLeft w:val="0"/>
          <w:marRight w:val="0"/>
          <w:marTop w:val="0"/>
          <w:marBottom w:val="0"/>
          <w:divBdr>
            <w:top w:val="none" w:sz="0" w:space="0" w:color="auto"/>
            <w:left w:val="none" w:sz="0" w:space="0" w:color="auto"/>
            <w:bottom w:val="none" w:sz="0" w:space="0" w:color="auto"/>
            <w:right w:val="none" w:sz="0" w:space="0" w:color="auto"/>
          </w:divBdr>
        </w:div>
      </w:divsChild>
    </w:div>
    <w:div w:id="185677559">
      <w:bodyDiv w:val="1"/>
      <w:marLeft w:val="0"/>
      <w:marRight w:val="0"/>
      <w:marTop w:val="0"/>
      <w:marBottom w:val="0"/>
      <w:divBdr>
        <w:top w:val="none" w:sz="0" w:space="0" w:color="auto"/>
        <w:left w:val="none" w:sz="0" w:space="0" w:color="auto"/>
        <w:bottom w:val="none" w:sz="0" w:space="0" w:color="auto"/>
        <w:right w:val="none" w:sz="0" w:space="0" w:color="auto"/>
      </w:divBdr>
      <w:divsChild>
        <w:div w:id="566764419">
          <w:marLeft w:val="0"/>
          <w:marRight w:val="0"/>
          <w:marTop w:val="0"/>
          <w:marBottom w:val="0"/>
          <w:divBdr>
            <w:top w:val="none" w:sz="0" w:space="0" w:color="auto"/>
            <w:left w:val="none" w:sz="0" w:space="0" w:color="auto"/>
            <w:bottom w:val="none" w:sz="0" w:space="0" w:color="auto"/>
            <w:right w:val="none" w:sz="0" w:space="0" w:color="auto"/>
          </w:divBdr>
        </w:div>
        <w:div w:id="794517584">
          <w:marLeft w:val="0"/>
          <w:marRight w:val="0"/>
          <w:marTop w:val="0"/>
          <w:marBottom w:val="0"/>
          <w:divBdr>
            <w:top w:val="none" w:sz="0" w:space="0" w:color="auto"/>
            <w:left w:val="none" w:sz="0" w:space="0" w:color="auto"/>
            <w:bottom w:val="none" w:sz="0" w:space="0" w:color="auto"/>
            <w:right w:val="none" w:sz="0" w:space="0" w:color="auto"/>
          </w:divBdr>
        </w:div>
        <w:div w:id="1518497674">
          <w:marLeft w:val="0"/>
          <w:marRight w:val="0"/>
          <w:marTop w:val="0"/>
          <w:marBottom w:val="0"/>
          <w:divBdr>
            <w:top w:val="none" w:sz="0" w:space="0" w:color="auto"/>
            <w:left w:val="none" w:sz="0" w:space="0" w:color="auto"/>
            <w:bottom w:val="none" w:sz="0" w:space="0" w:color="auto"/>
            <w:right w:val="none" w:sz="0" w:space="0" w:color="auto"/>
          </w:divBdr>
        </w:div>
        <w:div w:id="1727296844">
          <w:marLeft w:val="0"/>
          <w:marRight w:val="0"/>
          <w:marTop w:val="0"/>
          <w:marBottom w:val="0"/>
          <w:divBdr>
            <w:top w:val="none" w:sz="0" w:space="0" w:color="auto"/>
            <w:left w:val="none" w:sz="0" w:space="0" w:color="auto"/>
            <w:bottom w:val="none" w:sz="0" w:space="0" w:color="auto"/>
            <w:right w:val="none" w:sz="0" w:space="0" w:color="auto"/>
          </w:divBdr>
        </w:div>
        <w:div w:id="1745758691">
          <w:marLeft w:val="0"/>
          <w:marRight w:val="0"/>
          <w:marTop w:val="0"/>
          <w:marBottom w:val="0"/>
          <w:divBdr>
            <w:top w:val="none" w:sz="0" w:space="0" w:color="auto"/>
            <w:left w:val="none" w:sz="0" w:space="0" w:color="auto"/>
            <w:bottom w:val="none" w:sz="0" w:space="0" w:color="auto"/>
            <w:right w:val="none" w:sz="0" w:space="0" w:color="auto"/>
          </w:divBdr>
        </w:div>
        <w:div w:id="1831864257">
          <w:marLeft w:val="0"/>
          <w:marRight w:val="0"/>
          <w:marTop w:val="0"/>
          <w:marBottom w:val="0"/>
          <w:divBdr>
            <w:top w:val="none" w:sz="0" w:space="0" w:color="auto"/>
            <w:left w:val="none" w:sz="0" w:space="0" w:color="auto"/>
            <w:bottom w:val="none" w:sz="0" w:space="0" w:color="auto"/>
            <w:right w:val="none" w:sz="0" w:space="0" w:color="auto"/>
          </w:divBdr>
        </w:div>
        <w:div w:id="1889608002">
          <w:marLeft w:val="0"/>
          <w:marRight w:val="0"/>
          <w:marTop w:val="0"/>
          <w:marBottom w:val="0"/>
          <w:divBdr>
            <w:top w:val="none" w:sz="0" w:space="0" w:color="auto"/>
            <w:left w:val="none" w:sz="0" w:space="0" w:color="auto"/>
            <w:bottom w:val="none" w:sz="0" w:space="0" w:color="auto"/>
            <w:right w:val="none" w:sz="0" w:space="0" w:color="auto"/>
          </w:divBdr>
        </w:div>
        <w:div w:id="1890649020">
          <w:marLeft w:val="0"/>
          <w:marRight w:val="0"/>
          <w:marTop w:val="0"/>
          <w:marBottom w:val="0"/>
          <w:divBdr>
            <w:top w:val="none" w:sz="0" w:space="0" w:color="auto"/>
            <w:left w:val="none" w:sz="0" w:space="0" w:color="auto"/>
            <w:bottom w:val="none" w:sz="0" w:space="0" w:color="auto"/>
            <w:right w:val="none" w:sz="0" w:space="0" w:color="auto"/>
          </w:divBdr>
        </w:div>
        <w:div w:id="2140953529">
          <w:marLeft w:val="0"/>
          <w:marRight w:val="0"/>
          <w:marTop w:val="0"/>
          <w:marBottom w:val="0"/>
          <w:divBdr>
            <w:top w:val="none" w:sz="0" w:space="0" w:color="auto"/>
            <w:left w:val="none" w:sz="0" w:space="0" w:color="auto"/>
            <w:bottom w:val="none" w:sz="0" w:space="0" w:color="auto"/>
            <w:right w:val="none" w:sz="0" w:space="0" w:color="auto"/>
          </w:divBdr>
        </w:div>
      </w:divsChild>
    </w:div>
    <w:div w:id="189690200">
      <w:bodyDiv w:val="1"/>
      <w:marLeft w:val="0"/>
      <w:marRight w:val="0"/>
      <w:marTop w:val="0"/>
      <w:marBottom w:val="0"/>
      <w:divBdr>
        <w:top w:val="none" w:sz="0" w:space="0" w:color="auto"/>
        <w:left w:val="none" w:sz="0" w:space="0" w:color="auto"/>
        <w:bottom w:val="none" w:sz="0" w:space="0" w:color="auto"/>
        <w:right w:val="none" w:sz="0" w:space="0" w:color="auto"/>
      </w:divBdr>
      <w:divsChild>
        <w:div w:id="13727186">
          <w:marLeft w:val="0"/>
          <w:marRight w:val="0"/>
          <w:marTop w:val="0"/>
          <w:marBottom w:val="0"/>
          <w:divBdr>
            <w:top w:val="none" w:sz="0" w:space="0" w:color="auto"/>
            <w:left w:val="none" w:sz="0" w:space="0" w:color="auto"/>
            <w:bottom w:val="none" w:sz="0" w:space="0" w:color="auto"/>
            <w:right w:val="none" w:sz="0" w:space="0" w:color="auto"/>
          </w:divBdr>
        </w:div>
        <w:div w:id="307977512">
          <w:marLeft w:val="0"/>
          <w:marRight w:val="0"/>
          <w:marTop w:val="0"/>
          <w:marBottom w:val="0"/>
          <w:divBdr>
            <w:top w:val="none" w:sz="0" w:space="0" w:color="auto"/>
            <w:left w:val="none" w:sz="0" w:space="0" w:color="auto"/>
            <w:bottom w:val="none" w:sz="0" w:space="0" w:color="auto"/>
            <w:right w:val="none" w:sz="0" w:space="0" w:color="auto"/>
          </w:divBdr>
        </w:div>
        <w:div w:id="547179712">
          <w:marLeft w:val="0"/>
          <w:marRight w:val="0"/>
          <w:marTop w:val="0"/>
          <w:marBottom w:val="0"/>
          <w:divBdr>
            <w:top w:val="none" w:sz="0" w:space="0" w:color="auto"/>
            <w:left w:val="none" w:sz="0" w:space="0" w:color="auto"/>
            <w:bottom w:val="none" w:sz="0" w:space="0" w:color="auto"/>
            <w:right w:val="none" w:sz="0" w:space="0" w:color="auto"/>
          </w:divBdr>
        </w:div>
        <w:div w:id="863329129">
          <w:marLeft w:val="0"/>
          <w:marRight w:val="0"/>
          <w:marTop w:val="0"/>
          <w:marBottom w:val="0"/>
          <w:divBdr>
            <w:top w:val="none" w:sz="0" w:space="0" w:color="auto"/>
            <w:left w:val="none" w:sz="0" w:space="0" w:color="auto"/>
            <w:bottom w:val="none" w:sz="0" w:space="0" w:color="auto"/>
            <w:right w:val="none" w:sz="0" w:space="0" w:color="auto"/>
          </w:divBdr>
        </w:div>
        <w:div w:id="1780222523">
          <w:marLeft w:val="0"/>
          <w:marRight w:val="0"/>
          <w:marTop w:val="0"/>
          <w:marBottom w:val="0"/>
          <w:divBdr>
            <w:top w:val="none" w:sz="0" w:space="0" w:color="auto"/>
            <w:left w:val="none" w:sz="0" w:space="0" w:color="auto"/>
            <w:bottom w:val="none" w:sz="0" w:space="0" w:color="auto"/>
            <w:right w:val="none" w:sz="0" w:space="0" w:color="auto"/>
          </w:divBdr>
        </w:div>
        <w:div w:id="1858034858">
          <w:marLeft w:val="0"/>
          <w:marRight w:val="0"/>
          <w:marTop w:val="0"/>
          <w:marBottom w:val="0"/>
          <w:divBdr>
            <w:top w:val="none" w:sz="0" w:space="0" w:color="auto"/>
            <w:left w:val="none" w:sz="0" w:space="0" w:color="auto"/>
            <w:bottom w:val="none" w:sz="0" w:space="0" w:color="auto"/>
            <w:right w:val="none" w:sz="0" w:space="0" w:color="auto"/>
          </w:divBdr>
        </w:div>
        <w:div w:id="1860191241">
          <w:marLeft w:val="0"/>
          <w:marRight w:val="0"/>
          <w:marTop w:val="0"/>
          <w:marBottom w:val="0"/>
          <w:divBdr>
            <w:top w:val="none" w:sz="0" w:space="0" w:color="auto"/>
            <w:left w:val="none" w:sz="0" w:space="0" w:color="auto"/>
            <w:bottom w:val="none" w:sz="0" w:space="0" w:color="auto"/>
            <w:right w:val="none" w:sz="0" w:space="0" w:color="auto"/>
          </w:divBdr>
        </w:div>
        <w:div w:id="2002846590">
          <w:marLeft w:val="0"/>
          <w:marRight w:val="0"/>
          <w:marTop w:val="0"/>
          <w:marBottom w:val="0"/>
          <w:divBdr>
            <w:top w:val="none" w:sz="0" w:space="0" w:color="auto"/>
            <w:left w:val="none" w:sz="0" w:space="0" w:color="auto"/>
            <w:bottom w:val="none" w:sz="0" w:space="0" w:color="auto"/>
            <w:right w:val="none" w:sz="0" w:space="0" w:color="auto"/>
          </w:divBdr>
        </w:div>
        <w:div w:id="2066760239">
          <w:marLeft w:val="0"/>
          <w:marRight w:val="0"/>
          <w:marTop w:val="0"/>
          <w:marBottom w:val="0"/>
          <w:divBdr>
            <w:top w:val="none" w:sz="0" w:space="0" w:color="auto"/>
            <w:left w:val="none" w:sz="0" w:space="0" w:color="auto"/>
            <w:bottom w:val="none" w:sz="0" w:space="0" w:color="auto"/>
            <w:right w:val="none" w:sz="0" w:space="0" w:color="auto"/>
          </w:divBdr>
        </w:div>
      </w:divsChild>
    </w:div>
    <w:div w:id="204800852">
      <w:bodyDiv w:val="1"/>
      <w:marLeft w:val="0"/>
      <w:marRight w:val="0"/>
      <w:marTop w:val="0"/>
      <w:marBottom w:val="0"/>
      <w:divBdr>
        <w:top w:val="none" w:sz="0" w:space="0" w:color="auto"/>
        <w:left w:val="none" w:sz="0" w:space="0" w:color="auto"/>
        <w:bottom w:val="none" w:sz="0" w:space="0" w:color="auto"/>
        <w:right w:val="none" w:sz="0" w:space="0" w:color="auto"/>
      </w:divBdr>
      <w:divsChild>
        <w:div w:id="888497215">
          <w:marLeft w:val="0"/>
          <w:marRight w:val="0"/>
          <w:marTop w:val="0"/>
          <w:marBottom w:val="0"/>
          <w:divBdr>
            <w:top w:val="none" w:sz="0" w:space="0" w:color="auto"/>
            <w:left w:val="none" w:sz="0" w:space="0" w:color="auto"/>
            <w:bottom w:val="none" w:sz="0" w:space="0" w:color="auto"/>
            <w:right w:val="none" w:sz="0" w:space="0" w:color="auto"/>
          </w:divBdr>
        </w:div>
        <w:div w:id="1106005184">
          <w:marLeft w:val="0"/>
          <w:marRight w:val="0"/>
          <w:marTop w:val="0"/>
          <w:marBottom w:val="0"/>
          <w:divBdr>
            <w:top w:val="none" w:sz="0" w:space="0" w:color="auto"/>
            <w:left w:val="none" w:sz="0" w:space="0" w:color="auto"/>
            <w:bottom w:val="none" w:sz="0" w:space="0" w:color="auto"/>
            <w:right w:val="none" w:sz="0" w:space="0" w:color="auto"/>
          </w:divBdr>
        </w:div>
        <w:div w:id="1334604891">
          <w:marLeft w:val="0"/>
          <w:marRight w:val="0"/>
          <w:marTop w:val="0"/>
          <w:marBottom w:val="0"/>
          <w:divBdr>
            <w:top w:val="none" w:sz="0" w:space="0" w:color="auto"/>
            <w:left w:val="none" w:sz="0" w:space="0" w:color="auto"/>
            <w:bottom w:val="none" w:sz="0" w:space="0" w:color="auto"/>
            <w:right w:val="none" w:sz="0" w:space="0" w:color="auto"/>
          </w:divBdr>
        </w:div>
        <w:div w:id="1794400100">
          <w:marLeft w:val="0"/>
          <w:marRight w:val="0"/>
          <w:marTop w:val="0"/>
          <w:marBottom w:val="0"/>
          <w:divBdr>
            <w:top w:val="none" w:sz="0" w:space="0" w:color="auto"/>
            <w:left w:val="none" w:sz="0" w:space="0" w:color="auto"/>
            <w:bottom w:val="none" w:sz="0" w:space="0" w:color="auto"/>
            <w:right w:val="none" w:sz="0" w:space="0" w:color="auto"/>
          </w:divBdr>
        </w:div>
        <w:div w:id="1842813662">
          <w:marLeft w:val="0"/>
          <w:marRight w:val="0"/>
          <w:marTop w:val="0"/>
          <w:marBottom w:val="0"/>
          <w:divBdr>
            <w:top w:val="none" w:sz="0" w:space="0" w:color="auto"/>
            <w:left w:val="none" w:sz="0" w:space="0" w:color="auto"/>
            <w:bottom w:val="none" w:sz="0" w:space="0" w:color="auto"/>
            <w:right w:val="none" w:sz="0" w:space="0" w:color="auto"/>
          </w:divBdr>
        </w:div>
        <w:div w:id="2084600177">
          <w:marLeft w:val="0"/>
          <w:marRight w:val="0"/>
          <w:marTop w:val="0"/>
          <w:marBottom w:val="0"/>
          <w:divBdr>
            <w:top w:val="none" w:sz="0" w:space="0" w:color="auto"/>
            <w:left w:val="none" w:sz="0" w:space="0" w:color="auto"/>
            <w:bottom w:val="none" w:sz="0" w:space="0" w:color="auto"/>
            <w:right w:val="none" w:sz="0" w:space="0" w:color="auto"/>
          </w:divBdr>
        </w:div>
        <w:div w:id="2130314333">
          <w:marLeft w:val="0"/>
          <w:marRight w:val="0"/>
          <w:marTop w:val="0"/>
          <w:marBottom w:val="0"/>
          <w:divBdr>
            <w:top w:val="none" w:sz="0" w:space="0" w:color="auto"/>
            <w:left w:val="none" w:sz="0" w:space="0" w:color="auto"/>
            <w:bottom w:val="none" w:sz="0" w:space="0" w:color="auto"/>
            <w:right w:val="none" w:sz="0" w:space="0" w:color="auto"/>
          </w:divBdr>
        </w:div>
      </w:divsChild>
    </w:div>
    <w:div w:id="206068096">
      <w:bodyDiv w:val="1"/>
      <w:marLeft w:val="0"/>
      <w:marRight w:val="0"/>
      <w:marTop w:val="0"/>
      <w:marBottom w:val="0"/>
      <w:divBdr>
        <w:top w:val="none" w:sz="0" w:space="0" w:color="auto"/>
        <w:left w:val="none" w:sz="0" w:space="0" w:color="auto"/>
        <w:bottom w:val="none" w:sz="0" w:space="0" w:color="auto"/>
        <w:right w:val="none" w:sz="0" w:space="0" w:color="auto"/>
      </w:divBdr>
      <w:divsChild>
        <w:div w:id="493255696">
          <w:marLeft w:val="0"/>
          <w:marRight w:val="0"/>
          <w:marTop w:val="0"/>
          <w:marBottom w:val="0"/>
          <w:divBdr>
            <w:top w:val="none" w:sz="0" w:space="0" w:color="auto"/>
            <w:left w:val="none" w:sz="0" w:space="0" w:color="auto"/>
            <w:bottom w:val="none" w:sz="0" w:space="0" w:color="auto"/>
            <w:right w:val="none" w:sz="0" w:space="0" w:color="auto"/>
          </w:divBdr>
        </w:div>
        <w:div w:id="722488491">
          <w:marLeft w:val="0"/>
          <w:marRight w:val="0"/>
          <w:marTop w:val="0"/>
          <w:marBottom w:val="0"/>
          <w:divBdr>
            <w:top w:val="none" w:sz="0" w:space="0" w:color="auto"/>
            <w:left w:val="none" w:sz="0" w:space="0" w:color="auto"/>
            <w:bottom w:val="none" w:sz="0" w:space="0" w:color="auto"/>
            <w:right w:val="none" w:sz="0" w:space="0" w:color="auto"/>
          </w:divBdr>
        </w:div>
        <w:div w:id="864095697">
          <w:marLeft w:val="0"/>
          <w:marRight w:val="0"/>
          <w:marTop w:val="0"/>
          <w:marBottom w:val="0"/>
          <w:divBdr>
            <w:top w:val="none" w:sz="0" w:space="0" w:color="auto"/>
            <w:left w:val="none" w:sz="0" w:space="0" w:color="auto"/>
            <w:bottom w:val="none" w:sz="0" w:space="0" w:color="auto"/>
            <w:right w:val="none" w:sz="0" w:space="0" w:color="auto"/>
          </w:divBdr>
          <w:divsChild>
            <w:div w:id="4022248">
              <w:marLeft w:val="0"/>
              <w:marRight w:val="0"/>
              <w:marTop w:val="0"/>
              <w:marBottom w:val="0"/>
              <w:divBdr>
                <w:top w:val="none" w:sz="0" w:space="0" w:color="auto"/>
                <w:left w:val="none" w:sz="0" w:space="0" w:color="auto"/>
                <w:bottom w:val="none" w:sz="0" w:space="0" w:color="auto"/>
                <w:right w:val="none" w:sz="0" w:space="0" w:color="auto"/>
              </w:divBdr>
            </w:div>
            <w:div w:id="1218129644">
              <w:marLeft w:val="0"/>
              <w:marRight w:val="0"/>
              <w:marTop w:val="0"/>
              <w:marBottom w:val="0"/>
              <w:divBdr>
                <w:top w:val="none" w:sz="0" w:space="0" w:color="auto"/>
                <w:left w:val="none" w:sz="0" w:space="0" w:color="auto"/>
                <w:bottom w:val="none" w:sz="0" w:space="0" w:color="auto"/>
                <w:right w:val="none" w:sz="0" w:space="0" w:color="auto"/>
              </w:divBdr>
            </w:div>
            <w:div w:id="1656956046">
              <w:marLeft w:val="0"/>
              <w:marRight w:val="0"/>
              <w:marTop w:val="0"/>
              <w:marBottom w:val="0"/>
              <w:divBdr>
                <w:top w:val="none" w:sz="0" w:space="0" w:color="auto"/>
                <w:left w:val="none" w:sz="0" w:space="0" w:color="auto"/>
                <w:bottom w:val="none" w:sz="0" w:space="0" w:color="auto"/>
                <w:right w:val="none" w:sz="0" w:space="0" w:color="auto"/>
              </w:divBdr>
            </w:div>
          </w:divsChild>
        </w:div>
        <w:div w:id="1199053333">
          <w:marLeft w:val="0"/>
          <w:marRight w:val="0"/>
          <w:marTop w:val="0"/>
          <w:marBottom w:val="0"/>
          <w:divBdr>
            <w:top w:val="none" w:sz="0" w:space="0" w:color="auto"/>
            <w:left w:val="none" w:sz="0" w:space="0" w:color="auto"/>
            <w:bottom w:val="none" w:sz="0" w:space="0" w:color="auto"/>
            <w:right w:val="none" w:sz="0" w:space="0" w:color="auto"/>
          </w:divBdr>
        </w:div>
        <w:div w:id="1690452224">
          <w:marLeft w:val="0"/>
          <w:marRight w:val="0"/>
          <w:marTop w:val="0"/>
          <w:marBottom w:val="0"/>
          <w:divBdr>
            <w:top w:val="none" w:sz="0" w:space="0" w:color="auto"/>
            <w:left w:val="none" w:sz="0" w:space="0" w:color="auto"/>
            <w:bottom w:val="none" w:sz="0" w:space="0" w:color="auto"/>
            <w:right w:val="none" w:sz="0" w:space="0" w:color="auto"/>
          </w:divBdr>
        </w:div>
      </w:divsChild>
    </w:div>
    <w:div w:id="211698373">
      <w:bodyDiv w:val="1"/>
      <w:marLeft w:val="0"/>
      <w:marRight w:val="0"/>
      <w:marTop w:val="0"/>
      <w:marBottom w:val="0"/>
      <w:divBdr>
        <w:top w:val="none" w:sz="0" w:space="0" w:color="auto"/>
        <w:left w:val="none" w:sz="0" w:space="0" w:color="auto"/>
        <w:bottom w:val="none" w:sz="0" w:space="0" w:color="auto"/>
        <w:right w:val="none" w:sz="0" w:space="0" w:color="auto"/>
      </w:divBdr>
      <w:divsChild>
        <w:div w:id="140121651">
          <w:marLeft w:val="0"/>
          <w:marRight w:val="0"/>
          <w:marTop w:val="0"/>
          <w:marBottom w:val="0"/>
          <w:divBdr>
            <w:top w:val="none" w:sz="0" w:space="0" w:color="auto"/>
            <w:left w:val="none" w:sz="0" w:space="0" w:color="auto"/>
            <w:bottom w:val="none" w:sz="0" w:space="0" w:color="auto"/>
            <w:right w:val="none" w:sz="0" w:space="0" w:color="auto"/>
          </w:divBdr>
        </w:div>
        <w:div w:id="616912017">
          <w:marLeft w:val="0"/>
          <w:marRight w:val="0"/>
          <w:marTop w:val="0"/>
          <w:marBottom w:val="0"/>
          <w:divBdr>
            <w:top w:val="none" w:sz="0" w:space="0" w:color="auto"/>
            <w:left w:val="none" w:sz="0" w:space="0" w:color="auto"/>
            <w:bottom w:val="none" w:sz="0" w:space="0" w:color="auto"/>
            <w:right w:val="none" w:sz="0" w:space="0" w:color="auto"/>
          </w:divBdr>
        </w:div>
        <w:div w:id="1647973314">
          <w:marLeft w:val="0"/>
          <w:marRight w:val="0"/>
          <w:marTop w:val="0"/>
          <w:marBottom w:val="0"/>
          <w:divBdr>
            <w:top w:val="none" w:sz="0" w:space="0" w:color="auto"/>
            <w:left w:val="none" w:sz="0" w:space="0" w:color="auto"/>
            <w:bottom w:val="none" w:sz="0" w:space="0" w:color="auto"/>
            <w:right w:val="none" w:sz="0" w:space="0" w:color="auto"/>
          </w:divBdr>
        </w:div>
        <w:div w:id="1686247229">
          <w:marLeft w:val="0"/>
          <w:marRight w:val="0"/>
          <w:marTop w:val="0"/>
          <w:marBottom w:val="0"/>
          <w:divBdr>
            <w:top w:val="none" w:sz="0" w:space="0" w:color="auto"/>
            <w:left w:val="none" w:sz="0" w:space="0" w:color="auto"/>
            <w:bottom w:val="none" w:sz="0" w:space="0" w:color="auto"/>
            <w:right w:val="none" w:sz="0" w:space="0" w:color="auto"/>
          </w:divBdr>
        </w:div>
      </w:divsChild>
    </w:div>
    <w:div w:id="215439213">
      <w:bodyDiv w:val="1"/>
      <w:marLeft w:val="0"/>
      <w:marRight w:val="0"/>
      <w:marTop w:val="0"/>
      <w:marBottom w:val="0"/>
      <w:divBdr>
        <w:top w:val="none" w:sz="0" w:space="0" w:color="auto"/>
        <w:left w:val="none" w:sz="0" w:space="0" w:color="auto"/>
        <w:bottom w:val="none" w:sz="0" w:space="0" w:color="auto"/>
        <w:right w:val="none" w:sz="0" w:space="0" w:color="auto"/>
      </w:divBdr>
      <w:divsChild>
        <w:div w:id="533737174">
          <w:marLeft w:val="0"/>
          <w:marRight w:val="0"/>
          <w:marTop w:val="0"/>
          <w:marBottom w:val="0"/>
          <w:divBdr>
            <w:top w:val="none" w:sz="0" w:space="0" w:color="auto"/>
            <w:left w:val="none" w:sz="0" w:space="0" w:color="auto"/>
            <w:bottom w:val="none" w:sz="0" w:space="0" w:color="auto"/>
            <w:right w:val="none" w:sz="0" w:space="0" w:color="auto"/>
          </w:divBdr>
        </w:div>
        <w:div w:id="992828930">
          <w:marLeft w:val="0"/>
          <w:marRight w:val="0"/>
          <w:marTop w:val="0"/>
          <w:marBottom w:val="0"/>
          <w:divBdr>
            <w:top w:val="none" w:sz="0" w:space="0" w:color="auto"/>
            <w:left w:val="none" w:sz="0" w:space="0" w:color="auto"/>
            <w:bottom w:val="none" w:sz="0" w:space="0" w:color="auto"/>
            <w:right w:val="none" w:sz="0" w:space="0" w:color="auto"/>
          </w:divBdr>
        </w:div>
        <w:div w:id="1077164848">
          <w:marLeft w:val="0"/>
          <w:marRight w:val="0"/>
          <w:marTop w:val="0"/>
          <w:marBottom w:val="0"/>
          <w:divBdr>
            <w:top w:val="none" w:sz="0" w:space="0" w:color="auto"/>
            <w:left w:val="none" w:sz="0" w:space="0" w:color="auto"/>
            <w:bottom w:val="none" w:sz="0" w:space="0" w:color="auto"/>
            <w:right w:val="none" w:sz="0" w:space="0" w:color="auto"/>
          </w:divBdr>
        </w:div>
        <w:div w:id="1347101739">
          <w:marLeft w:val="0"/>
          <w:marRight w:val="0"/>
          <w:marTop w:val="0"/>
          <w:marBottom w:val="0"/>
          <w:divBdr>
            <w:top w:val="none" w:sz="0" w:space="0" w:color="auto"/>
            <w:left w:val="none" w:sz="0" w:space="0" w:color="auto"/>
            <w:bottom w:val="none" w:sz="0" w:space="0" w:color="auto"/>
            <w:right w:val="none" w:sz="0" w:space="0" w:color="auto"/>
          </w:divBdr>
        </w:div>
        <w:div w:id="2002074460">
          <w:marLeft w:val="0"/>
          <w:marRight w:val="0"/>
          <w:marTop w:val="0"/>
          <w:marBottom w:val="0"/>
          <w:divBdr>
            <w:top w:val="none" w:sz="0" w:space="0" w:color="auto"/>
            <w:left w:val="none" w:sz="0" w:space="0" w:color="auto"/>
            <w:bottom w:val="none" w:sz="0" w:space="0" w:color="auto"/>
            <w:right w:val="none" w:sz="0" w:space="0" w:color="auto"/>
          </w:divBdr>
        </w:div>
      </w:divsChild>
    </w:div>
    <w:div w:id="259293138">
      <w:bodyDiv w:val="1"/>
      <w:marLeft w:val="0"/>
      <w:marRight w:val="0"/>
      <w:marTop w:val="0"/>
      <w:marBottom w:val="0"/>
      <w:divBdr>
        <w:top w:val="none" w:sz="0" w:space="0" w:color="auto"/>
        <w:left w:val="none" w:sz="0" w:space="0" w:color="auto"/>
        <w:bottom w:val="none" w:sz="0" w:space="0" w:color="auto"/>
        <w:right w:val="none" w:sz="0" w:space="0" w:color="auto"/>
      </w:divBdr>
      <w:divsChild>
        <w:div w:id="265889518">
          <w:marLeft w:val="0"/>
          <w:marRight w:val="0"/>
          <w:marTop w:val="0"/>
          <w:marBottom w:val="0"/>
          <w:divBdr>
            <w:top w:val="none" w:sz="0" w:space="0" w:color="auto"/>
            <w:left w:val="none" w:sz="0" w:space="0" w:color="auto"/>
            <w:bottom w:val="none" w:sz="0" w:space="0" w:color="auto"/>
            <w:right w:val="none" w:sz="0" w:space="0" w:color="auto"/>
          </w:divBdr>
        </w:div>
        <w:div w:id="604072121">
          <w:marLeft w:val="0"/>
          <w:marRight w:val="0"/>
          <w:marTop w:val="0"/>
          <w:marBottom w:val="0"/>
          <w:divBdr>
            <w:top w:val="none" w:sz="0" w:space="0" w:color="auto"/>
            <w:left w:val="none" w:sz="0" w:space="0" w:color="auto"/>
            <w:bottom w:val="none" w:sz="0" w:space="0" w:color="auto"/>
            <w:right w:val="none" w:sz="0" w:space="0" w:color="auto"/>
          </w:divBdr>
        </w:div>
        <w:div w:id="785467076">
          <w:marLeft w:val="0"/>
          <w:marRight w:val="0"/>
          <w:marTop w:val="0"/>
          <w:marBottom w:val="0"/>
          <w:divBdr>
            <w:top w:val="none" w:sz="0" w:space="0" w:color="auto"/>
            <w:left w:val="none" w:sz="0" w:space="0" w:color="auto"/>
            <w:bottom w:val="none" w:sz="0" w:space="0" w:color="auto"/>
            <w:right w:val="none" w:sz="0" w:space="0" w:color="auto"/>
          </w:divBdr>
        </w:div>
        <w:div w:id="1492058416">
          <w:marLeft w:val="0"/>
          <w:marRight w:val="0"/>
          <w:marTop w:val="0"/>
          <w:marBottom w:val="0"/>
          <w:divBdr>
            <w:top w:val="none" w:sz="0" w:space="0" w:color="auto"/>
            <w:left w:val="none" w:sz="0" w:space="0" w:color="auto"/>
            <w:bottom w:val="none" w:sz="0" w:space="0" w:color="auto"/>
            <w:right w:val="none" w:sz="0" w:space="0" w:color="auto"/>
          </w:divBdr>
        </w:div>
        <w:div w:id="1586912166">
          <w:marLeft w:val="0"/>
          <w:marRight w:val="0"/>
          <w:marTop w:val="0"/>
          <w:marBottom w:val="0"/>
          <w:divBdr>
            <w:top w:val="none" w:sz="0" w:space="0" w:color="auto"/>
            <w:left w:val="none" w:sz="0" w:space="0" w:color="auto"/>
            <w:bottom w:val="none" w:sz="0" w:space="0" w:color="auto"/>
            <w:right w:val="none" w:sz="0" w:space="0" w:color="auto"/>
          </w:divBdr>
        </w:div>
        <w:div w:id="1860968063">
          <w:marLeft w:val="0"/>
          <w:marRight w:val="0"/>
          <w:marTop w:val="0"/>
          <w:marBottom w:val="0"/>
          <w:divBdr>
            <w:top w:val="none" w:sz="0" w:space="0" w:color="auto"/>
            <w:left w:val="none" w:sz="0" w:space="0" w:color="auto"/>
            <w:bottom w:val="none" w:sz="0" w:space="0" w:color="auto"/>
            <w:right w:val="none" w:sz="0" w:space="0" w:color="auto"/>
          </w:divBdr>
        </w:div>
        <w:div w:id="1862208059">
          <w:marLeft w:val="0"/>
          <w:marRight w:val="0"/>
          <w:marTop w:val="0"/>
          <w:marBottom w:val="0"/>
          <w:divBdr>
            <w:top w:val="none" w:sz="0" w:space="0" w:color="auto"/>
            <w:left w:val="none" w:sz="0" w:space="0" w:color="auto"/>
            <w:bottom w:val="none" w:sz="0" w:space="0" w:color="auto"/>
            <w:right w:val="none" w:sz="0" w:space="0" w:color="auto"/>
          </w:divBdr>
        </w:div>
        <w:div w:id="1955475612">
          <w:marLeft w:val="0"/>
          <w:marRight w:val="0"/>
          <w:marTop w:val="0"/>
          <w:marBottom w:val="0"/>
          <w:divBdr>
            <w:top w:val="none" w:sz="0" w:space="0" w:color="auto"/>
            <w:left w:val="none" w:sz="0" w:space="0" w:color="auto"/>
            <w:bottom w:val="none" w:sz="0" w:space="0" w:color="auto"/>
            <w:right w:val="none" w:sz="0" w:space="0" w:color="auto"/>
          </w:divBdr>
        </w:div>
      </w:divsChild>
    </w:div>
    <w:div w:id="260458077">
      <w:bodyDiv w:val="1"/>
      <w:marLeft w:val="0"/>
      <w:marRight w:val="0"/>
      <w:marTop w:val="0"/>
      <w:marBottom w:val="0"/>
      <w:divBdr>
        <w:top w:val="none" w:sz="0" w:space="0" w:color="auto"/>
        <w:left w:val="none" w:sz="0" w:space="0" w:color="auto"/>
        <w:bottom w:val="none" w:sz="0" w:space="0" w:color="auto"/>
        <w:right w:val="none" w:sz="0" w:space="0" w:color="auto"/>
      </w:divBdr>
      <w:divsChild>
        <w:div w:id="25956834">
          <w:marLeft w:val="0"/>
          <w:marRight w:val="0"/>
          <w:marTop w:val="0"/>
          <w:marBottom w:val="0"/>
          <w:divBdr>
            <w:top w:val="none" w:sz="0" w:space="0" w:color="auto"/>
            <w:left w:val="none" w:sz="0" w:space="0" w:color="auto"/>
            <w:bottom w:val="none" w:sz="0" w:space="0" w:color="auto"/>
            <w:right w:val="none" w:sz="0" w:space="0" w:color="auto"/>
          </w:divBdr>
        </w:div>
        <w:div w:id="614556487">
          <w:marLeft w:val="0"/>
          <w:marRight w:val="0"/>
          <w:marTop w:val="0"/>
          <w:marBottom w:val="0"/>
          <w:divBdr>
            <w:top w:val="none" w:sz="0" w:space="0" w:color="auto"/>
            <w:left w:val="none" w:sz="0" w:space="0" w:color="auto"/>
            <w:bottom w:val="none" w:sz="0" w:space="0" w:color="auto"/>
            <w:right w:val="none" w:sz="0" w:space="0" w:color="auto"/>
          </w:divBdr>
        </w:div>
        <w:div w:id="744838702">
          <w:marLeft w:val="0"/>
          <w:marRight w:val="0"/>
          <w:marTop w:val="0"/>
          <w:marBottom w:val="0"/>
          <w:divBdr>
            <w:top w:val="none" w:sz="0" w:space="0" w:color="auto"/>
            <w:left w:val="none" w:sz="0" w:space="0" w:color="auto"/>
            <w:bottom w:val="none" w:sz="0" w:space="0" w:color="auto"/>
            <w:right w:val="none" w:sz="0" w:space="0" w:color="auto"/>
          </w:divBdr>
        </w:div>
        <w:div w:id="763649137">
          <w:marLeft w:val="0"/>
          <w:marRight w:val="0"/>
          <w:marTop w:val="0"/>
          <w:marBottom w:val="0"/>
          <w:divBdr>
            <w:top w:val="none" w:sz="0" w:space="0" w:color="auto"/>
            <w:left w:val="none" w:sz="0" w:space="0" w:color="auto"/>
            <w:bottom w:val="none" w:sz="0" w:space="0" w:color="auto"/>
            <w:right w:val="none" w:sz="0" w:space="0" w:color="auto"/>
          </w:divBdr>
        </w:div>
        <w:div w:id="1376082289">
          <w:marLeft w:val="0"/>
          <w:marRight w:val="0"/>
          <w:marTop w:val="0"/>
          <w:marBottom w:val="0"/>
          <w:divBdr>
            <w:top w:val="none" w:sz="0" w:space="0" w:color="auto"/>
            <w:left w:val="none" w:sz="0" w:space="0" w:color="auto"/>
            <w:bottom w:val="none" w:sz="0" w:space="0" w:color="auto"/>
            <w:right w:val="none" w:sz="0" w:space="0" w:color="auto"/>
          </w:divBdr>
        </w:div>
        <w:div w:id="1467162698">
          <w:marLeft w:val="0"/>
          <w:marRight w:val="0"/>
          <w:marTop w:val="0"/>
          <w:marBottom w:val="0"/>
          <w:divBdr>
            <w:top w:val="none" w:sz="0" w:space="0" w:color="auto"/>
            <w:left w:val="none" w:sz="0" w:space="0" w:color="auto"/>
            <w:bottom w:val="none" w:sz="0" w:space="0" w:color="auto"/>
            <w:right w:val="none" w:sz="0" w:space="0" w:color="auto"/>
          </w:divBdr>
        </w:div>
        <w:div w:id="2014145423">
          <w:marLeft w:val="0"/>
          <w:marRight w:val="0"/>
          <w:marTop w:val="0"/>
          <w:marBottom w:val="0"/>
          <w:divBdr>
            <w:top w:val="none" w:sz="0" w:space="0" w:color="auto"/>
            <w:left w:val="none" w:sz="0" w:space="0" w:color="auto"/>
            <w:bottom w:val="none" w:sz="0" w:space="0" w:color="auto"/>
            <w:right w:val="none" w:sz="0" w:space="0" w:color="auto"/>
          </w:divBdr>
        </w:div>
      </w:divsChild>
    </w:div>
    <w:div w:id="275214929">
      <w:bodyDiv w:val="1"/>
      <w:marLeft w:val="0"/>
      <w:marRight w:val="0"/>
      <w:marTop w:val="0"/>
      <w:marBottom w:val="0"/>
      <w:divBdr>
        <w:top w:val="none" w:sz="0" w:space="0" w:color="auto"/>
        <w:left w:val="none" w:sz="0" w:space="0" w:color="auto"/>
        <w:bottom w:val="none" w:sz="0" w:space="0" w:color="auto"/>
        <w:right w:val="none" w:sz="0" w:space="0" w:color="auto"/>
      </w:divBdr>
      <w:divsChild>
        <w:div w:id="128745407">
          <w:marLeft w:val="0"/>
          <w:marRight w:val="0"/>
          <w:marTop w:val="0"/>
          <w:marBottom w:val="0"/>
          <w:divBdr>
            <w:top w:val="none" w:sz="0" w:space="0" w:color="auto"/>
            <w:left w:val="none" w:sz="0" w:space="0" w:color="auto"/>
            <w:bottom w:val="none" w:sz="0" w:space="0" w:color="auto"/>
            <w:right w:val="none" w:sz="0" w:space="0" w:color="auto"/>
          </w:divBdr>
        </w:div>
        <w:div w:id="206921058">
          <w:marLeft w:val="0"/>
          <w:marRight w:val="0"/>
          <w:marTop w:val="0"/>
          <w:marBottom w:val="0"/>
          <w:divBdr>
            <w:top w:val="none" w:sz="0" w:space="0" w:color="auto"/>
            <w:left w:val="none" w:sz="0" w:space="0" w:color="auto"/>
            <w:bottom w:val="none" w:sz="0" w:space="0" w:color="auto"/>
            <w:right w:val="none" w:sz="0" w:space="0" w:color="auto"/>
          </w:divBdr>
        </w:div>
        <w:div w:id="1153378252">
          <w:marLeft w:val="0"/>
          <w:marRight w:val="0"/>
          <w:marTop w:val="0"/>
          <w:marBottom w:val="0"/>
          <w:divBdr>
            <w:top w:val="none" w:sz="0" w:space="0" w:color="auto"/>
            <w:left w:val="none" w:sz="0" w:space="0" w:color="auto"/>
            <w:bottom w:val="none" w:sz="0" w:space="0" w:color="auto"/>
            <w:right w:val="none" w:sz="0" w:space="0" w:color="auto"/>
          </w:divBdr>
        </w:div>
        <w:div w:id="1172721352">
          <w:marLeft w:val="0"/>
          <w:marRight w:val="0"/>
          <w:marTop w:val="0"/>
          <w:marBottom w:val="0"/>
          <w:divBdr>
            <w:top w:val="none" w:sz="0" w:space="0" w:color="auto"/>
            <w:left w:val="none" w:sz="0" w:space="0" w:color="auto"/>
            <w:bottom w:val="none" w:sz="0" w:space="0" w:color="auto"/>
            <w:right w:val="none" w:sz="0" w:space="0" w:color="auto"/>
          </w:divBdr>
        </w:div>
        <w:div w:id="1297835385">
          <w:marLeft w:val="0"/>
          <w:marRight w:val="0"/>
          <w:marTop w:val="0"/>
          <w:marBottom w:val="0"/>
          <w:divBdr>
            <w:top w:val="none" w:sz="0" w:space="0" w:color="auto"/>
            <w:left w:val="none" w:sz="0" w:space="0" w:color="auto"/>
            <w:bottom w:val="none" w:sz="0" w:space="0" w:color="auto"/>
            <w:right w:val="none" w:sz="0" w:space="0" w:color="auto"/>
          </w:divBdr>
        </w:div>
        <w:div w:id="1968196243">
          <w:marLeft w:val="0"/>
          <w:marRight w:val="0"/>
          <w:marTop w:val="0"/>
          <w:marBottom w:val="0"/>
          <w:divBdr>
            <w:top w:val="none" w:sz="0" w:space="0" w:color="auto"/>
            <w:left w:val="none" w:sz="0" w:space="0" w:color="auto"/>
            <w:bottom w:val="none" w:sz="0" w:space="0" w:color="auto"/>
            <w:right w:val="none" w:sz="0" w:space="0" w:color="auto"/>
          </w:divBdr>
        </w:div>
        <w:div w:id="1975216124">
          <w:marLeft w:val="0"/>
          <w:marRight w:val="0"/>
          <w:marTop w:val="0"/>
          <w:marBottom w:val="0"/>
          <w:divBdr>
            <w:top w:val="none" w:sz="0" w:space="0" w:color="auto"/>
            <w:left w:val="none" w:sz="0" w:space="0" w:color="auto"/>
            <w:bottom w:val="none" w:sz="0" w:space="0" w:color="auto"/>
            <w:right w:val="none" w:sz="0" w:space="0" w:color="auto"/>
          </w:divBdr>
        </w:div>
        <w:div w:id="2090077727">
          <w:marLeft w:val="0"/>
          <w:marRight w:val="0"/>
          <w:marTop w:val="0"/>
          <w:marBottom w:val="0"/>
          <w:divBdr>
            <w:top w:val="none" w:sz="0" w:space="0" w:color="auto"/>
            <w:left w:val="none" w:sz="0" w:space="0" w:color="auto"/>
            <w:bottom w:val="none" w:sz="0" w:space="0" w:color="auto"/>
            <w:right w:val="none" w:sz="0" w:space="0" w:color="auto"/>
          </w:divBdr>
        </w:div>
      </w:divsChild>
    </w:div>
    <w:div w:id="296227857">
      <w:bodyDiv w:val="1"/>
      <w:marLeft w:val="0"/>
      <w:marRight w:val="0"/>
      <w:marTop w:val="0"/>
      <w:marBottom w:val="0"/>
      <w:divBdr>
        <w:top w:val="none" w:sz="0" w:space="0" w:color="auto"/>
        <w:left w:val="none" w:sz="0" w:space="0" w:color="auto"/>
        <w:bottom w:val="none" w:sz="0" w:space="0" w:color="auto"/>
        <w:right w:val="none" w:sz="0" w:space="0" w:color="auto"/>
      </w:divBdr>
      <w:divsChild>
        <w:div w:id="54090262">
          <w:marLeft w:val="0"/>
          <w:marRight w:val="0"/>
          <w:marTop w:val="0"/>
          <w:marBottom w:val="0"/>
          <w:divBdr>
            <w:top w:val="none" w:sz="0" w:space="0" w:color="auto"/>
            <w:left w:val="none" w:sz="0" w:space="0" w:color="auto"/>
            <w:bottom w:val="none" w:sz="0" w:space="0" w:color="auto"/>
            <w:right w:val="none" w:sz="0" w:space="0" w:color="auto"/>
          </w:divBdr>
        </w:div>
        <w:div w:id="226844727">
          <w:marLeft w:val="0"/>
          <w:marRight w:val="0"/>
          <w:marTop w:val="0"/>
          <w:marBottom w:val="0"/>
          <w:divBdr>
            <w:top w:val="none" w:sz="0" w:space="0" w:color="auto"/>
            <w:left w:val="none" w:sz="0" w:space="0" w:color="auto"/>
            <w:bottom w:val="none" w:sz="0" w:space="0" w:color="auto"/>
            <w:right w:val="none" w:sz="0" w:space="0" w:color="auto"/>
          </w:divBdr>
        </w:div>
        <w:div w:id="379672824">
          <w:marLeft w:val="0"/>
          <w:marRight w:val="0"/>
          <w:marTop w:val="0"/>
          <w:marBottom w:val="0"/>
          <w:divBdr>
            <w:top w:val="none" w:sz="0" w:space="0" w:color="auto"/>
            <w:left w:val="none" w:sz="0" w:space="0" w:color="auto"/>
            <w:bottom w:val="none" w:sz="0" w:space="0" w:color="auto"/>
            <w:right w:val="none" w:sz="0" w:space="0" w:color="auto"/>
          </w:divBdr>
        </w:div>
        <w:div w:id="384106506">
          <w:marLeft w:val="0"/>
          <w:marRight w:val="0"/>
          <w:marTop w:val="0"/>
          <w:marBottom w:val="0"/>
          <w:divBdr>
            <w:top w:val="none" w:sz="0" w:space="0" w:color="auto"/>
            <w:left w:val="none" w:sz="0" w:space="0" w:color="auto"/>
            <w:bottom w:val="none" w:sz="0" w:space="0" w:color="auto"/>
            <w:right w:val="none" w:sz="0" w:space="0" w:color="auto"/>
          </w:divBdr>
        </w:div>
        <w:div w:id="484247650">
          <w:marLeft w:val="0"/>
          <w:marRight w:val="0"/>
          <w:marTop w:val="0"/>
          <w:marBottom w:val="0"/>
          <w:divBdr>
            <w:top w:val="none" w:sz="0" w:space="0" w:color="auto"/>
            <w:left w:val="none" w:sz="0" w:space="0" w:color="auto"/>
            <w:bottom w:val="none" w:sz="0" w:space="0" w:color="auto"/>
            <w:right w:val="none" w:sz="0" w:space="0" w:color="auto"/>
          </w:divBdr>
        </w:div>
        <w:div w:id="609552582">
          <w:marLeft w:val="0"/>
          <w:marRight w:val="0"/>
          <w:marTop w:val="0"/>
          <w:marBottom w:val="0"/>
          <w:divBdr>
            <w:top w:val="none" w:sz="0" w:space="0" w:color="auto"/>
            <w:left w:val="none" w:sz="0" w:space="0" w:color="auto"/>
            <w:bottom w:val="none" w:sz="0" w:space="0" w:color="auto"/>
            <w:right w:val="none" w:sz="0" w:space="0" w:color="auto"/>
          </w:divBdr>
        </w:div>
        <w:div w:id="684789586">
          <w:marLeft w:val="0"/>
          <w:marRight w:val="0"/>
          <w:marTop w:val="0"/>
          <w:marBottom w:val="0"/>
          <w:divBdr>
            <w:top w:val="none" w:sz="0" w:space="0" w:color="auto"/>
            <w:left w:val="none" w:sz="0" w:space="0" w:color="auto"/>
            <w:bottom w:val="none" w:sz="0" w:space="0" w:color="auto"/>
            <w:right w:val="none" w:sz="0" w:space="0" w:color="auto"/>
          </w:divBdr>
        </w:div>
        <w:div w:id="1539005330">
          <w:marLeft w:val="0"/>
          <w:marRight w:val="0"/>
          <w:marTop w:val="0"/>
          <w:marBottom w:val="0"/>
          <w:divBdr>
            <w:top w:val="none" w:sz="0" w:space="0" w:color="auto"/>
            <w:left w:val="none" w:sz="0" w:space="0" w:color="auto"/>
            <w:bottom w:val="none" w:sz="0" w:space="0" w:color="auto"/>
            <w:right w:val="none" w:sz="0" w:space="0" w:color="auto"/>
          </w:divBdr>
        </w:div>
        <w:div w:id="1846820941">
          <w:marLeft w:val="0"/>
          <w:marRight w:val="0"/>
          <w:marTop w:val="0"/>
          <w:marBottom w:val="0"/>
          <w:divBdr>
            <w:top w:val="none" w:sz="0" w:space="0" w:color="auto"/>
            <w:left w:val="none" w:sz="0" w:space="0" w:color="auto"/>
            <w:bottom w:val="none" w:sz="0" w:space="0" w:color="auto"/>
            <w:right w:val="none" w:sz="0" w:space="0" w:color="auto"/>
          </w:divBdr>
        </w:div>
      </w:divsChild>
    </w:div>
    <w:div w:id="313068342">
      <w:bodyDiv w:val="1"/>
      <w:marLeft w:val="0"/>
      <w:marRight w:val="0"/>
      <w:marTop w:val="0"/>
      <w:marBottom w:val="0"/>
      <w:divBdr>
        <w:top w:val="none" w:sz="0" w:space="0" w:color="auto"/>
        <w:left w:val="none" w:sz="0" w:space="0" w:color="auto"/>
        <w:bottom w:val="none" w:sz="0" w:space="0" w:color="auto"/>
        <w:right w:val="none" w:sz="0" w:space="0" w:color="auto"/>
      </w:divBdr>
      <w:divsChild>
        <w:div w:id="338393755">
          <w:marLeft w:val="0"/>
          <w:marRight w:val="0"/>
          <w:marTop w:val="0"/>
          <w:marBottom w:val="0"/>
          <w:divBdr>
            <w:top w:val="none" w:sz="0" w:space="0" w:color="auto"/>
            <w:left w:val="none" w:sz="0" w:space="0" w:color="auto"/>
            <w:bottom w:val="none" w:sz="0" w:space="0" w:color="auto"/>
            <w:right w:val="none" w:sz="0" w:space="0" w:color="auto"/>
          </w:divBdr>
        </w:div>
        <w:div w:id="1065106691">
          <w:marLeft w:val="0"/>
          <w:marRight w:val="0"/>
          <w:marTop w:val="0"/>
          <w:marBottom w:val="0"/>
          <w:divBdr>
            <w:top w:val="none" w:sz="0" w:space="0" w:color="auto"/>
            <w:left w:val="none" w:sz="0" w:space="0" w:color="auto"/>
            <w:bottom w:val="none" w:sz="0" w:space="0" w:color="auto"/>
            <w:right w:val="none" w:sz="0" w:space="0" w:color="auto"/>
          </w:divBdr>
        </w:div>
        <w:div w:id="1073313340">
          <w:marLeft w:val="0"/>
          <w:marRight w:val="0"/>
          <w:marTop w:val="0"/>
          <w:marBottom w:val="0"/>
          <w:divBdr>
            <w:top w:val="none" w:sz="0" w:space="0" w:color="auto"/>
            <w:left w:val="none" w:sz="0" w:space="0" w:color="auto"/>
            <w:bottom w:val="none" w:sz="0" w:space="0" w:color="auto"/>
            <w:right w:val="none" w:sz="0" w:space="0" w:color="auto"/>
          </w:divBdr>
        </w:div>
        <w:div w:id="1883130054">
          <w:marLeft w:val="0"/>
          <w:marRight w:val="0"/>
          <w:marTop w:val="0"/>
          <w:marBottom w:val="0"/>
          <w:divBdr>
            <w:top w:val="none" w:sz="0" w:space="0" w:color="auto"/>
            <w:left w:val="none" w:sz="0" w:space="0" w:color="auto"/>
            <w:bottom w:val="none" w:sz="0" w:space="0" w:color="auto"/>
            <w:right w:val="none" w:sz="0" w:space="0" w:color="auto"/>
          </w:divBdr>
        </w:div>
        <w:div w:id="2110345509">
          <w:marLeft w:val="0"/>
          <w:marRight w:val="0"/>
          <w:marTop w:val="0"/>
          <w:marBottom w:val="0"/>
          <w:divBdr>
            <w:top w:val="none" w:sz="0" w:space="0" w:color="auto"/>
            <w:left w:val="none" w:sz="0" w:space="0" w:color="auto"/>
            <w:bottom w:val="none" w:sz="0" w:space="0" w:color="auto"/>
            <w:right w:val="none" w:sz="0" w:space="0" w:color="auto"/>
          </w:divBdr>
        </w:div>
      </w:divsChild>
    </w:div>
    <w:div w:id="313336897">
      <w:bodyDiv w:val="1"/>
      <w:marLeft w:val="0"/>
      <w:marRight w:val="0"/>
      <w:marTop w:val="0"/>
      <w:marBottom w:val="0"/>
      <w:divBdr>
        <w:top w:val="none" w:sz="0" w:space="0" w:color="auto"/>
        <w:left w:val="none" w:sz="0" w:space="0" w:color="auto"/>
        <w:bottom w:val="none" w:sz="0" w:space="0" w:color="auto"/>
        <w:right w:val="none" w:sz="0" w:space="0" w:color="auto"/>
      </w:divBdr>
      <w:divsChild>
        <w:div w:id="86925004">
          <w:marLeft w:val="0"/>
          <w:marRight w:val="0"/>
          <w:marTop w:val="0"/>
          <w:marBottom w:val="0"/>
          <w:divBdr>
            <w:top w:val="none" w:sz="0" w:space="0" w:color="auto"/>
            <w:left w:val="none" w:sz="0" w:space="0" w:color="auto"/>
            <w:bottom w:val="none" w:sz="0" w:space="0" w:color="auto"/>
            <w:right w:val="none" w:sz="0" w:space="0" w:color="auto"/>
          </w:divBdr>
        </w:div>
        <w:div w:id="194847947">
          <w:marLeft w:val="0"/>
          <w:marRight w:val="0"/>
          <w:marTop w:val="0"/>
          <w:marBottom w:val="0"/>
          <w:divBdr>
            <w:top w:val="none" w:sz="0" w:space="0" w:color="auto"/>
            <w:left w:val="none" w:sz="0" w:space="0" w:color="auto"/>
            <w:bottom w:val="none" w:sz="0" w:space="0" w:color="auto"/>
            <w:right w:val="none" w:sz="0" w:space="0" w:color="auto"/>
          </w:divBdr>
        </w:div>
        <w:div w:id="497304450">
          <w:marLeft w:val="0"/>
          <w:marRight w:val="0"/>
          <w:marTop w:val="0"/>
          <w:marBottom w:val="0"/>
          <w:divBdr>
            <w:top w:val="none" w:sz="0" w:space="0" w:color="auto"/>
            <w:left w:val="none" w:sz="0" w:space="0" w:color="auto"/>
            <w:bottom w:val="none" w:sz="0" w:space="0" w:color="auto"/>
            <w:right w:val="none" w:sz="0" w:space="0" w:color="auto"/>
          </w:divBdr>
        </w:div>
        <w:div w:id="1404454154">
          <w:marLeft w:val="0"/>
          <w:marRight w:val="0"/>
          <w:marTop w:val="0"/>
          <w:marBottom w:val="0"/>
          <w:divBdr>
            <w:top w:val="none" w:sz="0" w:space="0" w:color="auto"/>
            <w:left w:val="none" w:sz="0" w:space="0" w:color="auto"/>
            <w:bottom w:val="none" w:sz="0" w:space="0" w:color="auto"/>
            <w:right w:val="none" w:sz="0" w:space="0" w:color="auto"/>
          </w:divBdr>
        </w:div>
        <w:div w:id="1773235602">
          <w:marLeft w:val="0"/>
          <w:marRight w:val="0"/>
          <w:marTop w:val="0"/>
          <w:marBottom w:val="0"/>
          <w:divBdr>
            <w:top w:val="none" w:sz="0" w:space="0" w:color="auto"/>
            <w:left w:val="none" w:sz="0" w:space="0" w:color="auto"/>
            <w:bottom w:val="none" w:sz="0" w:space="0" w:color="auto"/>
            <w:right w:val="none" w:sz="0" w:space="0" w:color="auto"/>
          </w:divBdr>
        </w:div>
      </w:divsChild>
    </w:div>
    <w:div w:id="322584149">
      <w:bodyDiv w:val="1"/>
      <w:marLeft w:val="0"/>
      <w:marRight w:val="0"/>
      <w:marTop w:val="0"/>
      <w:marBottom w:val="0"/>
      <w:divBdr>
        <w:top w:val="none" w:sz="0" w:space="0" w:color="auto"/>
        <w:left w:val="none" w:sz="0" w:space="0" w:color="auto"/>
        <w:bottom w:val="none" w:sz="0" w:space="0" w:color="auto"/>
        <w:right w:val="none" w:sz="0" w:space="0" w:color="auto"/>
      </w:divBdr>
      <w:divsChild>
        <w:div w:id="303855801">
          <w:marLeft w:val="0"/>
          <w:marRight w:val="0"/>
          <w:marTop w:val="0"/>
          <w:marBottom w:val="0"/>
          <w:divBdr>
            <w:top w:val="none" w:sz="0" w:space="0" w:color="auto"/>
            <w:left w:val="none" w:sz="0" w:space="0" w:color="auto"/>
            <w:bottom w:val="none" w:sz="0" w:space="0" w:color="auto"/>
            <w:right w:val="none" w:sz="0" w:space="0" w:color="auto"/>
          </w:divBdr>
        </w:div>
        <w:div w:id="918172486">
          <w:marLeft w:val="0"/>
          <w:marRight w:val="0"/>
          <w:marTop w:val="0"/>
          <w:marBottom w:val="0"/>
          <w:divBdr>
            <w:top w:val="none" w:sz="0" w:space="0" w:color="auto"/>
            <w:left w:val="none" w:sz="0" w:space="0" w:color="auto"/>
            <w:bottom w:val="none" w:sz="0" w:space="0" w:color="auto"/>
            <w:right w:val="none" w:sz="0" w:space="0" w:color="auto"/>
          </w:divBdr>
        </w:div>
        <w:div w:id="1396200157">
          <w:marLeft w:val="0"/>
          <w:marRight w:val="0"/>
          <w:marTop w:val="0"/>
          <w:marBottom w:val="0"/>
          <w:divBdr>
            <w:top w:val="none" w:sz="0" w:space="0" w:color="auto"/>
            <w:left w:val="none" w:sz="0" w:space="0" w:color="auto"/>
            <w:bottom w:val="none" w:sz="0" w:space="0" w:color="auto"/>
            <w:right w:val="none" w:sz="0" w:space="0" w:color="auto"/>
          </w:divBdr>
        </w:div>
        <w:div w:id="2011248509">
          <w:marLeft w:val="0"/>
          <w:marRight w:val="0"/>
          <w:marTop w:val="0"/>
          <w:marBottom w:val="0"/>
          <w:divBdr>
            <w:top w:val="none" w:sz="0" w:space="0" w:color="auto"/>
            <w:left w:val="none" w:sz="0" w:space="0" w:color="auto"/>
            <w:bottom w:val="none" w:sz="0" w:space="0" w:color="auto"/>
            <w:right w:val="none" w:sz="0" w:space="0" w:color="auto"/>
          </w:divBdr>
        </w:div>
        <w:div w:id="2097823985">
          <w:marLeft w:val="0"/>
          <w:marRight w:val="0"/>
          <w:marTop w:val="0"/>
          <w:marBottom w:val="0"/>
          <w:divBdr>
            <w:top w:val="none" w:sz="0" w:space="0" w:color="auto"/>
            <w:left w:val="none" w:sz="0" w:space="0" w:color="auto"/>
            <w:bottom w:val="none" w:sz="0" w:space="0" w:color="auto"/>
            <w:right w:val="none" w:sz="0" w:space="0" w:color="auto"/>
          </w:divBdr>
        </w:div>
      </w:divsChild>
    </w:div>
    <w:div w:id="323778748">
      <w:bodyDiv w:val="1"/>
      <w:marLeft w:val="0"/>
      <w:marRight w:val="0"/>
      <w:marTop w:val="0"/>
      <w:marBottom w:val="0"/>
      <w:divBdr>
        <w:top w:val="none" w:sz="0" w:space="0" w:color="auto"/>
        <w:left w:val="none" w:sz="0" w:space="0" w:color="auto"/>
        <w:bottom w:val="none" w:sz="0" w:space="0" w:color="auto"/>
        <w:right w:val="none" w:sz="0" w:space="0" w:color="auto"/>
      </w:divBdr>
      <w:divsChild>
        <w:div w:id="77145051">
          <w:marLeft w:val="0"/>
          <w:marRight w:val="0"/>
          <w:marTop w:val="0"/>
          <w:marBottom w:val="0"/>
          <w:divBdr>
            <w:top w:val="none" w:sz="0" w:space="0" w:color="auto"/>
            <w:left w:val="none" w:sz="0" w:space="0" w:color="auto"/>
            <w:bottom w:val="none" w:sz="0" w:space="0" w:color="auto"/>
            <w:right w:val="none" w:sz="0" w:space="0" w:color="auto"/>
          </w:divBdr>
        </w:div>
        <w:div w:id="276370906">
          <w:marLeft w:val="0"/>
          <w:marRight w:val="0"/>
          <w:marTop w:val="0"/>
          <w:marBottom w:val="0"/>
          <w:divBdr>
            <w:top w:val="none" w:sz="0" w:space="0" w:color="auto"/>
            <w:left w:val="none" w:sz="0" w:space="0" w:color="auto"/>
            <w:bottom w:val="none" w:sz="0" w:space="0" w:color="auto"/>
            <w:right w:val="none" w:sz="0" w:space="0" w:color="auto"/>
          </w:divBdr>
        </w:div>
        <w:div w:id="350037548">
          <w:marLeft w:val="0"/>
          <w:marRight w:val="0"/>
          <w:marTop w:val="0"/>
          <w:marBottom w:val="0"/>
          <w:divBdr>
            <w:top w:val="none" w:sz="0" w:space="0" w:color="auto"/>
            <w:left w:val="none" w:sz="0" w:space="0" w:color="auto"/>
            <w:bottom w:val="none" w:sz="0" w:space="0" w:color="auto"/>
            <w:right w:val="none" w:sz="0" w:space="0" w:color="auto"/>
          </w:divBdr>
        </w:div>
        <w:div w:id="591280820">
          <w:marLeft w:val="0"/>
          <w:marRight w:val="0"/>
          <w:marTop w:val="0"/>
          <w:marBottom w:val="0"/>
          <w:divBdr>
            <w:top w:val="none" w:sz="0" w:space="0" w:color="auto"/>
            <w:left w:val="none" w:sz="0" w:space="0" w:color="auto"/>
            <w:bottom w:val="none" w:sz="0" w:space="0" w:color="auto"/>
            <w:right w:val="none" w:sz="0" w:space="0" w:color="auto"/>
          </w:divBdr>
        </w:div>
        <w:div w:id="1033504919">
          <w:marLeft w:val="0"/>
          <w:marRight w:val="0"/>
          <w:marTop w:val="0"/>
          <w:marBottom w:val="0"/>
          <w:divBdr>
            <w:top w:val="none" w:sz="0" w:space="0" w:color="auto"/>
            <w:left w:val="none" w:sz="0" w:space="0" w:color="auto"/>
            <w:bottom w:val="none" w:sz="0" w:space="0" w:color="auto"/>
            <w:right w:val="none" w:sz="0" w:space="0" w:color="auto"/>
          </w:divBdr>
        </w:div>
        <w:div w:id="1276328063">
          <w:marLeft w:val="0"/>
          <w:marRight w:val="0"/>
          <w:marTop w:val="0"/>
          <w:marBottom w:val="0"/>
          <w:divBdr>
            <w:top w:val="none" w:sz="0" w:space="0" w:color="auto"/>
            <w:left w:val="none" w:sz="0" w:space="0" w:color="auto"/>
            <w:bottom w:val="none" w:sz="0" w:space="0" w:color="auto"/>
            <w:right w:val="none" w:sz="0" w:space="0" w:color="auto"/>
          </w:divBdr>
        </w:div>
        <w:div w:id="1411385844">
          <w:marLeft w:val="0"/>
          <w:marRight w:val="0"/>
          <w:marTop w:val="0"/>
          <w:marBottom w:val="0"/>
          <w:divBdr>
            <w:top w:val="none" w:sz="0" w:space="0" w:color="auto"/>
            <w:left w:val="none" w:sz="0" w:space="0" w:color="auto"/>
            <w:bottom w:val="none" w:sz="0" w:space="0" w:color="auto"/>
            <w:right w:val="none" w:sz="0" w:space="0" w:color="auto"/>
          </w:divBdr>
        </w:div>
        <w:div w:id="1631862264">
          <w:marLeft w:val="0"/>
          <w:marRight w:val="0"/>
          <w:marTop w:val="0"/>
          <w:marBottom w:val="0"/>
          <w:divBdr>
            <w:top w:val="none" w:sz="0" w:space="0" w:color="auto"/>
            <w:left w:val="none" w:sz="0" w:space="0" w:color="auto"/>
            <w:bottom w:val="none" w:sz="0" w:space="0" w:color="auto"/>
            <w:right w:val="none" w:sz="0" w:space="0" w:color="auto"/>
          </w:divBdr>
        </w:div>
        <w:div w:id="1945843484">
          <w:marLeft w:val="0"/>
          <w:marRight w:val="0"/>
          <w:marTop w:val="0"/>
          <w:marBottom w:val="0"/>
          <w:divBdr>
            <w:top w:val="none" w:sz="0" w:space="0" w:color="auto"/>
            <w:left w:val="none" w:sz="0" w:space="0" w:color="auto"/>
            <w:bottom w:val="none" w:sz="0" w:space="0" w:color="auto"/>
            <w:right w:val="none" w:sz="0" w:space="0" w:color="auto"/>
          </w:divBdr>
        </w:div>
        <w:div w:id="2120832914">
          <w:marLeft w:val="0"/>
          <w:marRight w:val="0"/>
          <w:marTop w:val="0"/>
          <w:marBottom w:val="0"/>
          <w:divBdr>
            <w:top w:val="none" w:sz="0" w:space="0" w:color="auto"/>
            <w:left w:val="none" w:sz="0" w:space="0" w:color="auto"/>
            <w:bottom w:val="none" w:sz="0" w:space="0" w:color="auto"/>
            <w:right w:val="none" w:sz="0" w:space="0" w:color="auto"/>
          </w:divBdr>
        </w:div>
      </w:divsChild>
    </w:div>
    <w:div w:id="329909019">
      <w:bodyDiv w:val="1"/>
      <w:marLeft w:val="0"/>
      <w:marRight w:val="0"/>
      <w:marTop w:val="0"/>
      <w:marBottom w:val="0"/>
      <w:divBdr>
        <w:top w:val="none" w:sz="0" w:space="0" w:color="auto"/>
        <w:left w:val="none" w:sz="0" w:space="0" w:color="auto"/>
        <w:bottom w:val="none" w:sz="0" w:space="0" w:color="auto"/>
        <w:right w:val="none" w:sz="0" w:space="0" w:color="auto"/>
      </w:divBdr>
      <w:divsChild>
        <w:div w:id="212891296">
          <w:marLeft w:val="0"/>
          <w:marRight w:val="0"/>
          <w:marTop w:val="0"/>
          <w:marBottom w:val="0"/>
          <w:divBdr>
            <w:top w:val="none" w:sz="0" w:space="0" w:color="auto"/>
            <w:left w:val="none" w:sz="0" w:space="0" w:color="auto"/>
            <w:bottom w:val="none" w:sz="0" w:space="0" w:color="auto"/>
            <w:right w:val="none" w:sz="0" w:space="0" w:color="auto"/>
          </w:divBdr>
        </w:div>
        <w:div w:id="369382146">
          <w:marLeft w:val="0"/>
          <w:marRight w:val="0"/>
          <w:marTop w:val="0"/>
          <w:marBottom w:val="0"/>
          <w:divBdr>
            <w:top w:val="none" w:sz="0" w:space="0" w:color="auto"/>
            <w:left w:val="none" w:sz="0" w:space="0" w:color="auto"/>
            <w:bottom w:val="none" w:sz="0" w:space="0" w:color="auto"/>
            <w:right w:val="none" w:sz="0" w:space="0" w:color="auto"/>
          </w:divBdr>
        </w:div>
        <w:div w:id="1056202375">
          <w:marLeft w:val="0"/>
          <w:marRight w:val="0"/>
          <w:marTop w:val="0"/>
          <w:marBottom w:val="0"/>
          <w:divBdr>
            <w:top w:val="none" w:sz="0" w:space="0" w:color="auto"/>
            <w:left w:val="none" w:sz="0" w:space="0" w:color="auto"/>
            <w:bottom w:val="none" w:sz="0" w:space="0" w:color="auto"/>
            <w:right w:val="none" w:sz="0" w:space="0" w:color="auto"/>
          </w:divBdr>
        </w:div>
        <w:div w:id="1099762523">
          <w:marLeft w:val="0"/>
          <w:marRight w:val="0"/>
          <w:marTop w:val="0"/>
          <w:marBottom w:val="0"/>
          <w:divBdr>
            <w:top w:val="none" w:sz="0" w:space="0" w:color="auto"/>
            <w:left w:val="none" w:sz="0" w:space="0" w:color="auto"/>
            <w:bottom w:val="none" w:sz="0" w:space="0" w:color="auto"/>
            <w:right w:val="none" w:sz="0" w:space="0" w:color="auto"/>
          </w:divBdr>
        </w:div>
        <w:div w:id="2028095601">
          <w:marLeft w:val="0"/>
          <w:marRight w:val="0"/>
          <w:marTop w:val="0"/>
          <w:marBottom w:val="0"/>
          <w:divBdr>
            <w:top w:val="none" w:sz="0" w:space="0" w:color="auto"/>
            <w:left w:val="none" w:sz="0" w:space="0" w:color="auto"/>
            <w:bottom w:val="none" w:sz="0" w:space="0" w:color="auto"/>
            <w:right w:val="none" w:sz="0" w:space="0" w:color="auto"/>
          </w:divBdr>
        </w:div>
      </w:divsChild>
    </w:div>
    <w:div w:id="333729719">
      <w:bodyDiv w:val="1"/>
      <w:marLeft w:val="0"/>
      <w:marRight w:val="0"/>
      <w:marTop w:val="0"/>
      <w:marBottom w:val="0"/>
      <w:divBdr>
        <w:top w:val="none" w:sz="0" w:space="0" w:color="auto"/>
        <w:left w:val="none" w:sz="0" w:space="0" w:color="auto"/>
        <w:bottom w:val="none" w:sz="0" w:space="0" w:color="auto"/>
        <w:right w:val="none" w:sz="0" w:space="0" w:color="auto"/>
      </w:divBdr>
      <w:divsChild>
        <w:div w:id="228537541">
          <w:marLeft w:val="0"/>
          <w:marRight w:val="0"/>
          <w:marTop w:val="0"/>
          <w:marBottom w:val="0"/>
          <w:divBdr>
            <w:top w:val="none" w:sz="0" w:space="0" w:color="auto"/>
            <w:left w:val="none" w:sz="0" w:space="0" w:color="auto"/>
            <w:bottom w:val="none" w:sz="0" w:space="0" w:color="auto"/>
            <w:right w:val="none" w:sz="0" w:space="0" w:color="auto"/>
          </w:divBdr>
        </w:div>
        <w:div w:id="232354709">
          <w:marLeft w:val="0"/>
          <w:marRight w:val="0"/>
          <w:marTop w:val="0"/>
          <w:marBottom w:val="0"/>
          <w:divBdr>
            <w:top w:val="none" w:sz="0" w:space="0" w:color="auto"/>
            <w:left w:val="none" w:sz="0" w:space="0" w:color="auto"/>
            <w:bottom w:val="none" w:sz="0" w:space="0" w:color="auto"/>
            <w:right w:val="none" w:sz="0" w:space="0" w:color="auto"/>
          </w:divBdr>
        </w:div>
        <w:div w:id="659508657">
          <w:marLeft w:val="0"/>
          <w:marRight w:val="0"/>
          <w:marTop w:val="0"/>
          <w:marBottom w:val="0"/>
          <w:divBdr>
            <w:top w:val="none" w:sz="0" w:space="0" w:color="auto"/>
            <w:left w:val="none" w:sz="0" w:space="0" w:color="auto"/>
            <w:bottom w:val="none" w:sz="0" w:space="0" w:color="auto"/>
            <w:right w:val="none" w:sz="0" w:space="0" w:color="auto"/>
          </w:divBdr>
        </w:div>
        <w:div w:id="708339858">
          <w:marLeft w:val="0"/>
          <w:marRight w:val="0"/>
          <w:marTop w:val="0"/>
          <w:marBottom w:val="0"/>
          <w:divBdr>
            <w:top w:val="none" w:sz="0" w:space="0" w:color="auto"/>
            <w:left w:val="none" w:sz="0" w:space="0" w:color="auto"/>
            <w:bottom w:val="none" w:sz="0" w:space="0" w:color="auto"/>
            <w:right w:val="none" w:sz="0" w:space="0" w:color="auto"/>
          </w:divBdr>
          <w:divsChild>
            <w:div w:id="258874480">
              <w:marLeft w:val="0"/>
              <w:marRight w:val="0"/>
              <w:marTop w:val="0"/>
              <w:marBottom w:val="0"/>
              <w:divBdr>
                <w:top w:val="none" w:sz="0" w:space="0" w:color="auto"/>
                <w:left w:val="none" w:sz="0" w:space="0" w:color="auto"/>
                <w:bottom w:val="none" w:sz="0" w:space="0" w:color="auto"/>
                <w:right w:val="none" w:sz="0" w:space="0" w:color="auto"/>
              </w:divBdr>
            </w:div>
            <w:div w:id="341783527">
              <w:marLeft w:val="0"/>
              <w:marRight w:val="0"/>
              <w:marTop w:val="0"/>
              <w:marBottom w:val="0"/>
              <w:divBdr>
                <w:top w:val="none" w:sz="0" w:space="0" w:color="auto"/>
                <w:left w:val="none" w:sz="0" w:space="0" w:color="auto"/>
                <w:bottom w:val="none" w:sz="0" w:space="0" w:color="auto"/>
                <w:right w:val="none" w:sz="0" w:space="0" w:color="auto"/>
              </w:divBdr>
            </w:div>
            <w:div w:id="984622804">
              <w:marLeft w:val="0"/>
              <w:marRight w:val="0"/>
              <w:marTop w:val="0"/>
              <w:marBottom w:val="0"/>
              <w:divBdr>
                <w:top w:val="none" w:sz="0" w:space="0" w:color="auto"/>
                <w:left w:val="none" w:sz="0" w:space="0" w:color="auto"/>
                <w:bottom w:val="none" w:sz="0" w:space="0" w:color="auto"/>
                <w:right w:val="none" w:sz="0" w:space="0" w:color="auto"/>
              </w:divBdr>
            </w:div>
            <w:div w:id="1317413157">
              <w:marLeft w:val="0"/>
              <w:marRight w:val="0"/>
              <w:marTop w:val="0"/>
              <w:marBottom w:val="0"/>
              <w:divBdr>
                <w:top w:val="none" w:sz="0" w:space="0" w:color="auto"/>
                <w:left w:val="none" w:sz="0" w:space="0" w:color="auto"/>
                <w:bottom w:val="none" w:sz="0" w:space="0" w:color="auto"/>
                <w:right w:val="none" w:sz="0" w:space="0" w:color="auto"/>
              </w:divBdr>
            </w:div>
            <w:div w:id="1330937476">
              <w:marLeft w:val="0"/>
              <w:marRight w:val="0"/>
              <w:marTop w:val="0"/>
              <w:marBottom w:val="0"/>
              <w:divBdr>
                <w:top w:val="none" w:sz="0" w:space="0" w:color="auto"/>
                <w:left w:val="none" w:sz="0" w:space="0" w:color="auto"/>
                <w:bottom w:val="none" w:sz="0" w:space="0" w:color="auto"/>
                <w:right w:val="none" w:sz="0" w:space="0" w:color="auto"/>
              </w:divBdr>
            </w:div>
          </w:divsChild>
        </w:div>
        <w:div w:id="1104225572">
          <w:marLeft w:val="0"/>
          <w:marRight w:val="0"/>
          <w:marTop w:val="0"/>
          <w:marBottom w:val="0"/>
          <w:divBdr>
            <w:top w:val="none" w:sz="0" w:space="0" w:color="auto"/>
            <w:left w:val="none" w:sz="0" w:space="0" w:color="auto"/>
            <w:bottom w:val="none" w:sz="0" w:space="0" w:color="auto"/>
            <w:right w:val="none" w:sz="0" w:space="0" w:color="auto"/>
          </w:divBdr>
        </w:div>
        <w:div w:id="1306622915">
          <w:marLeft w:val="0"/>
          <w:marRight w:val="0"/>
          <w:marTop w:val="0"/>
          <w:marBottom w:val="0"/>
          <w:divBdr>
            <w:top w:val="none" w:sz="0" w:space="0" w:color="auto"/>
            <w:left w:val="none" w:sz="0" w:space="0" w:color="auto"/>
            <w:bottom w:val="none" w:sz="0" w:space="0" w:color="auto"/>
            <w:right w:val="none" w:sz="0" w:space="0" w:color="auto"/>
          </w:divBdr>
        </w:div>
        <w:div w:id="1605116165">
          <w:marLeft w:val="0"/>
          <w:marRight w:val="0"/>
          <w:marTop w:val="0"/>
          <w:marBottom w:val="0"/>
          <w:divBdr>
            <w:top w:val="none" w:sz="0" w:space="0" w:color="auto"/>
            <w:left w:val="none" w:sz="0" w:space="0" w:color="auto"/>
            <w:bottom w:val="none" w:sz="0" w:space="0" w:color="auto"/>
            <w:right w:val="none" w:sz="0" w:space="0" w:color="auto"/>
          </w:divBdr>
        </w:div>
      </w:divsChild>
    </w:div>
    <w:div w:id="334765858">
      <w:bodyDiv w:val="1"/>
      <w:marLeft w:val="0"/>
      <w:marRight w:val="0"/>
      <w:marTop w:val="0"/>
      <w:marBottom w:val="0"/>
      <w:divBdr>
        <w:top w:val="none" w:sz="0" w:space="0" w:color="auto"/>
        <w:left w:val="none" w:sz="0" w:space="0" w:color="auto"/>
        <w:bottom w:val="none" w:sz="0" w:space="0" w:color="auto"/>
        <w:right w:val="none" w:sz="0" w:space="0" w:color="auto"/>
      </w:divBdr>
      <w:divsChild>
        <w:div w:id="100300622">
          <w:marLeft w:val="0"/>
          <w:marRight w:val="0"/>
          <w:marTop w:val="0"/>
          <w:marBottom w:val="0"/>
          <w:divBdr>
            <w:top w:val="none" w:sz="0" w:space="0" w:color="auto"/>
            <w:left w:val="none" w:sz="0" w:space="0" w:color="auto"/>
            <w:bottom w:val="none" w:sz="0" w:space="0" w:color="auto"/>
            <w:right w:val="none" w:sz="0" w:space="0" w:color="auto"/>
          </w:divBdr>
        </w:div>
        <w:div w:id="647439873">
          <w:marLeft w:val="0"/>
          <w:marRight w:val="0"/>
          <w:marTop w:val="0"/>
          <w:marBottom w:val="0"/>
          <w:divBdr>
            <w:top w:val="none" w:sz="0" w:space="0" w:color="auto"/>
            <w:left w:val="none" w:sz="0" w:space="0" w:color="auto"/>
            <w:bottom w:val="none" w:sz="0" w:space="0" w:color="auto"/>
            <w:right w:val="none" w:sz="0" w:space="0" w:color="auto"/>
          </w:divBdr>
        </w:div>
        <w:div w:id="1092118340">
          <w:marLeft w:val="0"/>
          <w:marRight w:val="0"/>
          <w:marTop w:val="0"/>
          <w:marBottom w:val="0"/>
          <w:divBdr>
            <w:top w:val="none" w:sz="0" w:space="0" w:color="auto"/>
            <w:left w:val="none" w:sz="0" w:space="0" w:color="auto"/>
            <w:bottom w:val="none" w:sz="0" w:space="0" w:color="auto"/>
            <w:right w:val="none" w:sz="0" w:space="0" w:color="auto"/>
          </w:divBdr>
        </w:div>
        <w:div w:id="1212689550">
          <w:marLeft w:val="0"/>
          <w:marRight w:val="0"/>
          <w:marTop w:val="0"/>
          <w:marBottom w:val="0"/>
          <w:divBdr>
            <w:top w:val="none" w:sz="0" w:space="0" w:color="auto"/>
            <w:left w:val="none" w:sz="0" w:space="0" w:color="auto"/>
            <w:bottom w:val="none" w:sz="0" w:space="0" w:color="auto"/>
            <w:right w:val="none" w:sz="0" w:space="0" w:color="auto"/>
          </w:divBdr>
        </w:div>
        <w:div w:id="1772050221">
          <w:marLeft w:val="0"/>
          <w:marRight w:val="0"/>
          <w:marTop w:val="0"/>
          <w:marBottom w:val="0"/>
          <w:divBdr>
            <w:top w:val="none" w:sz="0" w:space="0" w:color="auto"/>
            <w:left w:val="none" w:sz="0" w:space="0" w:color="auto"/>
            <w:bottom w:val="none" w:sz="0" w:space="0" w:color="auto"/>
            <w:right w:val="none" w:sz="0" w:space="0" w:color="auto"/>
          </w:divBdr>
        </w:div>
      </w:divsChild>
    </w:div>
    <w:div w:id="336621223">
      <w:bodyDiv w:val="1"/>
      <w:marLeft w:val="0"/>
      <w:marRight w:val="0"/>
      <w:marTop w:val="0"/>
      <w:marBottom w:val="0"/>
      <w:divBdr>
        <w:top w:val="none" w:sz="0" w:space="0" w:color="auto"/>
        <w:left w:val="none" w:sz="0" w:space="0" w:color="auto"/>
        <w:bottom w:val="none" w:sz="0" w:space="0" w:color="auto"/>
        <w:right w:val="none" w:sz="0" w:space="0" w:color="auto"/>
      </w:divBdr>
      <w:divsChild>
        <w:div w:id="749154670">
          <w:marLeft w:val="0"/>
          <w:marRight w:val="0"/>
          <w:marTop w:val="0"/>
          <w:marBottom w:val="0"/>
          <w:divBdr>
            <w:top w:val="none" w:sz="0" w:space="0" w:color="auto"/>
            <w:left w:val="none" w:sz="0" w:space="0" w:color="auto"/>
            <w:bottom w:val="none" w:sz="0" w:space="0" w:color="auto"/>
            <w:right w:val="none" w:sz="0" w:space="0" w:color="auto"/>
          </w:divBdr>
        </w:div>
        <w:div w:id="1128472511">
          <w:marLeft w:val="0"/>
          <w:marRight w:val="0"/>
          <w:marTop w:val="0"/>
          <w:marBottom w:val="0"/>
          <w:divBdr>
            <w:top w:val="none" w:sz="0" w:space="0" w:color="auto"/>
            <w:left w:val="none" w:sz="0" w:space="0" w:color="auto"/>
            <w:bottom w:val="none" w:sz="0" w:space="0" w:color="auto"/>
            <w:right w:val="none" w:sz="0" w:space="0" w:color="auto"/>
          </w:divBdr>
        </w:div>
        <w:div w:id="1371147040">
          <w:marLeft w:val="0"/>
          <w:marRight w:val="0"/>
          <w:marTop w:val="0"/>
          <w:marBottom w:val="0"/>
          <w:divBdr>
            <w:top w:val="none" w:sz="0" w:space="0" w:color="auto"/>
            <w:left w:val="none" w:sz="0" w:space="0" w:color="auto"/>
            <w:bottom w:val="none" w:sz="0" w:space="0" w:color="auto"/>
            <w:right w:val="none" w:sz="0" w:space="0" w:color="auto"/>
          </w:divBdr>
          <w:divsChild>
            <w:div w:id="132866687">
              <w:marLeft w:val="0"/>
              <w:marRight w:val="0"/>
              <w:marTop w:val="0"/>
              <w:marBottom w:val="0"/>
              <w:divBdr>
                <w:top w:val="none" w:sz="0" w:space="0" w:color="auto"/>
                <w:left w:val="none" w:sz="0" w:space="0" w:color="auto"/>
                <w:bottom w:val="none" w:sz="0" w:space="0" w:color="auto"/>
                <w:right w:val="none" w:sz="0" w:space="0" w:color="auto"/>
              </w:divBdr>
            </w:div>
            <w:div w:id="1215191022">
              <w:marLeft w:val="0"/>
              <w:marRight w:val="0"/>
              <w:marTop w:val="0"/>
              <w:marBottom w:val="0"/>
              <w:divBdr>
                <w:top w:val="none" w:sz="0" w:space="0" w:color="auto"/>
                <w:left w:val="none" w:sz="0" w:space="0" w:color="auto"/>
                <w:bottom w:val="none" w:sz="0" w:space="0" w:color="auto"/>
                <w:right w:val="none" w:sz="0" w:space="0" w:color="auto"/>
              </w:divBdr>
            </w:div>
            <w:div w:id="1369843370">
              <w:marLeft w:val="0"/>
              <w:marRight w:val="0"/>
              <w:marTop w:val="0"/>
              <w:marBottom w:val="0"/>
              <w:divBdr>
                <w:top w:val="none" w:sz="0" w:space="0" w:color="auto"/>
                <w:left w:val="none" w:sz="0" w:space="0" w:color="auto"/>
                <w:bottom w:val="none" w:sz="0" w:space="0" w:color="auto"/>
                <w:right w:val="none" w:sz="0" w:space="0" w:color="auto"/>
              </w:divBdr>
            </w:div>
            <w:div w:id="1417634044">
              <w:marLeft w:val="0"/>
              <w:marRight w:val="0"/>
              <w:marTop w:val="0"/>
              <w:marBottom w:val="0"/>
              <w:divBdr>
                <w:top w:val="none" w:sz="0" w:space="0" w:color="auto"/>
                <w:left w:val="none" w:sz="0" w:space="0" w:color="auto"/>
                <w:bottom w:val="none" w:sz="0" w:space="0" w:color="auto"/>
                <w:right w:val="none" w:sz="0" w:space="0" w:color="auto"/>
              </w:divBdr>
            </w:div>
            <w:div w:id="1944681547">
              <w:marLeft w:val="0"/>
              <w:marRight w:val="0"/>
              <w:marTop w:val="0"/>
              <w:marBottom w:val="0"/>
              <w:divBdr>
                <w:top w:val="none" w:sz="0" w:space="0" w:color="auto"/>
                <w:left w:val="none" w:sz="0" w:space="0" w:color="auto"/>
                <w:bottom w:val="none" w:sz="0" w:space="0" w:color="auto"/>
                <w:right w:val="none" w:sz="0" w:space="0" w:color="auto"/>
              </w:divBdr>
            </w:div>
          </w:divsChild>
        </w:div>
        <w:div w:id="1540043264">
          <w:marLeft w:val="0"/>
          <w:marRight w:val="0"/>
          <w:marTop w:val="0"/>
          <w:marBottom w:val="0"/>
          <w:divBdr>
            <w:top w:val="none" w:sz="0" w:space="0" w:color="auto"/>
            <w:left w:val="none" w:sz="0" w:space="0" w:color="auto"/>
            <w:bottom w:val="none" w:sz="0" w:space="0" w:color="auto"/>
            <w:right w:val="none" w:sz="0" w:space="0" w:color="auto"/>
          </w:divBdr>
        </w:div>
        <w:div w:id="1552644101">
          <w:marLeft w:val="0"/>
          <w:marRight w:val="0"/>
          <w:marTop w:val="0"/>
          <w:marBottom w:val="0"/>
          <w:divBdr>
            <w:top w:val="none" w:sz="0" w:space="0" w:color="auto"/>
            <w:left w:val="none" w:sz="0" w:space="0" w:color="auto"/>
            <w:bottom w:val="none" w:sz="0" w:space="0" w:color="auto"/>
            <w:right w:val="none" w:sz="0" w:space="0" w:color="auto"/>
          </w:divBdr>
          <w:divsChild>
            <w:div w:id="733969119">
              <w:marLeft w:val="0"/>
              <w:marRight w:val="0"/>
              <w:marTop w:val="0"/>
              <w:marBottom w:val="0"/>
              <w:divBdr>
                <w:top w:val="none" w:sz="0" w:space="0" w:color="auto"/>
                <w:left w:val="none" w:sz="0" w:space="0" w:color="auto"/>
                <w:bottom w:val="none" w:sz="0" w:space="0" w:color="auto"/>
                <w:right w:val="none" w:sz="0" w:space="0" w:color="auto"/>
              </w:divBdr>
            </w:div>
            <w:div w:id="1507745796">
              <w:marLeft w:val="0"/>
              <w:marRight w:val="0"/>
              <w:marTop w:val="0"/>
              <w:marBottom w:val="0"/>
              <w:divBdr>
                <w:top w:val="none" w:sz="0" w:space="0" w:color="auto"/>
                <w:left w:val="none" w:sz="0" w:space="0" w:color="auto"/>
                <w:bottom w:val="none" w:sz="0" w:space="0" w:color="auto"/>
                <w:right w:val="none" w:sz="0" w:space="0" w:color="auto"/>
              </w:divBdr>
            </w:div>
            <w:div w:id="2104841723">
              <w:marLeft w:val="0"/>
              <w:marRight w:val="0"/>
              <w:marTop w:val="0"/>
              <w:marBottom w:val="0"/>
              <w:divBdr>
                <w:top w:val="none" w:sz="0" w:space="0" w:color="auto"/>
                <w:left w:val="none" w:sz="0" w:space="0" w:color="auto"/>
                <w:bottom w:val="none" w:sz="0" w:space="0" w:color="auto"/>
                <w:right w:val="none" w:sz="0" w:space="0" w:color="auto"/>
              </w:divBdr>
            </w:div>
          </w:divsChild>
        </w:div>
        <w:div w:id="1734426396">
          <w:marLeft w:val="0"/>
          <w:marRight w:val="0"/>
          <w:marTop w:val="0"/>
          <w:marBottom w:val="0"/>
          <w:divBdr>
            <w:top w:val="none" w:sz="0" w:space="0" w:color="auto"/>
            <w:left w:val="none" w:sz="0" w:space="0" w:color="auto"/>
            <w:bottom w:val="none" w:sz="0" w:space="0" w:color="auto"/>
            <w:right w:val="none" w:sz="0" w:space="0" w:color="auto"/>
          </w:divBdr>
        </w:div>
      </w:divsChild>
    </w:div>
    <w:div w:id="370349440">
      <w:bodyDiv w:val="1"/>
      <w:marLeft w:val="0"/>
      <w:marRight w:val="0"/>
      <w:marTop w:val="0"/>
      <w:marBottom w:val="0"/>
      <w:divBdr>
        <w:top w:val="none" w:sz="0" w:space="0" w:color="auto"/>
        <w:left w:val="none" w:sz="0" w:space="0" w:color="auto"/>
        <w:bottom w:val="none" w:sz="0" w:space="0" w:color="auto"/>
        <w:right w:val="none" w:sz="0" w:space="0" w:color="auto"/>
      </w:divBdr>
      <w:divsChild>
        <w:div w:id="127749977">
          <w:marLeft w:val="0"/>
          <w:marRight w:val="0"/>
          <w:marTop w:val="0"/>
          <w:marBottom w:val="0"/>
          <w:divBdr>
            <w:top w:val="none" w:sz="0" w:space="0" w:color="auto"/>
            <w:left w:val="none" w:sz="0" w:space="0" w:color="auto"/>
            <w:bottom w:val="none" w:sz="0" w:space="0" w:color="auto"/>
            <w:right w:val="none" w:sz="0" w:space="0" w:color="auto"/>
          </w:divBdr>
        </w:div>
        <w:div w:id="1118718108">
          <w:marLeft w:val="0"/>
          <w:marRight w:val="0"/>
          <w:marTop w:val="0"/>
          <w:marBottom w:val="0"/>
          <w:divBdr>
            <w:top w:val="none" w:sz="0" w:space="0" w:color="auto"/>
            <w:left w:val="none" w:sz="0" w:space="0" w:color="auto"/>
            <w:bottom w:val="none" w:sz="0" w:space="0" w:color="auto"/>
            <w:right w:val="none" w:sz="0" w:space="0" w:color="auto"/>
          </w:divBdr>
        </w:div>
        <w:div w:id="1512405971">
          <w:marLeft w:val="0"/>
          <w:marRight w:val="0"/>
          <w:marTop w:val="0"/>
          <w:marBottom w:val="0"/>
          <w:divBdr>
            <w:top w:val="none" w:sz="0" w:space="0" w:color="auto"/>
            <w:left w:val="none" w:sz="0" w:space="0" w:color="auto"/>
            <w:bottom w:val="none" w:sz="0" w:space="0" w:color="auto"/>
            <w:right w:val="none" w:sz="0" w:space="0" w:color="auto"/>
          </w:divBdr>
        </w:div>
        <w:div w:id="1728383455">
          <w:marLeft w:val="0"/>
          <w:marRight w:val="0"/>
          <w:marTop w:val="0"/>
          <w:marBottom w:val="0"/>
          <w:divBdr>
            <w:top w:val="none" w:sz="0" w:space="0" w:color="auto"/>
            <w:left w:val="none" w:sz="0" w:space="0" w:color="auto"/>
            <w:bottom w:val="none" w:sz="0" w:space="0" w:color="auto"/>
            <w:right w:val="none" w:sz="0" w:space="0" w:color="auto"/>
          </w:divBdr>
        </w:div>
        <w:div w:id="1800757702">
          <w:marLeft w:val="0"/>
          <w:marRight w:val="0"/>
          <w:marTop w:val="0"/>
          <w:marBottom w:val="0"/>
          <w:divBdr>
            <w:top w:val="none" w:sz="0" w:space="0" w:color="auto"/>
            <w:left w:val="none" w:sz="0" w:space="0" w:color="auto"/>
            <w:bottom w:val="none" w:sz="0" w:space="0" w:color="auto"/>
            <w:right w:val="none" w:sz="0" w:space="0" w:color="auto"/>
          </w:divBdr>
        </w:div>
      </w:divsChild>
    </w:div>
    <w:div w:id="373894086">
      <w:bodyDiv w:val="1"/>
      <w:marLeft w:val="0"/>
      <w:marRight w:val="0"/>
      <w:marTop w:val="0"/>
      <w:marBottom w:val="0"/>
      <w:divBdr>
        <w:top w:val="none" w:sz="0" w:space="0" w:color="auto"/>
        <w:left w:val="none" w:sz="0" w:space="0" w:color="auto"/>
        <w:bottom w:val="none" w:sz="0" w:space="0" w:color="auto"/>
        <w:right w:val="none" w:sz="0" w:space="0" w:color="auto"/>
      </w:divBdr>
      <w:divsChild>
        <w:div w:id="281812015">
          <w:marLeft w:val="0"/>
          <w:marRight w:val="0"/>
          <w:marTop w:val="0"/>
          <w:marBottom w:val="0"/>
          <w:divBdr>
            <w:top w:val="none" w:sz="0" w:space="0" w:color="auto"/>
            <w:left w:val="none" w:sz="0" w:space="0" w:color="auto"/>
            <w:bottom w:val="none" w:sz="0" w:space="0" w:color="auto"/>
            <w:right w:val="none" w:sz="0" w:space="0" w:color="auto"/>
          </w:divBdr>
        </w:div>
        <w:div w:id="765224833">
          <w:marLeft w:val="0"/>
          <w:marRight w:val="0"/>
          <w:marTop w:val="0"/>
          <w:marBottom w:val="0"/>
          <w:divBdr>
            <w:top w:val="none" w:sz="0" w:space="0" w:color="auto"/>
            <w:left w:val="none" w:sz="0" w:space="0" w:color="auto"/>
            <w:bottom w:val="none" w:sz="0" w:space="0" w:color="auto"/>
            <w:right w:val="none" w:sz="0" w:space="0" w:color="auto"/>
          </w:divBdr>
        </w:div>
        <w:div w:id="1094206328">
          <w:marLeft w:val="0"/>
          <w:marRight w:val="0"/>
          <w:marTop w:val="0"/>
          <w:marBottom w:val="0"/>
          <w:divBdr>
            <w:top w:val="none" w:sz="0" w:space="0" w:color="auto"/>
            <w:left w:val="none" w:sz="0" w:space="0" w:color="auto"/>
            <w:bottom w:val="none" w:sz="0" w:space="0" w:color="auto"/>
            <w:right w:val="none" w:sz="0" w:space="0" w:color="auto"/>
          </w:divBdr>
        </w:div>
        <w:div w:id="1459493964">
          <w:marLeft w:val="0"/>
          <w:marRight w:val="0"/>
          <w:marTop w:val="0"/>
          <w:marBottom w:val="0"/>
          <w:divBdr>
            <w:top w:val="none" w:sz="0" w:space="0" w:color="auto"/>
            <w:left w:val="none" w:sz="0" w:space="0" w:color="auto"/>
            <w:bottom w:val="none" w:sz="0" w:space="0" w:color="auto"/>
            <w:right w:val="none" w:sz="0" w:space="0" w:color="auto"/>
          </w:divBdr>
        </w:div>
        <w:div w:id="1895851183">
          <w:marLeft w:val="0"/>
          <w:marRight w:val="0"/>
          <w:marTop w:val="0"/>
          <w:marBottom w:val="0"/>
          <w:divBdr>
            <w:top w:val="none" w:sz="0" w:space="0" w:color="auto"/>
            <w:left w:val="none" w:sz="0" w:space="0" w:color="auto"/>
            <w:bottom w:val="none" w:sz="0" w:space="0" w:color="auto"/>
            <w:right w:val="none" w:sz="0" w:space="0" w:color="auto"/>
          </w:divBdr>
        </w:div>
      </w:divsChild>
    </w:div>
    <w:div w:id="376397687">
      <w:bodyDiv w:val="1"/>
      <w:marLeft w:val="0"/>
      <w:marRight w:val="0"/>
      <w:marTop w:val="0"/>
      <w:marBottom w:val="0"/>
      <w:divBdr>
        <w:top w:val="none" w:sz="0" w:space="0" w:color="auto"/>
        <w:left w:val="none" w:sz="0" w:space="0" w:color="auto"/>
        <w:bottom w:val="none" w:sz="0" w:space="0" w:color="auto"/>
        <w:right w:val="none" w:sz="0" w:space="0" w:color="auto"/>
      </w:divBdr>
      <w:divsChild>
        <w:div w:id="636837818">
          <w:marLeft w:val="0"/>
          <w:marRight w:val="0"/>
          <w:marTop w:val="0"/>
          <w:marBottom w:val="0"/>
          <w:divBdr>
            <w:top w:val="none" w:sz="0" w:space="0" w:color="auto"/>
            <w:left w:val="none" w:sz="0" w:space="0" w:color="auto"/>
            <w:bottom w:val="none" w:sz="0" w:space="0" w:color="auto"/>
            <w:right w:val="none" w:sz="0" w:space="0" w:color="auto"/>
          </w:divBdr>
        </w:div>
        <w:div w:id="1430613929">
          <w:marLeft w:val="0"/>
          <w:marRight w:val="0"/>
          <w:marTop w:val="0"/>
          <w:marBottom w:val="0"/>
          <w:divBdr>
            <w:top w:val="none" w:sz="0" w:space="0" w:color="auto"/>
            <w:left w:val="none" w:sz="0" w:space="0" w:color="auto"/>
            <w:bottom w:val="none" w:sz="0" w:space="0" w:color="auto"/>
            <w:right w:val="none" w:sz="0" w:space="0" w:color="auto"/>
          </w:divBdr>
        </w:div>
      </w:divsChild>
    </w:div>
    <w:div w:id="397097075">
      <w:bodyDiv w:val="1"/>
      <w:marLeft w:val="0"/>
      <w:marRight w:val="0"/>
      <w:marTop w:val="0"/>
      <w:marBottom w:val="0"/>
      <w:divBdr>
        <w:top w:val="none" w:sz="0" w:space="0" w:color="auto"/>
        <w:left w:val="none" w:sz="0" w:space="0" w:color="auto"/>
        <w:bottom w:val="none" w:sz="0" w:space="0" w:color="auto"/>
        <w:right w:val="none" w:sz="0" w:space="0" w:color="auto"/>
      </w:divBdr>
      <w:divsChild>
        <w:div w:id="89157297">
          <w:marLeft w:val="0"/>
          <w:marRight w:val="0"/>
          <w:marTop w:val="0"/>
          <w:marBottom w:val="0"/>
          <w:divBdr>
            <w:top w:val="none" w:sz="0" w:space="0" w:color="auto"/>
            <w:left w:val="none" w:sz="0" w:space="0" w:color="auto"/>
            <w:bottom w:val="none" w:sz="0" w:space="0" w:color="auto"/>
            <w:right w:val="none" w:sz="0" w:space="0" w:color="auto"/>
          </w:divBdr>
        </w:div>
        <w:div w:id="812065122">
          <w:marLeft w:val="0"/>
          <w:marRight w:val="0"/>
          <w:marTop w:val="0"/>
          <w:marBottom w:val="0"/>
          <w:divBdr>
            <w:top w:val="none" w:sz="0" w:space="0" w:color="auto"/>
            <w:left w:val="none" w:sz="0" w:space="0" w:color="auto"/>
            <w:bottom w:val="none" w:sz="0" w:space="0" w:color="auto"/>
            <w:right w:val="none" w:sz="0" w:space="0" w:color="auto"/>
          </w:divBdr>
        </w:div>
        <w:div w:id="851142434">
          <w:marLeft w:val="0"/>
          <w:marRight w:val="0"/>
          <w:marTop w:val="0"/>
          <w:marBottom w:val="0"/>
          <w:divBdr>
            <w:top w:val="none" w:sz="0" w:space="0" w:color="auto"/>
            <w:left w:val="none" w:sz="0" w:space="0" w:color="auto"/>
            <w:bottom w:val="none" w:sz="0" w:space="0" w:color="auto"/>
            <w:right w:val="none" w:sz="0" w:space="0" w:color="auto"/>
          </w:divBdr>
        </w:div>
        <w:div w:id="1156460048">
          <w:marLeft w:val="0"/>
          <w:marRight w:val="0"/>
          <w:marTop w:val="0"/>
          <w:marBottom w:val="0"/>
          <w:divBdr>
            <w:top w:val="none" w:sz="0" w:space="0" w:color="auto"/>
            <w:left w:val="none" w:sz="0" w:space="0" w:color="auto"/>
            <w:bottom w:val="none" w:sz="0" w:space="0" w:color="auto"/>
            <w:right w:val="none" w:sz="0" w:space="0" w:color="auto"/>
          </w:divBdr>
        </w:div>
        <w:div w:id="1510755005">
          <w:marLeft w:val="0"/>
          <w:marRight w:val="0"/>
          <w:marTop w:val="0"/>
          <w:marBottom w:val="0"/>
          <w:divBdr>
            <w:top w:val="none" w:sz="0" w:space="0" w:color="auto"/>
            <w:left w:val="none" w:sz="0" w:space="0" w:color="auto"/>
            <w:bottom w:val="none" w:sz="0" w:space="0" w:color="auto"/>
            <w:right w:val="none" w:sz="0" w:space="0" w:color="auto"/>
          </w:divBdr>
        </w:div>
        <w:div w:id="1540510568">
          <w:marLeft w:val="0"/>
          <w:marRight w:val="0"/>
          <w:marTop w:val="0"/>
          <w:marBottom w:val="0"/>
          <w:divBdr>
            <w:top w:val="none" w:sz="0" w:space="0" w:color="auto"/>
            <w:left w:val="none" w:sz="0" w:space="0" w:color="auto"/>
            <w:bottom w:val="none" w:sz="0" w:space="0" w:color="auto"/>
            <w:right w:val="none" w:sz="0" w:space="0" w:color="auto"/>
          </w:divBdr>
        </w:div>
        <w:div w:id="1581326048">
          <w:marLeft w:val="0"/>
          <w:marRight w:val="0"/>
          <w:marTop w:val="0"/>
          <w:marBottom w:val="0"/>
          <w:divBdr>
            <w:top w:val="none" w:sz="0" w:space="0" w:color="auto"/>
            <w:left w:val="none" w:sz="0" w:space="0" w:color="auto"/>
            <w:bottom w:val="none" w:sz="0" w:space="0" w:color="auto"/>
            <w:right w:val="none" w:sz="0" w:space="0" w:color="auto"/>
          </w:divBdr>
        </w:div>
        <w:div w:id="1690178243">
          <w:marLeft w:val="0"/>
          <w:marRight w:val="0"/>
          <w:marTop w:val="0"/>
          <w:marBottom w:val="0"/>
          <w:divBdr>
            <w:top w:val="none" w:sz="0" w:space="0" w:color="auto"/>
            <w:left w:val="none" w:sz="0" w:space="0" w:color="auto"/>
            <w:bottom w:val="none" w:sz="0" w:space="0" w:color="auto"/>
            <w:right w:val="none" w:sz="0" w:space="0" w:color="auto"/>
          </w:divBdr>
        </w:div>
        <w:div w:id="1704280955">
          <w:marLeft w:val="0"/>
          <w:marRight w:val="0"/>
          <w:marTop w:val="0"/>
          <w:marBottom w:val="0"/>
          <w:divBdr>
            <w:top w:val="none" w:sz="0" w:space="0" w:color="auto"/>
            <w:left w:val="none" w:sz="0" w:space="0" w:color="auto"/>
            <w:bottom w:val="none" w:sz="0" w:space="0" w:color="auto"/>
            <w:right w:val="none" w:sz="0" w:space="0" w:color="auto"/>
          </w:divBdr>
        </w:div>
      </w:divsChild>
    </w:div>
    <w:div w:id="401759899">
      <w:bodyDiv w:val="1"/>
      <w:marLeft w:val="0"/>
      <w:marRight w:val="0"/>
      <w:marTop w:val="0"/>
      <w:marBottom w:val="0"/>
      <w:divBdr>
        <w:top w:val="none" w:sz="0" w:space="0" w:color="auto"/>
        <w:left w:val="none" w:sz="0" w:space="0" w:color="auto"/>
        <w:bottom w:val="none" w:sz="0" w:space="0" w:color="auto"/>
        <w:right w:val="none" w:sz="0" w:space="0" w:color="auto"/>
      </w:divBdr>
      <w:divsChild>
        <w:div w:id="76901311">
          <w:marLeft w:val="0"/>
          <w:marRight w:val="0"/>
          <w:marTop w:val="0"/>
          <w:marBottom w:val="0"/>
          <w:divBdr>
            <w:top w:val="none" w:sz="0" w:space="0" w:color="auto"/>
            <w:left w:val="none" w:sz="0" w:space="0" w:color="auto"/>
            <w:bottom w:val="none" w:sz="0" w:space="0" w:color="auto"/>
            <w:right w:val="none" w:sz="0" w:space="0" w:color="auto"/>
          </w:divBdr>
        </w:div>
        <w:div w:id="178013418">
          <w:marLeft w:val="0"/>
          <w:marRight w:val="0"/>
          <w:marTop w:val="0"/>
          <w:marBottom w:val="0"/>
          <w:divBdr>
            <w:top w:val="none" w:sz="0" w:space="0" w:color="auto"/>
            <w:left w:val="none" w:sz="0" w:space="0" w:color="auto"/>
            <w:bottom w:val="none" w:sz="0" w:space="0" w:color="auto"/>
            <w:right w:val="none" w:sz="0" w:space="0" w:color="auto"/>
          </w:divBdr>
        </w:div>
        <w:div w:id="511847292">
          <w:marLeft w:val="0"/>
          <w:marRight w:val="0"/>
          <w:marTop w:val="0"/>
          <w:marBottom w:val="0"/>
          <w:divBdr>
            <w:top w:val="none" w:sz="0" w:space="0" w:color="auto"/>
            <w:left w:val="none" w:sz="0" w:space="0" w:color="auto"/>
            <w:bottom w:val="none" w:sz="0" w:space="0" w:color="auto"/>
            <w:right w:val="none" w:sz="0" w:space="0" w:color="auto"/>
          </w:divBdr>
        </w:div>
        <w:div w:id="516625103">
          <w:marLeft w:val="0"/>
          <w:marRight w:val="0"/>
          <w:marTop w:val="0"/>
          <w:marBottom w:val="0"/>
          <w:divBdr>
            <w:top w:val="none" w:sz="0" w:space="0" w:color="auto"/>
            <w:left w:val="none" w:sz="0" w:space="0" w:color="auto"/>
            <w:bottom w:val="none" w:sz="0" w:space="0" w:color="auto"/>
            <w:right w:val="none" w:sz="0" w:space="0" w:color="auto"/>
          </w:divBdr>
        </w:div>
        <w:div w:id="740059777">
          <w:marLeft w:val="0"/>
          <w:marRight w:val="0"/>
          <w:marTop w:val="0"/>
          <w:marBottom w:val="0"/>
          <w:divBdr>
            <w:top w:val="none" w:sz="0" w:space="0" w:color="auto"/>
            <w:left w:val="none" w:sz="0" w:space="0" w:color="auto"/>
            <w:bottom w:val="none" w:sz="0" w:space="0" w:color="auto"/>
            <w:right w:val="none" w:sz="0" w:space="0" w:color="auto"/>
          </w:divBdr>
        </w:div>
        <w:div w:id="820196459">
          <w:marLeft w:val="0"/>
          <w:marRight w:val="0"/>
          <w:marTop w:val="0"/>
          <w:marBottom w:val="0"/>
          <w:divBdr>
            <w:top w:val="none" w:sz="0" w:space="0" w:color="auto"/>
            <w:left w:val="none" w:sz="0" w:space="0" w:color="auto"/>
            <w:bottom w:val="none" w:sz="0" w:space="0" w:color="auto"/>
            <w:right w:val="none" w:sz="0" w:space="0" w:color="auto"/>
          </w:divBdr>
        </w:div>
        <w:div w:id="918441066">
          <w:marLeft w:val="0"/>
          <w:marRight w:val="0"/>
          <w:marTop w:val="0"/>
          <w:marBottom w:val="0"/>
          <w:divBdr>
            <w:top w:val="none" w:sz="0" w:space="0" w:color="auto"/>
            <w:left w:val="none" w:sz="0" w:space="0" w:color="auto"/>
            <w:bottom w:val="none" w:sz="0" w:space="0" w:color="auto"/>
            <w:right w:val="none" w:sz="0" w:space="0" w:color="auto"/>
          </w:divBdr>
        </w:div>
        <w:div w:id="1439252002">
          <w:marLeft w:val="0"/>
          <w:marRight w:val="0"/>
          <w:marTop w:val="0"/>
          <w:marBottom w:val="0"/>
          <w:divBdr>
            <w:top w:val="none" w:sz="0" w:space="0" w:color="auto"/>
            <w:left w:val="none" w:sz="0" w:space="0" w:color="auto"/>
            <w:bottom w:val="none" w:sz="0" w:space="0" w:color="auto"/>
            <w:right w:val="none" w:sz="0" w:space="0" w:color="auto"/>
          </w:divBdr>
        </w:div>
        <w:div w:id="1459491759">
          <w:marLeft w:val="0"/>
          <w:marRight w:val="0"/>
          <w:marTop w:val="0"/>
          <w:marBottom w:val="0"/>
          <w:divBdr>
            <w:top w:val="none" w:sz="0" w:space="0" w:color="auto"/>
            <w:left w:val="none" w:sz="0" w:space="0" w:color="auto"/>
            <w:bottom w:val="none" w:sz="0" w:space="0" w:color="auto"/>
            <w:right w:val="none" w:sz="0" w:space="0" w:color="auto"/>
          </w:divBdr>
        </w:div>
        <w:div w:id="1567034188">
          <w:marLeft w:val="0"/>
          <w:marRight w:val="0"/>
          <w:marTop w:val="0"/>
          <w:marBottom w:val="0"/>
          <w:divBdr>
            <w:top w:val="none" w:sz="0" w:space="0" w:color="auto"/>
            <w:left w:val="none" w:sz="0" w:space="0" w:color="auto"/>
            <w:bottom w:val="none" w:sz="0" w:space="0" w:color="auto"/>
            <w:right w:val="none" w:sz="0" w:space="0" w:color="auto"/>
          </w:divBdr>
        </w:div>
        <w:div w:id="1567450653">
          <w:marLeft w:val="0"/>
          <w:marRight w:val="0"/>
          <w:marTop w:val="0"/>
          <w:marBottom w:val="0"/>
          <w:divBdr>
            <w:top w:val="none" w:sz="0" w:space="0" w:color="auto"/>
            <w:left w:val="none" w:sz="0" w:space="0" w:color="auto"/>
            <w:bottom w:val="none" w:sz="0" w:space="0" w:color="auto"/>
            <w:right w:val="none" w:sz="0" w:space="0" w:color="auto"/>
          </w:divBdr>
        </w:div>
        <w:div w:id="2106729251">
          <w:marLeft w:val="0"/>
          <w:marRight w:val="0"/>
          <w:marTop w:val="0"/>
          <w:marBottom w:val="0"/>
          <w:divBdr>
            <w:top w:val="none" w:sz="0" w:space="0" w:color="auto"/>
            <w:left w:val="none" w:sz="0" w:space="0" w:color="auto"/>
            <w:bottom w:val="none" w:sz="0" w:space="0" w:color="auto"/>
            <w:right w:val="none" w:sz="0" w:space="0" w:color="auto"/>
          </w:divBdr>
          <w:divsChild>
            <w:div w:id="358629874">
              <w:marLeft w:val="0"/>
              <w:marRight w:val="0"/>
              <w:marTop w:val="0"/>
              <w:marBottom w:val="0"/>
              <w:divBdr>
                <w:top w:val="none" w:sz="0" w:space="0" w:color="auto"/>
                <w:left w:val="none" w:sz="0" w:space="0" w:color="auto"/>
                <w:bottom w:val="none" w:sz="0" w:space="0" w:color="auto"/>
                <w:right w:val="none" w:sz="0" w:space="0" w:color="auto"/>
              </w:divBdr>
            </w:div>
            <w:div w:id="1016268514">
              <w:marLeft w:val="0"/>
              <w:marRight w:val="0"/>
              <w:marTop w:val="0"/>
              <w:marBottom w:val="0"/>
              <w:divBdr>
                <w:top w:val="none" w:sz="0" w:space="0" w:color="auto"/>
                <w:left w:val="none" w:sz="0" w:space="0" w:color="auto"/>
                <w:bottom w:val="none" w:sz="0" w:space="0" w:color="auto"/>
                <w:right w:val="none" w:sz="0" w:space="0" w:color="auto"/>
              </w:divBdr>
            </w:div>
            <w:div w:id="1710228775">
              <w:marLeft w:val="0"/>
              <w:marRight w:val="0"/>
              <w:marTop w:val="0"/>
              <w:marBottom w:val="0"/>
              <w:divBdr>
                <w:top w:val="none" w:sz="0" w:space="0" w:color="auto"/>
                <w:left w:val="none" w:sz="0" w:space="0" w:color="auto"/>
                <w:bottom w:val="none" w:sz="0" w:space="0" w:color="auto"/>
                <w:right w:val="none" w:sz="0" w:space="0" w:color="auto"/>
              </w:divBdr>
            </w:div>
            <w:div w:id="2002192830">
              <w:marLeft w:val="0"/>
              <w:marRight w:val="0"/>
              <w:marTop w:val="0"/>
              <w:marBottom w:val="0"/>
              <w:divBdr>
                <w:top w:val="none" w:sz="0" w:space="0" w:color="auto"/>
                <w:left w:val="none" w:sz="0" w:space="0" w:color="auto"/>
                <w:bottom w:val="none" w:sz="0" w:space="0" w:color="auto"/>
                <w:right w:val="none" w:sz="0" w:space="0" w:color="auto"/>
              </w:divBdr>
            </w:div>
          </w:divsChild>
        </w:div>
        <w:div w:id="2117752827">
          <w:marLeft w:val="0"/>
          <w:marRight w:val="0"/>
          <w:marTop w:val="0"/>
          <w:marBottom w:val="0"/>
          <w:divBdr>
            <w:top w:val="none" w:sz="0" w:space="0" w:color="auto"/>
            <w:left w:val="none" w:sz="0" w:space="0" w:color="auto"/>
            <w:bottom w:val="none" w:sz="0" w:space="0" w:color="auto"/>
            <w:right w:val="none" w:sz="0" w:space="0" w:color="auto"/>
          </w:divBdr>
        </w:div>
      </w:divsChild>
    </w:div>
    <w:div w:id="405886684">
      <w:bodyDiv w:val="1"/>
      <w:marLeft w:val="0"/>
      <w:marRight w:val="0"/>
      <w:marTop w:val="0"/>
      <w:marBottom w:val="0"/>
      <w:divBdr>
        <w:top w:val="none" w:sz="0" w:space="0" w:color="auto"/>
        <w:left w:val="none" w:sz="0" w:space="0" w:color="auto"/>
        <w:bottom w:val="none" w:sz="0" w:space="0" w:color="auto"/>
        <w:right w:val="none" w:sz="0" w:space="0" w:color="auto"/>
      </w:divBdr>
      <w:divsChild>
        <w:div w:id="477670">
          <w:marLeft w:val="0"/>
          <w:marRight w:val="0"/>
          <w:marTop w:val="0"/>
          <w:marBottom w:val="0"/>
          <w:divBdr>
            <w:top w:val="none" w:sz="0" w:space="0" w:color="auto"/>
            <w:left w:val="none" w:sz="0" w:space="0" w:color="auto"/>
            <w:bottom w:val="none" w:sz="0" w:space="0" w:color="auto"/>
            <w:right w:val="none" w:sz="0" w:space="0" w:color="auto"/>
          </w:divBdr>
        </w:div>
        <w:div w:id="285700130">
          <w:marLeft w:val="0"/>
          <w:marRight w:val="0"/>
          <w:marTop w:val="0"/>
          <w:marBottom w:val="0"/>
          <w:divBdr>
            <w:top w:val="none" w:sz="0" w:space="0" w:color="auto"/>
            <w:left w:val="none" w:sz="0" w:space="0" w:color="auto"/>
            <w:bottom w:val="none" w:sz="0" w:space="0" w:color="auto"/>
            <w:right w:val="none" w:sz="0" w:space="0" w:color="auto"/>
          </w:divBdr>
        </w:div>
        <w:div w:id="681663115">
          <w:marLeft w:val="0"/>
          <w:marRight w:val="0"/>
          <w:marTop w:val="0"/>
          <w:marBottom w:val="0"/>
          <w:divBdr>
            <w:top w:val="none" w:sz="0" w:space="0" w:color="auto"/>
            <w:left w:val="none" w:sz="0" w:space="0" w:color="auto"/>
            <w:bottom w:val="none" w:sz="0" w:space="0" w:color="auto"/>
            <w:right w:val="none" w:sz="0" w:space="0" w:color="auto"/>
          </w:divBdr>
        </w:div>
        <w:div w:id="1105032724">
          <w:marLeft w:val="0"/>
          <w:marRight w:val="0"/>
          <w:marTop w:val="0"/>
          <w:marBottom w:val="0"/>
          <w:divBdr>
            <w:top w:val="none" w:sz="0" w:space="0" w:color="auto"/>
            <w:left w:val="none" w:sz="0" w:space="0" w:color="auto"/>
            <w:bottom w:val="none" w:sz="0" w:space="0" w:color="auto"/>
            <w:right w:val="none" w:sz="0" w:space="0" w:color="auto"/>
          </w:divBdr>
        </w:div>
        <w:div w:id="1750156493">
          <w:marLeft w:val="0"/>
          <w:marRight w:val="0"/>
          <w:marTop w:val="0"/>
          <w:marBottom w:val="0"/>
          <w:divBdr>
            <w:top w:val="none" w:sz="0" w:space="0" w:color="auto"/>
            <w:left w:val="none" w:sz="0" w:space="0" w:color="auto"/>
            <w:bottom w:val="none" w:sz="0" w:space="0" w:color="auto"/>
            <w:right w:val="none" w:sz="0" w:space="0" w:color="auto"/>
          </w:divBdr>
        </w:div>
        <w:div w:id="2008971350">
          <w:marLeft w:val="0"/>
          <w:marRight w:val="0"/>
          <w:marTop w:val="0"/>
          <w:marBottom w:val="0"/>
          <w:divBdr>
            <w:top w:val="none" w:sz="0" w:space="0" w:color="auto"/>
            <w:left w:val="none" w:sz="0" w:space="0" w:color="auto"/>
            <w:bottom w:val="none" w:sz="0" w:space="0" w:color="auto"/>
            <w:right w:val="none" w:sz="0" w:space="0" w:color="auto"/>
          </w:divBdr>
        </w:div>
        <w:div w:id="2037071611">
          <w:marLeft w:val="0"/>
          <w:marRight w:val="0"/>
          <w:marTop w:val="0"/>
          <w:marBottom w:val="0"/>
          <w:divBdr>
            <w:top w:val="none" w:sz="0" w:space="0" w:color="auto"/>
            <w:left w:val="none" w:sz="0" w:space="0" w:color="auto"/>
            <w:bottom w:val="none" w:sz="0" w:space="0" w:color="auto"/>
            <w:right w:val="none" w:sz="0" w:space="0" w:color="auto"/>
          </w:divBdr>
        </w:div>
      </w:divsChild>
    </w:div>
    <w:div w:id="417291819">
      <w:bodyDiv w:val="1"/>
      <w:marLeft w:val="0"/>
      <w:marRight w:val="0"/>
      <w:marTop w:val="0"/>
      <w:marBottom w:val="0"/>
      <w:divBdr>
        <w:top w:val="none" w:sz="0" w:space="0" w:color="auto"/>
        <w:left w:val="none" w:sz="0" w:space="0" w:color="auto"/>
        <w:bottom w:val="none" w:sz="0" w:space="0" w:color="auto"/>
        <w:right w:val="none" w:sz="0" w:space="0" w:color="auto"/>
      </w:divBdr>
      <w:divsChild>
        <w:div w:id="321852569">
          <w:marLeft w:val="0"/>
          <w:marRight w:val="0"/>
          <w:marTop w:val="0"/>
          <w:marBottom w:val="0"/>
          <w:divBdr>
            <w:top w:val="none" w:sz="0" w:space="0" w:color="auto"/>
            <w:left w:val="none" w:sz="0" w:space="0" w:color="auto"/>
            <w:bottom w:val="none" w:sz="0" w:space="0" w:color="auto"/>
            <w:right w:val="none" w:sz="0" w:space="0" w:color="auto"/>
          </w:divBdr>
        </w:div>
        <w:div w:id="862205967">
          <w:marLeft w:val="0"/>
          <w:marRight w:val="0"/>
          <w:marTop w:val="0"/>
          <w:marBottom w:val="0"/>
          <w:divBdr>
            <w:top w:val="none" w:sz="0" w:space="0" w:color="auto"/>
            <w:left w:val="none" w:sz="0" w:space="0" w:color="auto"/>
            <w:bottom w:val="none" w:sz="0" w:space="0" w:color="auto"/>
            <w:right w:val="none" w:sz="0" w:space="0" w:color="auto"/>
          </w:divBdr>
        </w:div>
        <w:div w:id="868683274">
          <w:marLeft w:val="0"/>
          <w:marRight w:val="0"/>
          <w:marTop w:val="0"/>
          <w:marBottom w:val="0"/>
          <w:divBdr>
            <w:top w:val="none" w:sz="0" w:space="0" w:color="auto"/>
            <w:left w:val="none" w:sz="0" w:space="0" w:color="auto"/>
            <w:bottom w:val="none" w:sz="0" w:space="0" w:color="auto"/>
            <w:right w:val="none" w:sz="0" w:space="0" w:color="auto"/>
          </w:divBdr>
        </w:div>
        <w:div w:id="985088463">
          <w:marLeft w:val="0"/>
          <w:marRight w:val="0"/>
          <w:marTop w:val="0"/>
          <w:marBottom w:val="0"/>
          <w:divBdr>
            <w:top w:val="none" w:sz="0" w:space="0" w:color="auto"/>
            <w:left w:val="none" w:sz="0" w:space="0" w:color="auto"/>
            <w:bottom w:val="none" w:sz="0" w:space="0" w:color="auto"/>
            <w:right w:val="none" w:sz="0" w:space="0" w:color="auto"/>
          </w:divBdr>
        </w:div>
        <w:div w:id="1129009159">
          <w:marLeft w:val="0"/>
          <w:marRight w:val="0"/>
          <w:marTop w:val="0"/>
          <w:marBottom w:val="0"/>
          <w:divBdr>
            <w:top w:val="none" w:sz="0" w:space="0" w:color="auto"/>
            <w:left w:val="none" w:sz="0" w:space="0" w:color="auto"/>
            <w:bottom w:val="none" w:sz="0" w:space="0" w:color="auto"/>
            <w:right w:val="none" w:sz="0" w:space="0" w:color="auto"/>
          </w:divBdr>
        </w:div>
        <w:div w:id="1357073069">
          <w:marLeft w:val="0"/>
          <w:marRight w:val="0"/>
          <w:marTop w:val="0"/>
          <w:marBottom w:val="0"/>
          <w:divBdr>
            <w:top w:val="none" w:sz="0" w:space="0" w:color="auto"/>
            <w:left w:val="none" w:sz="0" w:space="0" w:color="auto"/>
            <w:bottom w:val="none" w:sz="0" w:space="0" w:color="auto"/>
            <w:right w:val="none" w:sz="0" w:space="0" w:color="auto"/>
          </w:divBdr>
        </w:div>
        <w:div w:id="1610314317">
          <w:marLeft w:val="0"/>
          <w:marRight w:val="0"/>
          <w:marTop w:val="0"/>
          <w:marBottom w:val="0"/>
          <w:divBdr>
            <w:top w:val="none" w:sz="0" w:space="0" w:color="auto"/>
            <w:left w:val="none" w:sz="0" w:space="0" w:color="auto"/>
            <w:bottom w:val="none" w:sz="0" w:space="0" w:color="auto"/>
            <w:right w:val="none" w:sz="0" w:space="0" w:color="auto"/>
          </w:divBdr>
        </w:div>
        <w:div w:id="1740326179">
          <w:marLeft w:val="0"/>
          <w:marRight w:val="0"/>
          <w:marTop w:val="0"/>
          <w:marBottom w:val="0"/>
          <w:divBdr>
            <w:top w:val="none" w:sz="0" w:space="0" w:color="auto"/>
            <w:left w:val="none" w:sz="0" w:space="0" w:color="auto"/>
            <w:bottom w:val="none" w:sz="0" w:space="0" w:color="auto"/>
            <w:right w:val="none" w:sz="0" w:space="0" w:color="auto"/>
          </w:divBdr>
        </w:div>
      </w:divsChild>
    </w:div>
    <w:div w:id="436028835">
      <w:bodyDiv w:val="1"/>
      <w:marLeft w:val="0"/>
      <w:marRight w:val="0"/>
      <w:marTop w:val="0"/>
      <w:marBottom w:val="0"/>
      <w:divBdr>
        <w:top w:val="none" w:sz="0" w:space="0" w:color="auto"/>
        <w:left w:val="none" w:sz="0" w:space="0" w:color="auto"/>
        <w:bottom w:val="none" w:sz="0" w:space="0" w:color="auto"/>
        <w:right w:val="none" w:sz="0" w:space="0" w:color="auto"/>
      </w:divBdr>
      <w:divsChild>
        <w:div w:id="103891020">
          <w:marLeft w:val="0"/>
          <w:marRight w:val="0"/>
          <w:marTop w:val="0"/>
          <w:marBottom w:val="0"/>
          <w:divBdr>
            <w:top w:val="none" w:sz="0" w:space="0" w:color="auto"/>
            <w:left w:val="none" w:sz="0" w:space="0" w:color="auto"/>
            <w:bottom w:val="none" w:sz="0" w:space="0" w:color="auto"/>
            <w:right w:val="none" w:sz="0" w:space="0" w:color="auto"/>
          </w:divBdr>
        </w:div>
        <w:div w:id="450982507">
          <w:marLeft w:val="0"/>
          <w:marRight w:val="0"/>
          <w:marTop w:val="0"/>
          <w:marBottom w:val="0"/>
          <w:divBdr>
            <w:top w:val="none" w:sz="0" w:space="0" w:color="auto"/>
            <w:left w:val="none" w:sz="0" w:space="0" w:color="auto"/>
            <w:bottom w:val="none" w:sz="0" w:space="0" w:color="auto"/>
            <w:right w:val="none" w:sz="0" w:space="0" w:color="auto"/>
          </w:divBdr>
        </w:div>
        <w:div w:id="642854080">
          <w:marLeft w:val="0"/>
          <w:marRight w:val="0"/>
          <w:marTop w:val="0"/>
          <w:marBottom w:val="0"/>
          <w:divBdr>
            <w:top w:val="none" w:sz="0" w:space="0" w:color="auto"/>
            <w:left w:val="none" w:sz="0" w:space="0" w:color="auto"/>
            <w:bottom w:val="none" w:sz="0" w:space="0" w:color="auto"/>
            <w:right w:val="none" w:sz="0" w:space="0" w:color="auto"/>
          </w:divBdr>
        </w:div>
        <w:div w:id="824200428">
          <w:marLeft w:val="0"/>
          <w:marRight w:val="0"/>
          <w:marTop w:val="0"/>
          <w:marBottom w:val="0"/>
          <w:divBdr>
            <w:top w:val="none" w:sz="0" w:space="0" w:color="auto"/>
            <w:left w:val="none" w:sz="0" w:space="0" w:color="auto"/>
            <w:bottom w:val="none" w:sz="0" w:space="0" w:color="auto"/>
            <w:right w:val="none" w:sz="0" w:space="0" w:color="auto"/>
          </w:divBdr>
        </w:div>
        <w:div w:id="1154638369">
          <w:marLeft w:val="0"/>
          <w:marRight w:val="0"/>
          <w:marTop w:val="0"/>
          <w:marBottom w:val="0"/>
          <w:divBdr>
            <w:top w:val="none" w:sz="0" w:space="0" w:color="auto"/>
            <w:left w:val="none" w:sz="0" w:space="0" w:color="auto"/>
            <w:bottom w:val="none" w:sz="0" w:space="0" w:color="auto"/>
            <w:right w:val="none" w:sz="0" w:space="0" w:color="auto"/>
          </w:divBdr>
        </w:div>
        <w:div w:id="1649475938">
          <w:marLeft w:val="0"/>
          <w:marRight w:val="0"/>
          <w:marTop w:val="0"/>
          <w:marBottom w:val="0"/>
          <w:divBdr>
            <w:top w:val="none" w:sz="0" w:space="0" w:color="auto"/>
            <w:left w:val="none" w:sz="0" w:space="0" w:color="auto"/>
            <w:bottom w:val="none" w:sz="0" w:space="0" w:color="auto"/>
            <w:right w:val="none" w:sz="0" w:space="0" w:color="auto"/>
          </w:divBdr>
        </w:div>
        <w:div w:id="2057386642">
          <w:marLeft w:val="0"/>
          <w:marRight w:val="0"/>
          <w:marTop w:val="0"/>
          <w:marBottom w:val="0"/>
          <w:divBdr>
            <w:top w:val="none" w:sz="0" w:space="0" w:color="auto"/>
            <w:left w:val="none" w:sz="0" w:space="0" w:color="auto"/>
            <w:bottom w:val="none" w:sz="0" w:space="0" w:color="auto"/>
            <w:right w:val="none" w:sz="0" w:space="0" w:color="auto"/>
          </w:divBdr>
        </w:div>
      </w:divsChild>
    </w:div>
    <w:div w:id="446509963">
      <w:bodyDiv w:val="1"/>
      <w:marLeft w:val="0"/>
      <w:marRight w:val="0"/>
      <w:marTop w:val="0"/>
      <w:marBottom w:val="0"/>
      <w:divBdr>
        <w:top w:val="none" w:sz="0" w:space="0" w:color="auto"/>
        <w:left w:val="none" w:sz="0" w:space="0" w:color="auto"/>
        <w:bottom w:val="none" w:sz="0" w:space="0" w:color="auto"/>
        <w:right w:val="none" w:sz="0" w:space="0" w:color="auto"/>
      </w:divBdr>
      <w:divsChild>
        <w:div w:id="312372516">
          <w:marLeft w:val="0"/>
          <w:marRight w:val="0"/>
          <w:marTop w:val="0"/>
          <w:marBottom w:val="0"/>
          <w:divBdr>
            <w:top w:val="none" w:sz="0" w:space="0" w:color="auto"/>
            <w:left w:val="none" w:sz="0" w:space="0" w:color="auto"/>
            <w:bottom w:val="none" w:sz="0" w:space="0" w:color="auto"/>
            <w:right w:val="none" w:sz="0" w:space="0" w:color="auto"/>
          </w:divBdr>
          <w:divsChild>
            <w:div w:id="729809756">
              <w:marLeft w:val="0"/>
              <w:marRight w:val="0"/>
              <w:marTop w:val="0"/>
              <w:marBottom w:val="0"/>
              <w:divBdr>
                <w:top w:val="none" w:sz="0" w:space="0" w:color="auto"/>
                <w:left w:val="none" w:sz="0" w:space="0" w:color="auto"/>
                <w:bottom w:val="none" w:sz="0" w:space="0" w:color="auto"/>
                <w:right w:val="none" w:sz="0" w:space="0" w:color="auto"/>
              </w:divBdr>
            </w:div>
            <w:div w:id="1282037109">
              <w:marLeft w:val="0"/>
              <w:marRight w:val="0"/>
              <w:marTop w:val="0"/>
              <w:marBottom w:val="0"/>
              <w:divBdr>
                <w:top w:val="none" w:sz="0" w:space="0" w:color="auto"/>
                <w:left w:val="none" w:sz="0" w:space="0" w:color="auto"/>
                <w:bottom w:val="none" w:sz="0" w:space="0" w:color="auto"/>
                <w:right w:val="none" w:sz="0" w:space="0" w:color="auto"/>
              </w:divBdr>
            </w:div>
            <w:div w:id="1633974044">
              <w:marLeft w:val="0"/>
              <w:marRight w:val="0"/>
              <w:marTop w:val="0"/>
              <w:marBottom w:val="0"/>
              <w:divBdr>
                <w:top w:val="none" w:sz="0" w:space="0" w:color="auto"/>
                <w:left w:val="none" w:sz="0" w:space="0" w:color="auto"/>
                <w:bottom w:val="none" w:sz="0" w:space="0" w:color="auto"/>
                <w:right w:val="none" w:sz="0" w:space="0" w:color="auto"/>
              </w:divBdr>
            </w:div>
            <w:div w:id="1910655966">
              <w:marLeft w:val="0"/>
              <w:marRight w:val="0"/>
              <w:marTop w:val="0"/>
              <w:marBottom w:val="0"/>
              <w:divBdr>
                <w:top w:val="none" w:sz="0" w:space="0" w:color="auto"/>
                <w:left w:val="none" w:sz="0" w:space="0" w:color="auto"/>
                <w:bottom w:val="none" w:sz="0" w:space="0" w:color="auto"/>
                <w:right w:val="none" w:sz="0" w:space="0" w:color="auto"/>
              </w:divBdr>
            </w:div>
          </w:divsChild>
        </w:div>
        <w:div w:id="1049720792">
          <w:marLeft w:val="0"/>
          <w:marRight w:val="0"/>
          <w:marTop w:val="0"/>
          <w:marBottom w:val="0"/>
          <w:divBdr>
            <w:top w:val="none" w:sz="0" w:space="0" w:color="auto"/>
            <w:left w:val="none" w:sz="0" w:space="0" w:color="auto"/>
            <w:bottom w:val="none" w:sz="0" w:space="0" w:color="auto"/>
            <w:right w:val="none" w:sz="0" w:space="0" w:color="auto"/>
          </w:divBdr>
        </w:div>
        <w:div w:id="1255632751">
          <w:marLeft w:val="0"/>
          <w:marRight w:val="0"/>
          <w:marTop w:val="0"/>
          <w:marBottom w:val="0"/>
          <w:divBdr>
            <w:top w:val="none" w:sz="0" w:space="0" w:color="auto"/>
            <w:left w:val="none" w:sz="0" w:space="0" w:color="auto"/>
            <w:bottom w:val="none" w:sz="0" w:space="0" w:color="auto"/>
            <w:right w:val="none" w:sz="0" w:space="0" w:color="auto"/>
          </w:divBdr>
        </w:div>
        <w:div w:id="1985624735">
          <w:marLeft w:val="0"/>
          <w:marRight w:val="0"/>
          <w:marTop w:val="0"/>
          <w:marBottom w:val="0"/>
          <w:divBdr>
            <w:top w:val="none" w:sz="0" w:space="0" w:color="auto"/>
            <w:left w:val="none" w:sz="0" w:space="0" w:color="auto"/>
            <w:bottom w:val="none" w:sz="0" w:space="0" w:color="auto"/>
            <w:right w:val="none" w:sz="0" w:space="0" w:color="auto"/>
          </w:divBdr>
          <w:divsChild>
            <w:div w:id="250310633">
              <w:marLeft w:val="0"/>
              <w:marRight w:val="0"/>
              <w:marTop w:val="0"/>
              <w:marBottom w:val="0"/>
              <w:divBdr>
                <w:top w:val="none" w:sz="0" w:space="0" w:color="auto"/>
                <w:left w:val="none" w:sz="0" w:space="0" w:color="auto"/>
                <w:bottom w:val="none" w:sz="0" w:space="0" w:color="auto"/>
                <w:right w:val="none" w:sz="0" w:space="0" w:color="auto"/>
              </w:divBdr>
            </w:div>
            <w:div w:id="506286404">
              <w:marLeft w:val="0"/>
              <w:marRight w:val="0"/>
              <w:marTop w:val="0"/>
              <w:marBottom w:val="0"/>
              <w:divBdr>
                <w:top w:val="none" w:sz="0" w:space="0" w:color="auto"/>
                <w:left w:val="none" w:sz="0" w:space="0" w:color="auto"/>
                <w:bottom w:val="none" w:sz="0" w:space="0" w:color="auto"/>
                <w:right w:val="none" w:sz="0" w:space="0" w:color="auto"/>
              </w:divBdr>
            </w:div>
            <w:div w:id="534661800">
              <w:marLeft w:val="0"/>
              <w:marRight w:val="0"/>
              <w:marTop w:val="0"/>
              <w:marBottom w:val="0"/>
              <w:divBdr>
                <w:top w:val="none" w:sz="0" w:space="0" w:color="auto"/>
                <w:left w:val="none" w:sz="0" w:space="0" w:color="auto"/>
                <w:bottom w:val="none" w:sz="0" w:space="0" w:color="auto"/>
                <w:right w:val="none" w:sz="0" w:space="0" w:color="auto"/>
              </w:divBdr>
            </w:div>
            <w:div w:id="958756725">
              <w:marLeft w:val="0"/>
              <w:marRight w:val="0"/>
              <w:marTop w:val="0"/>
              <w:marBottom w:val="0"/>
              <w:divBdr>
                <w:top w:val="none" w:sz="0" w:space="0" w:color="auto"/>
                <w:left w:val="none" w:sz="0" w:space="0" w:color="auto"/>
                <w:bottom w:val="none" w:sz="0" w:space="0" w:color="auto"/>
                <w:right w:val="none" w:sz="0" w:space="0" w:color="auto"/>
              </w:divBdr>
            </w:div>
            <w:div w:id="19349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55329">
      <w:bodyDiv w:val="1"/>
      <w:marLeft w:val="0"/>
      <w:marRight w:val="0"/>
      <w:marTop w:val="0"/>
      <w:marBottom w:val="0"/>
      <w:divBdr>
        <w:top w:val="none" w:sz="0" w:space="0" w:color="auto"/>
        <w:left w:val="none" w:sz="0" w:space="0" w:color="auto"/>
        <w:bottom w:val="none" w:sz="0" w:space="0" w:color="auto"/>
        <w:right w:val="none" w:sz="0" w:space="0" w:color="auto"/>
      </w:divBdr>
      <w:divsChild>
        <w:div w:id="35281864">
          <w:marLeft w:val="0"/>
          <w:marRight w:val="0"/>
          <w:marTop w:val="0"/>
          <w:marBottom w:val="0"/>
          <w:divBdr>
            <w:top w:val="none" w:sz="0" w:space="0" w:color="auto"/>
            <w:left w:val="none" w:sz="0" w:space="0" w:color="auto"/>
            <w:bottom w:val="none" w:sz="0" w:space="0" w:color="auto"/>
            <w:right w:val="none" w:sz="0" w:space="0" w:color="auto"/>
          </w:divBdr>
        </w:div>
        <w:div w:id="748649596">
          <w:marLeft w:val="0"/>
          <w:marRight w:val="0"/>
          <w:marTop w:val="0"/>
          <w:marBottom w:val="0"/>
          <w:divBdr>
            <w:top w:val="none" w:sz="0" w:space="0" w:color="auto"/>
            <w:left w:val="none" w:sz="0" w:space="0" w:color="auto"/>
            <w:bottom w:val="none" w:sz="0" w:space="0" w:color="auto"/>
            <w:right w:val="none" w:sz="0" w:space="0" w:color="auto"/>
          </w:divBdr>
        </w:div>
        <w:div w:id="910769990">
          <w:marLeft w:val="0"/>
          <w:marRight w:val="0"/>
          <w:marTop w:val="0"/>
          <w:marBottom w:val="0"/>
          <w:divBdr>
            <w:top w:val="none" w:sz="0" w:space="0" w:color="auto"/>
            <w:left w:val="none" w:sz="0" w:space="0" w:color="auto"/>
            <w:bottom w:val="none" w:sz="0" w:space="0" w:color="auto"/>
            <w:right w:val="none" w:sz="0" w:space="0" w:color="auto"/>
          </w:divBdr>
        </w:div>
        <w:div w:id="1302003744">
          <w:marLeft w:val="0"/>
          <w:marRight w:val="0"/>
          <w:marTop w:val="0"/>
          <w:marBottom w:val="0"/>
          <w:divBdr>
            <w:top w:val="none" w:sz="0" w:space="0" w:color="auto"/>
            <w:left w:val="none" w:sz="0" w:space="0" w:color="auto"/>
            <w:bottom w:val="none" w:sz="0" w:space="0" w:color="auto"/>
            <w:right w:val="none" w:sz="0" w:space="0" w:color="auto"/>
          </w:divBdr>
        </w:div>
        <w:div w:id="1377119138">
          <w:marLeft w:val="0"/>
          <w:marRight w:val="0"/>
          <w:marTop w:val="0"/>
          <w:marBottom w:val="0"/>
          <w:divBdr>
            <w:top w:val="none" w:sz="0" w:space="0" w:color="auto"/>
            <w:left w:val="none" w:sz="0" w:space="0" w:color="auto"/>
            <w:bottom w:val="none" w:sz="0" w:space="0" w:color="auto"/>
            <w:right w:val="none" w:sz="0" w:space="0" w:color="auto"/>
          </w:divBdr>
        </w:div>
        <w:div w:id="1493981381">
          <w:marLeft w:val="0"/>
          <w:marRight w:val="0"/>
          <w:marTop w:val="0"/>
          <w:marBottom w:val="0"/>
          <w:divBdr>
            <w:top w:val="none" w:sz="0" w:space="0" w:color="auto"/>
            <w:left w:val="none" w:sz="0" w:space="0" w:color="auto"/>
            <w:bottom w:val="none" w:sz="0" w:space="0" w:color="auto"/>
            <w:right w:val="none" w:sz="0" w:space="0" w:color="auto"/>
          </w:divBdr>
        </w:div>
      </w:divsChild>
    </w:div>
    <w:div w:id="474372562">
      <w:bodyDiv w:val="1"/>
      <w:marLeft w:val="0"/>
      <w:marRight w:val="0"/>
      <w:marTop w:val="0"/>
      <w:marBottom w:val="0"/>
      <w:divBdr>
        <w:top w:val="none" w:sz="0" w:space="0" w:color="auto"/>
        <w:left w:val="none" w:sz="0" w:space="0" w:color="auto"/>
        <w:bottom w:val="none" w:sz="0" w:space="0" w:color="auto"/>
        <w:right w:val="none" w:sz="0" w:space="0" w:color="auto"/>
      </w:divBdr>
      <w:divsChild>
        <w:div w:id="113138150">
          <w:marLeft w:val="0"/>
          <w:marRight w:val="0"/>
          <w:marTop w:val="0"/>
          <w:marBottom w:val="0"/>
          <w:divBdr>
            <w:top w:val="none" w:sz="0" w:space="0" w:color="auto"/>
            <w:left w:val="none" w:sz="0" w:space="0" w:color="auto"/>
            <w:bottom w:val="none" w:sz="0" w:space="0" w:color="auto"/>
            <w:right w:val="none" w:sz="0" w:space="0" w:color="auto"/>
          </w:divBdr>
        </w:div>
        <w:div w:id="212158474">
          <w:marLeft w:val="0"/>
          <w:marRight w:val="0"/>
          <w:marTop w:val="0"/>
          <w:marBottom w:val="0"/>
          <w:divBdr>
            <w:top w:val="none" w:sz="0" w:space="0" w:color="auto"/>
            <w:left w:val="none" w:sz="0" w:space="0" w:color="auto"/>
            <w:bottom w:val="none" w:sz="0" w:space="0" w:color="auto"/>
            <w:right w:val="none" w:sz="0" w:space="0" w:color="auto"/>
          </w:divBdr>
        </w:div>
        <w:div w:id="537624279">
          <w:marLeft w:val="0"/>
          <w:marRight w:val="0"/>
          <w:marTop w:val="0"/>
          <w:marBottom w:val="0"/>
          <w:divBdr>
            <w:top w:val="none" w:sz="0" w:space="0" w:color="auto"/>
            <w:left w:val="none" w:sz="0" w:space="0" w:color="auto"/>
            <w:bottom w:val="none" w:sz="0" w:space="0" w:color="auto"/>
            <w:right w:val="none" w:sz="0" w:space="0" w:color="auto"/>
          </w:divBdr>
        </w:div>
        <w:div w:id="849106963">
          <w:marLeft w:val="0"/>
          <w:marRight w:val="0"/>
          <w:marTop w:val="0"/>
          <w:marBottom w:val="0"/>
          <w:divBdr>
            <w:top w:val="none" w:sz="0" w:space="0" w:color="auto"/>
            <w:left w:val="none" w:sz="0" w:space="0" w:color="auto"/>
            <w:bottom w:val="none" w:sz="0" w:space="0" w:color="auto"/>
            <w:right w:val="none" w:sz="0" w:space="0" w:color="auto"/>
          </w:divBdr>
        </w:div>
        <w:div w:id="1198784622">
          <w:marLeft w:val="0"/>
          <w:marRight w:val="0"/>
          <w:marTop w:val="0"/>
          <w:marBottom w:val="0"/>
          <w:divBdr>
            <w:top w:val="none" w:sz="0" w:space="0" w:color="auto"/>
            <w:left w:val="none" w:sz="0" w:space="0" w:color="auto"/>
            <w:bottom w:val="none" w:sz="0" w:space="0" w:color="auto"/>
            <w:right w:val="none" w:sz="0" w:space="0" w:color="auto"/>
          </w:divBdr>
        </w:div>
        <w:div w:id="1224170788">
          <w:marLeft w:val="0"/>
          <w:marRight w:val="0"/>
          <w:marTop w:val="0"/>
          <w:marBottom w:val="0"/>
          <w:divBdr>
            <w:top w:val="none" w:sz="0" w:space="0" w:color="auto"/>
            <w:left w:val="none" w:sz="0" w:space="0" w:color="auto"/>
            <w:bottom w:val="none" w:sz="0" w:space="0" w:color="auto"/>
            <w:right w:val="none" w:sz="0" w:space="0" w:color="auto"/>
          </w:divBdr>
        </w:div>
        <w:div w:id="1491216153">
          <w:marLeft w:val="0"/>
          <w:marRight w:val="0"/>
          <w:marTop w:val="0"/>
          <w:marBottom w:val="0"/>
          <w:divBdr>
            <w:top w:val="none" w:sz="0" w:space="0" w:color="auto"/>
            <w:left w:val="none" w:sz="0" w:space="0" w:color="auto"/>
            <w:bottom w:val="none" w:sz="0" w:space="0" w:color="auto"/>
            <w:right w:val="none" w:sz="0" w:space="0" w:color="auto"/>
          </w:divBdr>
        </w:div>
        <w:div w:id="1525632899">
          <w:marLeft w:val="0"/>
          <w:marRight w:val="0"/>
          <w:marTop w:val="0"/>
          <w:marBottom w:val="0"/>
          <w:divBdr>
            <w:top w:val="none" w:sz="0" w:space="0" w:color="auto"/>
            <w:left w:val="none" w:sz="0" w:space="0" w:color="auto"/>
            <w:bottom w:val="none" w:sz="0" w:space="0" w:color="auto"/>
            <w:right w:val="none" w:sz="0" w:space="0" w:color="auto"/>
          </w:divBdr>
        </w:div>
        <w:div w:id="1809778461">
          <w:marLeft w:val="0"/>
          <w:marRight w:val="0"/>
          <w:marTop w:val="0"/>
          <w:marBottom w:val="0"/>
          <w:divBdr>
            <w:top w:val="none" w:sz="0" w:space="0" w:color="auto"/>
            <w:left w:val="none" w:sz="0" w:space="0" w:color="auto"/>
            <w:bottom w:val="none" w:sz="0" w:space="0" w:color="auto"/>
            <w:right w:val="none" w:sz="0" w:space="0" w:color="auto"/>
          </w:divBdr>
        </w:div>
        <w:div w:id="1829245775">
          <w:marLeft w:val="0"/>
          <w:marRight w:val="0"/>
          <w:marTop w:val="0"/>
          <w:marBottom w:val="0"/>
          <w:divBdr>
            <w:top w:val="none" w:sz="0" w:space="0" w:color="auto"/>
            <w:left w:val="none" w:sz="0" w:space="0" w:color="auto"/>
            <w:bottom w:val="none" w:sz="0" w:space="0" w:color="auto"/>
            <w:right w:val="none" w:sz="0" w:space="0" w:color="auto"/>
          </w:divBdr>
        </w:div>
        <w:div w:id="1836189538">
          <w:marLeft w:val="0"/>
          <w:marRight w:val="0"/>
          <w:marTop w:val="0"/>
          <w:marBottom w:val="0"/>
          <w:divBdr>
            <w:top w:val="none" w:sz="0" w:space="0" w:color="auto"/>
            <w:left w:val="none" w:sz="0" w:space="0" w:color="auto"/>
            <w:bottom w:val="none" w:sz="0" w:space="0" w:color="auto"/>
            <w:right w:val="none" w:sz="0" w:space="0" w:color="auto"/>
          </w:divBdr>
        </w:div>
        <w:div w:id="1912304936">
          <w:marLeft w:val="0"/>
          <w:marRight w:val="0"/>
          <w:marTop w:val="0"/>
          <w:marBottom w:val="0"/>
          <w:divBdr>
            <w:top w:val="none" w:sz="0" w:space="0" w:color="auto"/>
            <w:left w:val="none" w:sz="0" w:space="0" w:color="auto"/>
            <w:bottom w:val="none" w:sz="0" w:space="0" w:color="auto"/>
            <w:right w:val="none" w:sz="0" w:space="0" w:color="auto"/>
          </w:divBdr>
        </w:div>
        <w:div w:id="1972905323">
          <w:marLeft w:val="0"/>
          <w:marRight w:val="0"/>
          <w:marTop w:val="0"/>
          <w:marBottom w:val="0"/>
          <w:divBdr>
            <w:top w:val="none" w:sz="0" w:space="0" w:color="auto"/>
            <w:left w:val="none" w:sz="0" w:space="0" w:color="auto"/>
            <w:bottom w:val="none" w:sz="0" w:space="0" w:color="auto"/>
            <w:right w:val="none" w:sz="0" w:space="0" w:color="auto"/>
          </w:divBdr>
        </w:div>
        <w:div w:id="1998144252">
          <w:marLeft w:val="0"/>
          <w:marRight w:val="0"/>
          <w:marTop w:val="0"/>
          <w:marBottom w:val="0"/>
          <w:divBdr>
            <w:top w:val="none" w:sz="0" w:space="0" w:color="auto"/>
            <w:left w:val="none" w:sz="0" w:space="0" w:color="auto"/>
            <w:bottom w:val="none" w:sz="0" w:space="0" w:color="auto"/>
            <w:right w:val="none" w:sz="0" w:space="0" w:color="auto"/>
          </w:divBdr>
        </w:div>
        <w:div w:id="2073893572">
          <w:marLeft w:val="0"/>
          <w:marRight w:val="0"/>
          <w:marTop w:val="0"/>
          <w:marBottom w:val="0"/>
          <w:divBdr>
            <w:top w:val="none" w:sz="0" w:space="0" w:color="auto"/>
            <w:left w:val="none" w:sz="0" w:space="0" w:color="auto"/>
            <w:bottom w:val="none" w:sz="0" w:space="0" w:color="auto"/>
            <w:right w:val="none" w:sz="0" w:space="0" w:color="auto"/>
          </w:divBdr>
        </w:div>
        <w:div w:id="2136561076">
          <w:marLeft w:val="0"/>
          <w:marRight w:val="0"/>
          <w:marTop w:val="0"/>
          <w:marBottom w:val="0"/>
          <w:divBdr>
            <w:top w:val="none" w:sz="0" w:space="0" w:color="auto"/>
            <w:left w:val="none" w:sz="0" w:space="0" w:color="auto"/>
            <w:bottom w:val="none" w:sz="0" w:space="0" w:color="auto"/>
            <w:right w:val="none" w:sz="0" w:space="0" w:color="auto"/>
          </w:divBdr>
        </w:div>
      </w:divsChild>
    </w:div>
    <w:div w:id="483544828">
      <w:bodyDiv w:val="1"/>
      <w:marLeft w:val="0"/>
      <w:marRight w:val="0"/>
      <w:marTop w:val="0"/>
      <w:marBottom w:val="0"/>
      <w:divBdr>
        <w:top w:val="none" w:sz="0" w:space="0" w:color="auto"/>
        <w:left w:val="none" w:sz="0" w:space="0" w:color="auto"/>
        <w:bottom w:val="none" w:sz="0" w:space="0" w:color="auto"/>
        <w:right w:val="none" w:sz="0" w:space="0" w:color="auto"/>
      </w:divBdr>
      <w:divsChild>
        <w:div w:id="18898606">
          <w:marLeft w:val="0"/>
          <w:marRight w:val="0"/>
          <w:marTop w:val="0"/>
          <w:marBottom w:val="0"/>
          <w:divBdr>
            <w:top w:val="none" w:sz="0" w:space="0" w:color="auto"/>
            <w:left w:val="none" w:sz="0" w:space="0" w:color="auto"/>
            <w:bottom w:val="none" w:sz="0" w:space="0" w:color="auto"/>
            <w:right w:val="none" w:sz="0" w:space="0" w:color="auto"/>
          </w:divBdr>
        </w:div>
        <w:div w:id="60688077">
          <w:marLeft w:val="0"/>
          <w:marRight w:val="0"/>
          <w:marTop w:val="0"/>
          <w:marBottom w:val="0"/>
          <w:divBdr>
            <w:top w:val="none" w:sz="0" w:space="0" w:color="auto"/>
            <w:left w:val="none" w:sz="0" w:space="0" w:color="auto"/>
            <w:bottom w:val="none" w:sz="0" w:space="0" w:color="auto"/>
            <w:right w:val="none" w:sz="0" w:space="0" w:color="auto"/>
          </w:divBdr>
        </w:div>
        <w:div w:id="375157193">
          <w:marLeft w:val="0"/>
          <w:marRight w:val="0"/>
          <w:marTop w:val="0"/>
          <w:marBottom w:val="0"/>
          <w:divBdr>
            <w:top w:val="none" w:sz="0" w:space="0" w:color="auto"/>
            <w:left w:val="none" w:sz="0" w:space="0" w:color="auto"/>
            <w:bottom w:val="none" w:sz="0" w:space="0" w:color="auto"/>
            <w:right w:val="none" w:sz="0" w:space="0" w:color="auto"/>
          </w:divBdr>
        </w:div>
        <w:div w:id="838932028">
          <w:marLeft w:val="0"/>
          <w:marRight w:val="0"/>
          <w:marTop w:val="0"/>
          <w:marBottom w:val="0"/>
          <w:divBdr>
            <w:top w:val="none" w:sz="0" w:space="0" w:color="auto"/>
            <w:left w:val="none" w:sz="0" w:space="0" w:color="auto"/>
            <w:bottom w:val="none" w:sz="0" w:space="0" w:color="auto"/>
            <w:right w:val="none" w:sz="0" w:space="0" w:color="auto"/>
          </w:divBdr>
        </w:div>
        <w:div w:id="932517672">
          <w:marLeft w:val="0"/>
          <w:marRight w:val="0"/>
          <w:marTop w:val="0"/>
          <w:marBottom w:val="0"/>
          <w:divBdr>
            <w:top w:val="none" w:sz="0" w:space="0" w:color="auto"/>
            <w:left w:val="none" w:sz="0" w:space="0" w:color="auto"/>
            <w:bottom w:val="none" w:sz="0" w:space="0" w:color="auto"/>
            <w:right w:val="none" w:sz="0" w:space="0" w:color="auto"/>
          </w:divBdr>
        </w:div>
        <w:div w:id="1143037082">
          <w:marLeft w:val="0"/>
          <w:marRight w:val="0"/>
          <w:marTop w:val="0"/>
          <w:marBottom w:val="0"/>
          <w:divBdr>
            <w:top w:val="none" w:sz="0" w:space="0" w:color="auto"/>
            <w:left w:val="none" w:sz="0" w:space="0" w:color="auto"/>
            <w:bottom w:val="none" w:sz="0" w:space="0" w:color="auto"/>
            <w:right w:val="none" w:sz="0" w:space="0" w:color="auto"/>
          </w:divBdr>
        </w:div>
        <w:div w:id="1300719232">
          <w:marLeft w:val="0"/>
          <w:marRight w:val="0"/>
          <w:marTop w:val="0"/>
          <w:marBottom w:val="0"/>
          <w:divBdr>
            <w:top w:val="none" w:sz="0" w:space="0" w:color="auto"/>
            <w:left w:val="none" w:sz="0" w:space="0" w:color="auto"/>
            <w:bottom w:val="none" w:sz="0" w:space="0" w:color="auto"/>
            <w:right w:val="none" w:sz="0" w:space="0" w:color="auto"/>
          </w:divBdr>
        </w:div>
        <w:div w:id="1378045947">
          <w:marLeft w:val="0"/>
          <w:marRight w:val="0"/>
          <w:marTop w:val="0"/>
          <w:marBottom w:val="0"/>
          <w:divBdr>
            <w:top w:val="none" w:sz="0" w:space="0" w:color="auto"/>
            <w:left w:val="none" w:sz="0" w:space="0" w:color="auto"/>
            <w:bottom w:val="none" w:sz="0" w:space="0" w:color="auto"/>
            <w:right w:val="none" w:sz="0" w:space="0" w:color="auto"/>
          </w:divBdr>
        </w:div>
        <w:div w:id="1446119748">
          <w:marLeft w:val="0"/>
          <w:marRight w:val="0"/>
          <w:marTop w:val="0"/>
          <w:marBottom w:val="0"/>
          <w:divBdr>
            <w:top w:val="none" w:sz="0" w:space="0" w:color="auto"/>
            <w:left w:val="none" w:sz="0" w:space="0" w:color="auto"/>
            <w:bottom w:val="none" w:sz="0" w:space="0" w:color="auto"/>
            <w:right w:val="none" w:sz="0" w:space="0" w:color="auto"/>
          </w:divBdr>
        </w:div>
        <w:div w:id="1596861503">
          <w:marLeft w:val="0"/>
          <w:marRight w:val="0"/>
          <w:marTop w:val="0"/>
          <w:marBottom w:val="0"/>
          <w:divBdr>
            <w:top w:val="none" w:sz="0" w:space="0" w:color="auto"/>
            <w:left w:val="none" w:sz="0" w:space="0" w:color="auto"/>
            <w:bottom w:val="none" w:sz="0" w:space="0" w:color="auto"/>
            <w:right w:val="none" w:sz="0" w:space="0" w:color="auto"/>
          </w:divBdr>
        </w:div>
        <w:div w:id="1691176199">
          <w:marLeft w:val="0"/>
          <w:marRight w:val="0"/>
          <w:marTop w:val="0"/>
          <w:marBottom w:val="0"/>
          <w:divBdr>
            <w:top w:val="none" w:sz="0" w:space="0" w:color="auto"/>
            <w:left w:val="none" w:sz="0" w:space="0" w:color="auto"/>
            <w:bottom w:val="none" w:sz="0" w:space="0" w:color="auto"/>
            <w:right w:val="none" w:sz="0" w:space="0" w:color="auto"/>
          </w:divBdr>
        </w:div>
        <w:div w:id="1923026216">
          <w:marLeft w:val="0"/>
          <w:marRight w:val="0"/>
          <w:marTop w:val="0"/>
          <w:marBottom w:val="0"/>
          <w:divBdr>
            <w:top w:val="none" w:sz="0" w:space="0" w:color="auto"/>
            <w:left w:val="none" w:sz="0" w:space="0" w:color="auto"/>
            <w:bottom w:val="none" w:sz="0" w:space="0" w:color="auto"/>
            <w:right w:val="none" w:sz="0" w:space="0" w:color="auto"/>
          </w:divBdr>
        </w:div>
        <w:div w:id="2024696435">
          <w:marLeft w:val="0"/>
          <w:marRight w:val="0"/>
          <w:marTop w:val="0"/>
          <w:marBottom w:val="0"/>
          <w:divBdr>
            <w:top w:val="none" w:sz="0" w:space="0" w:color="auto"/>
            <w:left w:val="none" w:sz="0" w:space="0" w:color="auto"/>
            <w:bottom w:val="none" w:sz="0" w:space="0" w:color="auto"/>
            <w:right w:val="none" w:sz="0" w:space="0" w:color="auto"/>
          </w:divBdr>
        </w:div>
        <w:div w:id="2137789847">
          <w:marLeft w:val="0"/>
          <w:marRight w:val="0"/>
          <w:marTop w:val="0"/>
          <w:marBottom w:val="0"/>
          <w:divBdr>
            <w:top w:val="none" w:sz="0" w:space="0" w:color="auto"/>
            <w:left w:val="none" w:sz="0" w:space="0" w:color="auto"/>
            <w:bottom w:val="none" w:sz="0" w:space="0" w:color="auto"/>
            <w:right w:val="none" w:sz="0" w:space="0" w:color="auto"/>
          </w:divBdr>
        </w:div>
      </w:divsChild>
    </w:div>
    <w:div w:id="490759469">
      <w:bodyDiv w:val="1"/>
      <w:marLeft w:val="0"/>
      <w:marRight w:val="0"/>
      <w:marTop w:val="0"/>
      <w:marBottom w:val="0"/>
      <w:divBdr>
        <w:top w:val="none" w:sz="0" w:space="0" w:color="auto"/>
        <w:left w:val="none" w:sz="0" w:space="0" w:color="auto"/>
        <w:bottom w:val="none" w:sz="0" w:space="0" w:color="auto"/>
        <w:right w:val="none" w:sz="0" w:space="0" w:color="auto"/>
      </w:divBdr>
      <w:divsChild>
        <w:div w:id="75523254">
          <w:marLeft w:val="0"/>
          <w:marRight w:val="0"/>
          <w:marTop w:val="0"/>
          <w:marBottom w:val="0"/>
          <w:divBdr>
            <w:top w:val="none" w:sz="0" w:space="0" w:color="auto"/>
            <w:left w:val="none" w:sz="0" w:space="0" w:color="auto"/>
            <w:bottom w:val="none" w:sz="0" w:space="0" w:color="auto"/>
            <w:right w:val="none" w:sz="0" w:space="0" w:color="auto"/>
          </w:divBdr>
        </w:div>
        <w:div w:id="86926280">
          <w:marLeft w:val="0"/>
          <w:marRight w:val="0"/>
          <w:marTop w:val="0"/>
          <w:marBottom w:val="0"/>
          <w:divBdr>
            <w:top w:val="none" w:sz="0" w:space="0" w:color="auto"/>
            <w:left w:val="none" w:sz="0" w:space="0" w:color="auto"/>
            <w:bottom w:val="none" w:sz="0" w:space="0" w:color="auto"/>
            <w:right w:val="none" w:sz="0" w:space="0" w:color="auto"/>
          </w:divBdr>
        </w:div>
        <w:div w:id="202406672">
          <w:marLeft w:val="0"/>
          <w:marRight w:val="0"/>
          <w:marTop w:val="0"/>
          <w:marBottom w:val="0"/>
          <w:divBdr>
            <w:top w:val="none" w:sz="0" w:space="0" w:color="auto"/>
            <w:left w:val="none" w:sz="0" w:space="0" w:color="auto"/>
            <w:bottom w:val="none" w:sz="0" w:space="0" w:color="auto"/>
            <w:right w:val="none" w:sz="0" w:space="0" w:color="auto"/>
          </w:divBdr>
        </w:div>
        <w:div w:id="387385581">
          <w:marLeft w:val="0"/>
          <w:marRight w:val="0"/>
          <w:marTop w:val="0"/>
          <w:marBottom w:val="0"/>
          <w:divBdr>
            <w:top w:val="none" w:sz="0" w:space="0" w:color="auto"/>
            <w:left w:val="none" w:sz="0" w:space="0" w:color="auto"/>
            <w:bottom w:val="none" w:sz="0" w:space="0" w:color="auto"/>
            <w:right w:val="none" w:sz="0" w:space="0" w:color="auto"/>
          </w:divBdr>
        </w:div>
        <w:div w:id="938871199">
          <w:marLeft w:val="0"/>
          <w:marRight w:val="0"/>
          <w:marTop w:val="0"/>
          <w:marBottom w:val="0"/>
          <w:divBdr>
            <w:top w:val="none" w:sz="0" w:space="0" w:color="auto"/>
            <w:left w:val="none" w:sz="0" w:space="0" w:color="auto"/>
            <w:bottom w:val="none" w:sz="0" w:space="0" w:color="auto"/>
            <w:right w:val="none" w:sz="0" w:space="0" w:color="auto"/>
          </w:divBdr>
        </w:div>
        <w:div w:id="939875487">
          <w:marLeft w:val="0"/>
          <w:marRight w:val="0"/>
          <w:marTop w:val="0"/>
          <w:marBottom w:val="0"/>
          <w:divBdr>
            <w:top w:val="none" w:sz="0" w:space="0" w:color="auto"/>
            <w:left w:val="none" w:sz="0" w:space="0" w:color="auto"/>
            <w:bottom w:val="none" w:sz="0" w:space="0" w:color="auto"/>
            <w:right w:val="none" w:sz="0" w:space="0" w:color="auto"/>
          </w:divBdr>
        </w:div>
        <w:div w:id="945117899">
          <w:marLeft w:val="0"/>
          <w:marRight w:val="0"/>
          <w:marTop w:val="0"/>
          <w:marBottom w:val="0"/>
          <w:divBdr>
            <w:top w:val="none" w:sz="0" w:space="0" w:color="auto"/>
            <w:left w:val="none" w:sz="0" w:space="0" w:color="auto"/>
            <w:bottom w:val="none" w:sz="0" w:space="0" w:color="auto"/>
            <w:right w:val="none" w:sz="0" w:space="0" w:color="auto"/>
          </w:divBdr>
        </w:div>
        <w:div w:id="954943387">
          <w:marLeft w:val="0"/>
          <w:marRight w:val="0"/>
          <w:marTop w:val="0"/>
          <w:marBottom w:val="0"/>
          <w:divBdr>
            <w:top w:val="none" w:sz="0" w:space="0" w:color="auto"/>
            <w:left w:val="none" w:sz="0" w:space="0" w:color="auto"/>
            <w:bottom w:val="none" w:sz="0" w:space="0" w:color="auto"/>
            <w:right w:val="none" w:sz="0" w:space="0" w:color="auto"/>
          </w:divBdr>
        </w:div>
        <w:div w:id="987129556">
          <w:marLeft w:val="0"/>
          <w:marRight w:val="0"/>
          <w:marTop w:val="0"/>
          <w:marBottom w:val="0"/>
          <w:divBdr>
            <w:top w:val="none" w:sz="0" w:space="0" w:color="auto"/>
            <w:left w:val="none" w:sz="0" w:space="0" w:color="auto"/>
            <w:bottom w:val="none" w:sz="0" w:space="0" w:color="auto"/>
            <w:right w:val="none" w:sz="0" w:space="0" w:color="auto"/>
          </w:divBdr>
        </w:div>
        <w:div w:id="1275594160">
          <w:marLeft w:val="0"/>
          <w:marRight w:val="0"/>
          <w:marTop w:val="0"/>
          <w:marBottom w:val="0"/>
          <w:divBdr>
            <w:top w:val="none" w:sz="0" w:space="0" w:color="auto"/>
            <w:left w:val="none" w:sz="0" w:space="0" w:color="auto"/>
            <w:bottom w:val="none" w:sz="0" w:space="0" w:color="auto"/>
            <w:right w:val="none" w:sz="0" w:space="0" w:color="auto"/>
          </w:divBdr>
        </w:div>
        <w:div w:id="1468624043">
          <w:marLeft w:val="0"/>
          <w:marRight w:val="0"/>
          <w:marTop w:val="0"/>
          <w:marBottom w:val="0"/>
          <w:divBdr>
            <w:top w:val="none" w:sz="0" w:space="0" w:color="auto"/>
            <w:left w:val="none" w:sz="0" w:space="0" w:color="auto"/>
            <w:bottom w:val="none" w:sz="0" w:space="0" w:color="auto"/>
            <w:right w:val="none" w:sz="0" w:space="0" w:color="auto"/>
          </w:divBdr>
        </w:div>
        <w:div w:id="1539854960">
          <w:marLeft w:val="0"/>
          <w:marRight w:val="0"/>
          <w:marTop w:val="0"/>
          <w:marBottom w:val="0"/>
          <w:divBdr>
            <w:top w:val="none" w:sz="0" w:space="0" w:color="auto"/>
            <w:left w:val="none" w:sz="0" w:space="0" w:color="auto"/>
            <w:bottom w:val="none" w:sz="0" w:space="0" w:color="auto"/>
            <w:right w:val="none" w:sz="0" w:space="0" w:color="auto"/>
          </w:divBdr>
        </w:div>
        <w:div w:id="1561330994">
          <w:marLeft w:val="0"/>
          <w:marRight w:val="0"/>
          <w:marTop w:val="0"/>
          <w:marBottom w:val="0"/>
          <w:divBdr>
            <w:top w:val="none" w:sz="0" w:space="0" w:color="auto"/>
            <w:left w:val="none" w:sz="0" w:space="0" w:color="auto"/>
            <w:bottom w:val="none" w:sz="0" w:space="0" w:color="auto"/>
            <w:right w:val="none" w:sz="0" w:space="0" w:color="auto"/>
          </w:divBdr>
        </w:div>
        <w:div w:id="1957372819">
          <w:marLeft w:val="0"/>
          <w:marRight w:val="0"/>
          <w:marTop w:val="0"/>
          <w:marBottom w:val="0"/>
          <w:divBdr>
            <w:top w:val="none" w:sz="0" w:space="0" w:color="auto"/>
            <w:left w:val="none" w:sz="0" w:space="0" w:color="auto"/>
            <w:bottom w:val="none" w:sz="0" w:space="0" w:color="auto"/>
            <w:right w:val="none" w:sz="0" w:space="0" w:color="auto"/>
          </w:divBdr>
        </w:div>
      </w:divsChild>
    </w:div>
    <w:div w:id="502361879">
      <w:bodyDiv w:val="1"/>
      <w:marLeft w:val="0"/>
      <w:marRight w:val="0"/>
      <w:marTop w:val="0"/>
      <w:marBottom w:val="0"/>
      <w:divBdr>
        <w:top w:val="none" w:sz="0" w:space="0" w:color="auto"/>
        <w:left w:val="none" w:sz="0" w:space="0" w:color="auto"/>
        <w:bottom w:val="none" w:sz="0" w:space="0" w:color="auto"/>
        <w:right w:val="none" w:sz="0" w:space="0" w:color="auto"/>
      </w:divBdr>
      <w:divsChild>
        <w:div w:id="299384032">
          <w:marLeft w:val="0"/>
          <w:marRight w:val="0"/>
          <w:marTop w:val="0"/>
          <w:marBottom w:val="0"/>
          <w:divBdr>
            <w:top w:val="none" w:sz="0" w:space="0" w:color="auto"/>
            <w:left w:val="none" w:sz="0" w:space="0" w:color="auto"/>
            <w:bottom w:val="none" w:sz="0" w:space="0" w:color="auto"/>
            <w:right w:val="none" w:sz="0" w:space="0" w:color="auto"/>
          </w:divBdr>
        </w:div>
        <w:div w:id="712386457">
          <w:marLeft w:val="0"/>
          <w:marRight w:val="0"/>
          <w:marTop w:val="0"/>
          <w:marBottom w:val="0"/>
          <w:divBdr>
            <w:top w:val="none" w:sz="0" w:space="0" w:color="auto"/>
            <w:left w:val="none" w:sz="0" w:space="0" w:color="auto"/>
            <w:bottom w:val="none" w:sz="0" w:space="0" w:color="auto"/>
            <w:right w:val="none" w:sz="0" w:space="0" w:color="auto"/>
          </w:divBdr>
        </w:div>
        <w:div w:id="1194727339">
          <w:marLeft w:val="0"/>
          <w:marRight w:val="0"/>
          <w:marTop w:val="0"/>
          <w:marBottom w:val="0"/>
          <w:divBdr>
            <w:top w:val="none" w:sz="0" w:space="0" w:color="auto"/>
            <w:left w:val="none" w:sz="0" w:space="0" w:color="auto"/>
            <w:bottom w:val="none" w:sz="0" w:space="0" w:color="auto"/>
            <w:right w:val="none" w:sz="0" w:space="0" w:color="auto"/>
          </w:divBdr>
        </w:div>
        <w:div w:id="1304576703">
          <w:marLeft w:val="0"/>
          <w:marRight w:val="0"/>
          <w:marTop w:val="0"/>
          <w:marBottom w:val="0"/>
          <w:divBdr>
            <w:top w:val="none" w:sz="0" w:space="0" w:color="auto"/>
            <w:left w:val="none" w:sz="0" w:space="0" w:color="auto"/>
            <w:bottom w:val="none" w:sz="0" w:space="0" w:color="auto"/>
            <w:right w:val="none" w:sz="0" w:space="0" w:color="auto"/>
          </w:divBdr>
        </w:div>
        <w:div w:id="1785417972">
          <w:marLeft w:val="0"/>
          <w:marRight w:val="0"/>
          <w:marTop w:val="0"/>
          <w:marBottom w:val="0"/>
          <w:divBdr>
            <w:top w:val="none" w:sz="0" w:space="0" w:color="auto"/>
            <w:left w:val="none" w:sz="0" w:space="0" w:color="auto"/>
            <w:bottom w:val="none" w:sz="0" w:space="0" w:color="auto"/>
            <w:right w:val="none" w:sz="0" w:space="0" w:color="auto"/>
          </w:divBdr>
        </w:div>
      </w:divsChild>
    </w:div>
    <w:div w:id="513769219">
      <w:bodyDiv w:val="1"/>
      <w:marLeft w:val="0"/>
      <w:marRight w:val="0"/>
      <w:marTop w:val="0"/>
      <w:marBottom w:val="0"/>
      <w:divBdr>
        <w:top w:val="none" w:sz="0" w:space="0" w:color="auto"/>
        <w:left w:val="none" w:sz="0" w:space="0" w:color="auto"/>
        <w:bottom w:val="none" w:sz="0" w:space="0" w:color="auto"/>
        <w:right w:val="none" w:sz="0" w:space="0" w:color="auto"/>
      </w:divBdr>
      <w:divsChild>
        <w:div w:id="590315164">
          <w:marLeft w:val="0"/>
          <w:marRight w:val="0"/>
          <w:marTop w:val="0"/>
          <w:marBottom w:val="0"/>
          <w:divBdr>
            <w:top w:val="none" w:sz="0" w:space="0" w:color="auto"/>
            <w:left w:val="none" w:sz="0" w:space="0" w:color="auto"/>
            <w:bottom w:val="none" w:sz="0" w:space="0" w:color="auto"/>
            <w:right w:val="none" w:sz="0" w:space="0" w:color="auto"/>
          </w:divBdr>
        </w:div>
        <w:div w:id="631442380">
          <w:marLeft w:val="0"/>
          <w:marRight w:val="0"/>
          <w:marTop w:val="0"/>
          <w:marBottom w:val="0"/>
          <w:divBdr>
            <w:top w:val="none" w:sz="0" w:space="0" w:color="auto"/>
            <w:left w:val="none" w:sz="0" w:space="0" w:color="auto"/>
            <w:bottom w:val="none" w:sz="0" w:space="0" w:color="auto"/>
            <w:right w:val="none" w:sz="0" w:space="0" w:color="auto"/>
          </w:divBdr>
        </w:div>
        <w:div w:id="1690251807">
          <w:marLeft w:val="0"/>
          <w:marRight w:val="0"/>
          <w:marTop w:val="0"/>
          <w:marBottom w:val="0"/>
          <w:divBdr>
            <w:top w:val="none" w:sz="0" w:space="0" w:color="auto"/>
            <w:left w:val="none" w:sz="0" w:space="0" w:color="auto"/>
            <w:bottom w:val="none" w:sz="0" w:space="0" w:color="auto"/>
            <w:right w:val="none" w:sz="0" w:space="0" w:color="auto"/>
          </w:divBdr>
        </w:div>
        <w:div w:id="1703245059">
          <w:marLeft w:val="0"/>
          <w:marRight w:val="0"/>
          <w:marTop w:val="0"/>
          <w:marBottom w:val="0"/>
          <w:divBdr>
            <w:top w:val="none" w:sz="0" w:space="0" w:color="auto"/>
            <w:left w:val="none" w:sz="0" w:space="0" w:color="auto"/>
            <w:bottom w:val="none" w:sz="0" w:space="0" w:color="auto"/>
            <w:right w:val="none" w:sz="0" w:space="0" w:color="auto"/>
          </w:divBdr>
        </w:div>
        <w:div w:id="1773088831">
          <w:marLeft w:val="0"/>
          <w:marRight w:val="0"/>
          <w:marTop w:val="0"/>
          <w:marBottom w:val="0"/>
          <w:divBdr>
            <w:top w:val="none" w:sz="0" w:space="0" w:color="auto"/>
            <w:left w:val="none" w:sz="0" w:space="0" w:color="auto"/>
            <w:bottom w:val="none" w:sz="0" w:space="0" w:color="auto"/>
            <w:right w:val="none" w:sz="0" w:space="0" w:color="auto"/>
          </w:divBdr>
        </w:div>
      </w:divsChild>
    </w:div>
    <w:div w:id="552696580">
      <w:bodyDiv w:val="1"/>
      <w:marLeft w:val="0"/>
      <w:marRight w:val="0"/>
      <w:marTop w:val="0"/>
      <w:marBottom w:val="0"/>
      <w:divBdr>
        <w:top w:val="none" w:sz="0" w:space="0" w:color="auto"/>
        <w:left w:val="none" w:sz="0" w:space="0" w:color="auto"/>
        <w:bottom w:val="none" w:sz="0" w:space="0" w:color="auto"/>
        <w:right w:val="none" w:sz="0" w:space="0" w:color="auto"/>
      </w:divBdr>
      <w:divsChild>
        <w:div w:id="142041570">
          <w:marLeft w:val="0"/>
          <w:marRight w:val="0"/>
          <w:marTop w:val="0"/>
          <w:marBottom w:val="0"/>
          <w:divBdr>
            <w:top w:val="none" w:sz="0" w:space="0" w:color="auto"/>
            <w:left w:val="none" w:sz="0" w:space="0" w:color="auto"/>
            <w:bottom w:val="none" w:sz="0" w:space="0" w:color="auto"/>
            <w:right w:val="none" w:sz="0" w:space="0" w:color="auto"/>
          </w:divBdr>
        </w:div>
        <w:div w:id="280501673">
          <w:marLeft w:val="0"/>
          <w:marRight w:val="0"/>
          <w:marTop w:val="0"/>
          <w:marBottom w:val="0"/>
          <w:divBdr>
            <w:top w:val="none" w:sz="0" w:space="0" w:color="auto"/>
            <w:left w:val="none" w:sz="0" w:space="0" w:color="auto"/>
            <w:bottom w:val="none" w:sz="0" w:space="0" w:color="auto"/>
            <w:right w:val="none" w:sz="0" w:space="0" w:color="auto"/>
          </w:divBdr>
        </w:div>
        <w:div w:id="283191658">
          <w:marLeft w:val="0"/>
          <w:marRight w:val="0"/>
          <w:marTop w:val="0"/>
          <w:marBottom w:val="0"/>
          <w:divBdr>
            <w:top w:val="none" w:sz="0" w:space="0" w:color="auto"/>
            <w:left w:val="none" w:sz="0" w:space="0" w:color="auto"/>
            <w:bottom w:val="none" w:sz="0" w:space="0" w:color="auto"/>
            <w:right w:val="none" w:sz="0" w:space="0" w:color="auto"/>
          </w:divBdr>
        </w:div>
        <w:div w:id="684596517">
          <w:marLeft w:val="0"/>
          <w:marRight w:val="0"/>
          <w:marTop w:val="0"/>
          <w:marBottom w:val="0"/>
          <w:divBdr>
            <w:top w:val="none" w:sz="0" w:space="0" w:color="auto"/>
            <w:left w:val="none" w:sz="0" w:space="0" w:color="auto"/>
            <w:bottom w:val="none" w:sz="0" w:space="0" w:color="auto"/>
            <w:right w:val="none" w:sz="0" w:space="0" w:color="auto"/>
          </w:divBdr>
        </w:div>
        <w:div w:id="717439669">
          <w:marLeft w:val="0"/>
          <w:marRight w:val="0"/>
          <w:marTop w:val="0"/>
          <w:marBottom w:val="0"/>
          <w:divBdr>
            <w:top w:val="none" w:sz="0" w:space="0" w:color="auto"/>
            <w:left w:val="none" w:sz="0" w:space="0" w:color="auto"/>
            <w:bottom w:val="none" w:sz="0" w:space="0" w:color="auto"/>
            <w:right w:val="none" w:sz="0" w:space="0" w:color="auto"/>
          </w:divBdr>
        </w:div>
        <w:div w:id="734085930">
          <w:marLeft w:val="0"/>
          <w:marRight w:val="0"/>
          <w:marTop w:val="0"/>
          <w:marBottom w:val="0"/>
          <w:divBdr>
            <w:top w:val="none" w:sz="0" w:space="0" w:color="auto"/>
            <w:left w:val="none" w:sz="0" w:space="0" w:color="auto"/>
            <w:bottom w:val="none" w:sz="0" w:space="0" w:color="auto"/>
            <w:right w:val="none" w:sz="0" w:space="0" w:color="auto"/>
          </w:divBdr>
        </w:div>
        <w:div w:id="793595163">
          <w:marLeft w:val="0"/>
          <w:marRight w:val="0"/>
          <w:marTop w:val="0"/>
          <w:marBottom w:val="0"/>
          <w:divBdr>
            <w:top w:val="none" w:sz="0" w:space="0" w:color="auto"/>
            <w:left w:val="none" w:sz="0" w:space="0" w:color="auto"/>
            <w:bottom w:val="none" w:sz="0" w:space="0" w:color="auto"/>
            <w:right w:val="none" w:sz="0" w:space="0" w:color="auto"/>
          </w:divBdr>
        </w:div>
        <w:div w:id="938180453">
          <w:marLeft w:val="0"/>
          <w:marRight w:val="0"/>
          <w:marTop w:val="0"/>
          <w:marBottom w:val="0"/>
          <w:divBdr>
            <w:top w:val="none" w:sz="0" w:space="0" w:color="auto"/>
            <w:left w:val="none" w:sz="0" w:space="0" w:color="auto"/>
            <w:bottom w:val="none" w:sz="0" w:space="0" w:color="auto"/>
            <w:right w:val="none" w:sz="0" w:space="0" w:color="auto"/>
          </w:divBdr>
        </w:div>
        <w:div w:id="1165435063">
          <w:marLeft w:val="0"/>
          <w:marRight w:val="0"/>
          <w:marTop w:val="0"/>
          <w:marBottom w:val="0"/>
          <w:divBdr>
            <w:top w:val="none" w:sz="0" w:space="0" w:color="auto"/>
            <w:left w:val="none" w:sz="0" w:space="0" w:color="auto"/>
            <w:bottom w:val="none" w:sz="0" w:space="0" w:color="auto"/>
            <w:right w:val="none" w:sz="0" w:space="0" w:color="auto"/>
          </w:divBdr>
        </w:div>
        <w:div w:id="1480029589">
          <w:marLeft w:val="0"/>
          <w:marRight w:val="0"/>
          <w:marTop w:val="0"/>
          <w:marBottom w:val="0"/>
          <w:divBdr>
            <w:top w:val="none" w:sz="0" w:space="0" w:color="auto"/>
            <w:left w:val="none" w:sz="0" w:space="0" w:color="auto"/>
            <w:bottom w:val="none" w:sz="0" w:space="0" w:color="auto"/>
            <w:right w:val="none" w:sz="0" w:space="0" w:color="auto"/>
          </w:divBdr>
        </w:div>
        <w:div w:id="1750422585">
          <w:marLeft w:val="0"/>
          <w:marRight w:val="0"/>
          <w:marTop w:val="0"/>
          <w:marBottom w:val="0"/>
          <w:divBdr>
            <w:top w:val="none" w:sz="0" w:space="0" w:color="auto"/>
            <w:left w:val="none" w:sz="0" w:space="0" w:color="auto"/>
            <w:bottom w:val="none" w:sz="0" w:space="0" w:color="auto"/>
            <w:right w:val="none" w:sz="0" w:space="0" w:color="auto"/>
          </w:divBdr>
        </w:div>
        <w:div w:id="1985238398">
          <w:marLeft w:val="0"/>
          <w:marRight w:val="0"/>
          <w:marTop w:val="0"/>
          <w:marBottom w:val="0"/>
          <w:divBdr>
            <w:top w:val="none" w:sz="0" w:space="0" w:color="auto"/>
            <w:left w:val="none" w:sz="0" w:space="0" w:color="auto"/>
            <w:bottom w:val="none" w:sz="0" w:space="0" w:color="auto"/>
            <w:right w:val="none" w:sz="0" w:space="0" w:color="auto"/>
          </w:divBdr>
        </w:div>
        <w:div w:id="1998533442">
          <w:marLeft w:val="0"/>
          <w:marRight w:val="0"/>
          <w:marTop w:val="0"/>
          <w:marBottom w:val="0"/>
          <w:divBdr>
            <w:top w:val="none" w:sz="0" w:space="0" w:color="auto"/>
            <w:left w:val="none" w:sz="0" w:space="0" w:color="auto"/>
            <w:bottom w:val="none" w:sz="0" w:space="0" w:color="auto"/>
            <w:right w:val="none" w:sz="0" w:space="0" w:color="auto"/>
          </w:divBdr>
        </w:div>
        <w:div w:id="2090416678">
          <w:marLeft w:val="0"/>
          <w:marRight w:val="0"/>
          <w:marTop w:val="0"/>
          <w:marBottom w:val="0"/>
          <w:divBdr>
            <w:top w:val="none" w:sz="0" w:space="0" w:color="auto"/>
            <w:left w:val="none" w:sz="0" w:space="0" w:color="auto"/>
            <w:bottom w:val="none" w:sz="0" w:space="0" w:color="auto"/>
            <w:right w:val="none" w:sz="0" w:space="0" w:color="auto"/>
          </w:divBdr>
        </w:div>
      </w:divsChild>
    </w:div>
    <w:div w:id="554319911">
      <w:bodyDiv w:val="1"/>
      <w:marLeft w:val="0"/>
      <w:marRight w:val="0"/>
      <w:marTop w:val="0"/>
      <w:marBottom w:val="0"/>
      <w:divBdr>
        <w:top w:val="none" w:sz="0" w:space="0" w:color="auto"/>
        <w:left w:val="none" w:sz="0" w:space="0" w:color="auto"/>
        <w:bottom w:val="none" w:sz="0" w:space="0" w:color="auto"/>
        <w:right w:val="none" w:sz="0" w:space="0" w:color="auto"/>
      </w:divBdr>
      <w:divsChild>
        <w:div w:id="33820351">
          <w:marLeft w:val="0"/>
          <w:marRight w:val="0"/>
          <w:marTop w:val="0"/>
          <w:marBottom w:val="0"/>
          <w:divBdr>
            <w:top w:val="none" w:sz="0" w:space="0" w:color="auto"/>
            <w:left w:val="none" w:sz="0" w:space="0" w:color="auto"/>
            <w:bottom w:val="none" w:sz="0" w:space="0" w:color="auto"/>
            <w:right w:val="none" w:sz="0" w:space="0" w:color="auto"/>
          </w:divBdr>
        </w:div>
        <w:div w:id="98961804">
          <w:marLeft w:val="0"/>
          <w:marRight w:val="0"/>
          <w:marTop w:val="0"/>
          <w:marBottom w:val="0"/>
          <w:divBdr>
            <w:top w:val="none" w:sz="0" w:space="0" w:color="auto"/>
            <w:left w:val="none" w:sz="0" w:space="0" w:color="auto"/>
            <w:bottom w:val="none" w:sz="0" w:space="0" w:color="auto"/>
            <w:right w:val="none" w:sz="0" w:space="0" w:color="auto"/>
          </w:divBdr>
        </w:div>
        <w:div w:id="997420676">
          <w:marLeft w:val="0"/>
          <w:marRight w:val="0"/>
          <w:marTop w:val="0"/>
          <w:marBottom w:val="0"/>
          <w:divBdr>
            <w:top w:val="none" w:sz="0" w:space="0" w:color="auto"/>
            <w:left w:val="none" w:sz="0" w:space="0" w:color="auto"/>
            <w:bottom w:val="none" w:sz="0" w:space="0" w:color="auto"/>
            <w:right w:val="none" w:sz="0" w:space="0" w:color="auto"/>
          </w:divBdr>
        </w:div>
        <w:div w:id="1038703861">
          <w:marLeft w:val="0"/>
          <w:marRight w:val="0"/>
          <w:marTop w:val="0"/>
          <w:marBottom w:val="0"/>
          <w:divBdr>
            <w:top w:val="none" w:sz="0" w:space="0" w:color="auto"/>
            <w:left w:val="none" w:sz="0" w:space="0" w:color="auto"/>
            <w:bottom w:val="none" w:sz="0" w:space="0" w:color="auto"/>
            <w:right w:val="none" w:sz="0" w:space="0" w:color="auto"/>
          </w:divBdr>
        </w:div>
        <w:div w:id="1213032311">
          <w:marLeft w:val="0"/>
          <w:marRight w:val="0"/>
          <w:marTop w:val="0"/>
          <w:marBottom w:val="0"/>
          <w:divBdr>
            <w:top w:val="none" w:sz="0" w:space="0" w:color="auto"/>
            <w:left w:val="none" w:sz="0" w:space="0" w:color="auto"/>
            <w:bottom w:val="none" w:sz="0" w:space="0" w:color="auto"/>
            <w:right w:val="none" w:sz="0" w:space="0" w:color="auto"/>
          </w:divBdr>
        </w:div>
        <w:div w:id="1700351592">
          <w:marLeft w:val="0"/>
          <w:marRight w:val="0"/>
          <w:marTop w:val="0"/>
          <w:marBottom w:val="0"/>
          <w:divBdr>
            <w:top w:val="none" w:sz="0" w:space="0" w:color="auto"/>
            <w:left w:val="none" w:sz="0" w:space="0" w:color="auto"/>
            <w:bottom w:val="none" w:sz="0" w:space="0" w:color="auto"/>
            <w:right w:val="none" w:sz="0" w:space="0" w:color="auto"/>
          </w:divBdr>
        </w:div>
        <w:div w:id="1942688622">
          <w:marLeft w:val="0"/>
          <w:marRight w:val="0"/>
          <w:marTop w:val="0"/>
          <w:marBottom w:val="0"/>
          <w:divBdr>
            <w:top w:val="none" w:sz="0" w:space="0" w:color="auto"/>
            <w:left w:val="none" w:sz="0" w:space="0" w:color="auto"/>
            <w:bottom w:val="none" w:sz="0" w:space="0" w:color="auto"/>
            <w:right w:val="none" w:sz="0" w:space="0" w:color="auto"/>
          </w:divBdr>
        </w:div>
        <w:div w:id="1986659005">
          <w:marLeft w:val="0"/>
          <w:marRight w:val="0"/>
          <w:marTop w:val="0"/>
          <w:marBottom w:val="0"/>
          <w:divBdr>
            <w:top w:val="none" w:sz="0" w:space="0" w:color="auto"/>
            <w:left w:val="none" w:sz="0" w:space="0" w:color="auto"/>
            <w:bottom w:val="none" w:sz="0" w:space="0" w:color="auto"/>
            <w:right w:val="none" w:sz="0" w:space="0" w:color="auto"/>
          </w:divBdr>
        </w:div>
        <w:div w:id="2015762166">
          <w:marLeft w:val="0"/>
          <w:marRight w:val="0"/>
          <w:marTop w:val="0"/>
          <w:marBottom w:val="0"/>
          <w:divBdr>
            <w:top w:val="none" w:sz="0" w:space="0" w:color="auto"/>
            <w:left w:val="none" w:sz="0" w:space="0" w:color="auto"/>
            <w:bottom w:val="none" w:sz="0" w:space="0" w:color="auto"/>
            <w:right w:val="none" w:sz="0" w:space="0" w:color="auto"/>
          </w:divBdr>
        </w:div>
      </w:divsChild>
    </w:div>
    <w:div w:id="562108127">
      <w:bodyDiv w:val="1"/>
      <w:marLeft w:val="0"/>
      <w:marRight w:val="0"/>
      <w:marTop w:val="0"/>
      <w:marBottom w:val="0"/>
      <w:divBdr>
        <w:top w:val="none" w:sz="0" w:space="0" w:color="auto"/>
        <w:left w:val="none" w:sz="0" w:space="0" w:color="auto"/>
        <w:bottom w:val="none" w:sz="0" w:space="0" w:color="auto"/>
        <w:right w:val="none" w:sz="0" w:space="0" w:color="auto"/>
      </w:divBdr>
      <w:divsChild>
        <w:div w:id="698165291">
          <w:marLeft w:val="0"/>
          <w:marRight w:val="0"/>
          <w:marTop w:val="0"/>
          <w:marBottom w:val="0"/>
          <w:divBdr>
            <w:top w:val="none" w:sz="0" w:space="0" w:color="auto"/>
            <w:left w:val="none" w:sz="0" w:space="0" w:color="auto"/>
            <w:bottom w:val="none" w:sz="0" w:space="0" w:color="auto"/>
            <w:right w:val="none" w:sz="0" w:space="0" w:color="auto"/>
          </w:divBdr>
          <w:divsChild>
            <w:div w:id="448354119">
              <w:marLeft w:val="0"/>
              <w:marRight w:val="0"/>
              <w:marTop w:val="0"/>
              <w:marBottom w:val="0"/>
              <w:divBdr>
                <w:top w:val="none" w:sz="0" w:space="0" w:color="auto"/>
                <w:left w:val="none" w:sz="0" w:space="0" w:color="auto"/>
                <w:bottom w:val="none" w:sz="0" w:space="0" w:color="auto"/>
                <w:right w:val="none" w:sz="0" w:space="0" w:color="auto"/>
              </w:divBdr>
            </w:div>
            <w:div w:id="633559434">
              <w:marLeft w:val="0"/>
              <w:marRight w:val="0"/>
              <w:marTop w:val="0"/>
              <w:marBottom w:val="0"/>
              <w:divBdr>
                <w:top w:val="none" w:sz="0" w:space="0" w:color="auto"/>
                <w:left w:val="none" w:sz="0" w:space="0" w:color="auto"/>
                <w:bottom w:val="none" w:sz="0" w:space="0" w:color="auto"/>
                <w:right w:val="none" w:sz="0" w:space="0" w:color="auto"/>
              </w:divBdr>
            </w:div>
            <w:div w:id="970674192">
              <w:marLeft w:val="0"/>
              <w:marRight w:val="0"/>
              <w:marTop w:val="0"/>
              <w:marBottom w:val="0"/>
              <w:divBdr>
                <w:top w:val="none" w:sz="0" w:space="0" w:color="auto"/>
                <w:left w:val="none" w:sz="0" w:space="0" w:color="auto"/>
                <w:bottom w:val="none" w:sz="0" w:space="0" w:color="auto"/>
                <w:right w:val="none" w:sz="0" w:space="0" w:color="auto"/>
              </w:divBdr>
            </w:div>
            <w:div w:id="1196238778">
              <w:marLeft w:val="0"/>
              <w:marRight w:val="0"/>
              <w:marTop w:val="0"/>
              <w:marBottom w:val="0"/>
              <w:divBdr>
                <w:top w:val="none" w:sz="0" w:space="0" w:color="auto"/>
                <w:left w:val="none" w:sz="0" w:space="0" w:color="auto"/>
                <w:bottom w:val="none" w:sz="0" w:space="0" w:color="auto"/>
                <w:right w:val="none" w:sz="0" w:space="0" w:color="auto"/>
              </w:divBdr>
            </w:div>
            <w:div w:id="1733116837">
              <w:marLeft w:val="0"/>
              <w:marRight w:val="0"/>
              <w:marTop w:val="0"/>
              <w:marBottom w:val="0"/>
              <w:divBdr>
                <w:top w:val="none" w:sz="0" w:space="0" w:color="auto"/>
                <w:left w:val="none" w:sz="0" w:space="0" w:color="auto"/>
                <w:bottom w:val="none" w:sz="0" w:space="0" w:color="auto"/>
                <w:right w:val="none" w:sz="0" w:space="0" w:color="auto"/>
              </w:divBdr>
            </w:div>
          </w:divsChild>
        </w:div>
        <w:div w:id="1318727407">
          <w:marLeft w:val="0"/>
          <w:marRight w:val="0"/>
          <w:marTop w:val="0"/>
          <w:marBottom w:val="0"/>
          <w:divBdr>
            <w:top w:val="none" w:sz="0" w:space="0" w:color="auto"/>
            <w:left w:val="none" w:sz="0" w:space="0" w:color="auto"/>
            <w:bottom w:val="none" w:sz="0" w:space="0" w:color="auto"/>
            <w:right w:val="none" w:sz="0" w:space="0" w:color="auto"/>
          </w:divBdr>
          <w:divsChild>
            <w:div w:id="10382902">
              <w:marLeft w:val="0"/>
              <w:marRight w:val="0"/>
              <w:marTop w:val="0"/>
              <w:marBottom w:val="0"/>
              <w:divBdr>
                <w:top w:val="none" w:sz="0" w:space="0" w:color="auto"/>
                <w:left w:val="none" w:sz="0" w:space="0" w:color="auto"/>
                <w:bottom w:val="none" w:sz="0" w:space="0" w:color="auto"/>
                <w:right w:val="none" w:sz="0" w:space="0" w:color="auto"/>
              </w:divBdr>
            </w:div>
            <w:div w:id="495805784">
              <w:marLeft w:val="0"/>
              <w:marRight w:val="0"/>
              <w:marTop w:val="0"/>
              <w:marBottom w:val="0"/>
              <w:divBdr>
                <w:top w:val="none" w:sz="0" w:space="0" w:color="auto"/>
                <w:left w:val="none" w:sz="0" w:space="0" w:color="auto"/>
                <w:bottom w:val="none" w:sz="0" w:space="0" w:color="auto"/>
                <w:right w:val="none" w:sz="0" w:space="0" w:color="auto"/>
              </w:divBdr>
            </w:div>
            <w:div w:id="709575737">
              <w:marLeft w:val="0"/>
              <w:marRight w:val="0"/>
              <w:marTop w:val="0"/>
              <w:marBottom w:val="0"/>
              <w:divBdr>
                <w:top w:val="none" w:sz="0" w:space="0" w:color="auto"/>
                <w:left w:val="none" w:sz="0" w:space="0" w:color="auto"/>
                <w:bottom w:val="none" w:sz="0" w:space="0" w:color="auto"/>
                <w:right w:val="none" w:sz="0" w:space="0" w:color="auto"/>
              </w:divBdr>
            </w:div>
            <w:div w:id="1094321461">
              <w:marLeft w:val="0"/>
              <w:marRight w:val="0"/>
              <w:marTop w:val="0"/>
              <w:marBottom w:val="0"/>
              <w:divBdr>
                <w:top w:val="none" w:sz="0" w:space="0" w:color="auto"/>
                <w:left w:val="none" w:sz="0" w:space="0" w:color="auto"/>
                <w:bottom w:val="none" w:sz="0" w:space="0" w:color="auto"/>
                <w:right w:val="none" w:sz="0" w:space="0" w:color="auto"/>
              </w:divBdr>
            </w:div>
            <w:div w:id="1132290539">
              <w:marLeft w:val="0"/>
              <w:marRight w:val="0"/>
              <w:marTop w:val="0"/>
              <w:marBottom w:val="0"/>
              <w:divBdr>
                <w:top w:val="none" w:sz="0" w:space="0" w:color="auto"/>
                <w:left w:val="none" w:sz="0" w:space="0" w:color="auto"/>
                <w:bottom w:val="none" w:sz="0" w:space="0" w:color="auto"/>
                <w:right w:val="none" w:sz="0" w:space="0" w:color="auto"/>
              </w:divBdr>
            </w:div>
            <w:div w:id="1548251870">
              <w:marLeft w:val="0"/>
              <w:marRight w:val="0"/>
              <w:marTop w:val="0"/>
              <w:marBottom w:val="0"/>
              <w:divBdr>
                <w:top w:val="none" w:sz="0" w:space="0" w:color="auto"/>
                <w:left w:val="none" w:sz="0" w:space="0" w:color="auto"/>
                <w:bottom w:val="none" w:sz="0" w:space="0" w:color="auto"/>
                <w:right w:val="none" w:sz="0" w:space="0" w:color="auto"/>
              </w:divBdr>
            </w:div>
            <w:div w:id="1591161781">
              <w:marLeft w:val="0"/>
              <w:marRight w:val="0"/>
              <w:marTop w:val="0"/>
              <w:marBottom w:val="0"/>
              <w:divBdr>
                <w:top w:val="none" w:sz="0" w:space="0" w:color="auto"/>
                <w:left w:val="none" w:sz="0" w:space="0" w:color="auto"/>
                <w:bottom w:val="none" w:sz="0" w:space="0" w:color="auto"/>
                <w:right w:val="none" w:sz="0" w:space="0" w:color="auto"/>
              </w:divBdr>
            </w:div>
            <w:div w:id="159628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33060">
      <w:bodyDiv w:val="1"/>
      <w:marLeft w:val="0"/>
      <w:marRight w:val="0"/>
      <w:marTop w:val="0"/>
      <w:marBottom w:val="0"/>
      <w:divBdr>
        <w:top w:val="none" w:sz="0" w:space="0" w:color="auto"/>
        <w:left w:val="none" w:sz="0" w:space="0" w:color="auto"/>
        <w:bottom w:val="none" w:sz="0" w:space="0" w:color="auto"/>
        <w:right w:val="none" w:sz="0" w:space="0" w:color="auto"/>
      </w:divBdr>
    </w:div>
    <w:div w:id="602685331">
      <w:bodyDiv w:val="1"/>
      <w:marLeft w:val="0"/>
      <w:marRight w:val="0"/>
      <w:marTop w:val="0"/>
      <w:marBottom w:val="0"/>
      <w:divBdr>
        <w:top w:val="none" w:sz="0" w:space="0" w:color="auto"/>
        <w:left w:val="none" w:sz="0" w:space="0" w:color="auto"/>
        <w:bottom w:val="none" w:sz="0" w:space="0" w:color="auto"/>
        <w:right w:val="none" w:sz="0" w:space="0" w:color="auto"/>
      </w:divBdr>
      <w:divsChild>
        <w:div w:id="224679870">
          <w:marLeft w:val="0"/>
          <w:marRight w:val="0"/>
          <w:marTop w:val="0"/>
          <w:marBottom w:val="0"/>
          <w:divBdr>
            <w:top w:val="none" w:sz="0" w:space="0" w:color="auto"/>
            <w:left w:val="none" w:sz="0" w:space="0" w:color="auto"/>
            <w:bottom w:val="none" w:sz="0" w:space="0" w:color="auto"/>
            <w:right w:val="none" w:sz="0" w:space="0" w:color="auto"/>
          </w:divBdr>
        </w:div>
        <w:div w:id="641423193">
          <w:marLeft w:val="0"/>
          <w:marRight w:val="0"/>
          <w:marTop w:val="0"/>
          <w:marBottom w:val="0"/>
          <w:divBdr>
            <w:top w:val="none" w:sz="0" w:space="0" w:color="auto"/>
            <w:left w:val="none" w:sz="0" w:space="0" w:color="auto"/>
            <w:bottom w:val="none" w:sz="0" w:space="0" w:color="auto"/>
            <w:right w:val="none" w:sz="0" w:space="0" w:color="auto"/>
          </w:divBdr>
        </w:div>
        <w:div w:id="773552842">
          <w:marLeft w:val="0"/>
          <w:marRight w:val="0"/>
          <w:marTop w:val="0"/>
          <w:marBottom w:val="0"/>
          <w:divBdr>
            <w:top w:val="none" w:sz="0" w:space="0" w:color="auto"/>
            <w:left w:val="none" w:sz="0" w:space="0" w:color="auto"/>
            <w:bottom w:val="none" w:sz="0" w:space="0" w:color="auto"/>
            <w:right w:val="none" w:sz="0" w:space="0" w:color="auto"/>
          </w:divBdr>
        </w:div>
        <w:div w:id="886725689">
          <w:marLeft w:val="0"/>
          <w:marRight w:val="0"/>
          <w:marTop w:val="0"/>
          <w:marBottom w:val="0"/>
          <w:divBdr>
            <w:top w:val="none" w:sz="0" w:space="0" w:color="auto"/>
            <w:left w:val="none" w:sz="0" w:space="0" w:color="auto"/>
            <w:bottom w:val="none" w:sz="0" w:space="0" w:color="auto"/>
            <w:right w:val="none" w:sz="0" w:space="0" w:color="auto"/>
          </w:divBdr>
        </w:div>
        <w:div w:id="1840853253">
          <w:marLeft w:val="0"/>
          <w:marRight w:val="0"/>
          <w:marTop w:val="0"/>
          <w:marBottom w:val="0"/>
          <w:divBdr>
            <w:top w:val="none" w:sz="0" w:space="0" w:color="auto"/>
            <w:left w:val="none" w:sz="0" w:space="0" w:color="auto"/>
            <w:bottom w:val="none" w:sz="0" w:space="0" w:color="auto"/>
            <w:right w:val="none" w:sz="0" w:space="0" w:color="auto"/>
          </w:divBdr>
        </w:div>
      </w:divsChild>
    </w:div>
    <w:div w:id="608507534">
      <w:bodyDiv w:val="1"/>
      <w:marLeft w:val="0"/>
      <w:marRight w:val="0"/>
      <w:marTop w:val="0"/>
      <w:marBottom w:val="0"/>
      <w:divBdr>
        <w:top w:val="none" w:sz="0" w:space="0" w:color="auto"/>
        <w:left w:val="none" w:sz="0" w:space="0" w:color="auto"/>
        <w:bottom w:val="none" w:sz="0" w:space="0" w:color="auto"/>
        <w:right w:val="none" w:sz="0" w:space="0" w:color="auto"/>
      </w:divBdr>
      <w:divsChild>
        <w:div w:id="213082967">
          <w:marLeft w:val="0"/>
          <w:marRight w:val="0"/>
          <w:marTop w:val="0"/>
          <w:marBottom w:val="0"/>
          <w:divBdr>
            <w:top w:val="none" w:sz="0" w:space="0" w:color="auto"/>
            <w:left w:val="none" w:sz="0" w:space="0" w:color="auto"/>
            <w:bottom w:val="none" w:sz="0" w:space="0" w:color="auto"/>
            <w:right w:val="none" w:sz="0" w:space="0" w:color="auto"/>
          </w:divBdr>
        </w:div>
        <w:div w:id="291520676">
          <w:marLeft w:val="0"/>
          <w:marRight w:val="0"/>
          <w:marTop w:val="0"/>
          <w:marBottom w:val="0"/>
          <w:divBdr>
            <w:top w:val="none" w:sz="0" w:space="0" w:color="auto"/>
            <w:left w:val="none" w:sz="0" w:space="0" w:color="auto"/>
            <w:bottom w:val="none" w:sz="0" w:space="0" w:color="auto"/>
            <w:right w:val="none" w:sz="0" w:space="0" w:color="auto"/>
          </w:divBdr>
        </w:div>
        <w:div w:id="357850112">
          <w:marLeft w:val="0"/>
          <w:marRight w:val="0"/>
          <w:marTop w:val="0"/>
          <w:marBottom w:val="0"/>
          <w:divBdr>
            <w:top w:val="none" w:sz="0" w:space="0" w:color="auto"/>
            <w:left w:val="none" w:sz="0" w:space="0" w:color="auto"/>
            <w:bottom w:val="none" w:sz="0" w:space="0" w:color="auto"/>
            <w:right w:val="none" w:sz="0" w:space="0" w:color="auto"/>
          </w:divBdr>
        </w:div>
        <w:div w:id="364984421">
          <w:marLeft w:val="0"/>
          <w:marRight w:val="0"/>
          <w:marTop w:val="0"/>
          <w:marBottom w:val="0"/>
          <w:divBdr>
            <w:top w:val="none" w:sz="0" w:space="0" w:color="auto"/>
            <w:left w:val="none" w:sz="0" w:space="0" w:color="auto"/>
            <w:bottom w:val="none" w:sz="0" w:space="0" w:color="auto"/>
            <w:right w:val="none" w:sz="0" w:space="0" w:color="auto"/>
          </w:divBdr>
        </w:div>
        <w:div w:id="371806784">
          <w:marLeft w:val="0"/>
          <w:marRight w:val="0"/>
          <w:marTop w:val="0"/>
          <w:marBottom w:val="0"/>
          <w:divBdr>
            <w:top w:val="none" w:sz="0" w:space="0" w:color="auto"/>
            <w:left w:val="none" w:sz="0" w:space="0" w:color="auto"/>
            <w:bottom w:val="none" w:sz="0" w:space="0" w:color="auto"/>
            <w:right w:val="none" w:sz="0" w:space="0" w:color="auto"/>
          </w:divBdr>
        </w:div>
        <w:div w:id="768282217">
          <w:marLeft w:val="0"/>
          <w:marRight w:val="0"/>
          <w:marTop w:val="0"/>
          <w:marBottom w:val="0"/>
          <w:divBdr>
            <w:top w:val="none" w:sz="0" w:space="0" w:color="auto"/>
            <w:left w:val="none" w:sz="0" w:space="0" w:color="auto"/>
            <w:bottom w:val="none" w:sz="0" w:space="0" w:color="auto"/>
            <w:right w:val="none" w:sz="0" w:space="0" w:color="auto"/>
          </w:divBdr>
        </w:div>
        <w:div w:id="1592590763">
          <w:marLeft w:val="0"/>
          <w:marRight w:val="0"/>
          <w:marTop w:val="0"/>
          <w:marBottom w:val="0"/>
          <w:divBdr>
            <w:top w:val="none" w:sz="0" w:space="0" w:color="auto"/>
            <w:left w:val="none" w:sz="0" w:space="0" w:color="auto"/>
            <w:bottom w:val="none" w:sz="0" w:space="0" w:color="auto"/>
            <w:right w:val="none" w:sz="0" w:space="0" w:color="auto"/>
          </w:divBdr>
        </w:div>
      </w:divsChild>
    </w:div>
    <w:div w:id="624196994">
      <w:bodyDiv w:val="1"/>
      <w:marLeft w:val="0"/>
      <w:marRight w:val="0"/>
      <w:marTop w:val="0"/>
      <w:marBottom w:val="0"/>
      <w:divBdr>
        <w:top w:val="none" w:sz="0" w:space="0" w:color="auto"/>
        <w:left w:val="none" w:sz="0" w:space="0" w:color="auto"/>
        <w:bottom w:val="none" w:sz="0" w:space="0" w:color="auto"/>
        <w:right w:val="none" w:sz="0" w:space="0" w:color="auto"/>
      </w:divBdr>
      <w:divsChild>
        <w:div w:id="77021488">
          <w:marLeft w:val="0"/>
          <w:marRight w:val="0"/>
          <w:marTop w:val="0"/>
          <w:marBottom w:val="0"/>
          <w:divBdr>
            <w:top w:val="none" w:sz="0" w:space="0" w:color="auto"/>
            <w:left w:val="none" w:sz="0" w:space="0" w:color="auto"/>
            <w:bottom w:val="none" w:sz="0" w:space="0" w:color="auto"/>
            <w:right w:val="none" w:sz="0" w:space="0" w:color="auto"/>
          </w:divBdr>
        </w:div>
        <w:div w:id="798259008">
          <w:marLeft w:val="0"/>
          <w:marRight w:val="0"/>
          <w:marTop w:val="0"/>
          <w:marBottom w:val="0"/>
          <w:divBdr>
            <w:top w:val="none" w:sz="0" w:space="0" w:color="auto"/>
            <w:left w:val="none" w:sz="0" w:space="0" w:color="auto"/>
            <w:bottom w:val="none" w:sz="0" w:space="0" w:color="auto"/>
            <w:right w:val="none" w:sz="0" w:space="0" w:color="auto"/>
          </w:divBdr>
        </w:div>
        <w:div w:id="1108623222">
          <w:marLeft w:val="0"/>
          <w:marRight w:val="0"/>
          <w:marTop w:val="0"/>
          <w:marBottom w:val="0"/>
          <w:divBdr>
            <w:top w:val="none" w:sz="0" w:space="0" w:color="auto"/>
            <w:left w:val="none" w:sz="0" w:space="0" w:color="auto"/>
            <w:bottom w:val="none" w:sz="0" w:space="0" w:color="auto"/>
            <w:right w:val="none" w:sz="0" w:space="0" w:color="auto"/>
          </w:divBdr>
        </w:div>
        <w:div w:id="1793133263">
          <w:marLeft w:val="0"/>
          <w:marRight w:val="0"/>
          <w:marTop w:val="0"/>
          <w:marBottom w:val="0"/>
          <w:divBdr>
            <w:top w:val="none" w:sz="0" w:space="0" w:color="auto"/>
            <w:left w:val="none" w:sz="0" w:space="0" w:color="auto"/>
            <w:bottom w:val="none" w:sz="0" w:space="0" w:color="auto"/>
            <w:right w:val="none" w:sz="0" w:space="0" w:color="auto"/>
          </w:divBdr>
          <w:divsChild>
            <w:div w:id="46924940">
              <w:marLeft w:val="0"/>
              <w:marRight w:val="0"/>
              <w:marTop w:val="0"/>
              <w:marBottom w:val="0"/>
              <w:divBdr>
                <w:top w:val="none" w:sz="0" w:space="0" w:color="auto"/>
                <w:left w:val="none" w:sz="0" w:space="0" w:color="auto"/>
                <w:bottom w:val="none" w:sz="0" w:space="0" w:color="auto"/>
                <w:right w:val="none" w:sz="0" w:space="0" w:color="auto"/>
              </w:divBdr>
            </w:div>
            <w:div w:id="658003350">
              <w:marLeft w:val="0"/>
              <w:marRight w:val="0"/>
              <w:marTop w:val="0"/>
              <w:marBottom w:val="0"/>
              <w:divBdr>
                <w:top w:val="none" w:sz="0" w:space="0" w:color="auto"/>
                <w:left w:val="none" w:sz="0" w:space="0" w:color="auto"/>
                <w:bottom w:val="none" w:sz="0" w:space="0" w:color="auto"/>
                <w:right w:val="none" w:sz="0" w:space="0" w:color="auto"/>
              </w:divBdr>
            </w:div>
            <w:div w:id="1567569316">
              <w:marLeft w:val="0"/>
              <w:marRight w:val="0"/>
              <w:marTop w:val="0"/>
              <w:marBottom w:val="0"/>
              <w:divBdr>
                <w:top w:val="none" w:sz="0" w:space="0" w:color="auto"/>
                <w:left w:val="none" w:sz="0" w:space="0" w:color="auto"/>
                <w:bottom w:val="none" w:sz="0" w:space="0" w:color="auto"/>
                <w:right w:val="none" w:sz="0" w:space="0" w:color="auto"/>
              </w:divBdr>
            </w:div>
            <w:div w:id="1801337192">
              <w:marLeft w:val="0"/>
              <w:marRight w:val="0"/>
              <w:marTop w:val="0"/>
              <w:marBottom w:val="0"/>
              <w:divBdr>
                <w:top w:val="none" w:sz="0" w:space="0" w:color="auto"/>
                <w:left w:val="none" w:sz="0" w:space="0" w:color="auto"/>
                <w:bottom w:val="none" w:sz="0" w:space="0" w:color="auto"/>
                <w:right w:val="none" w:sz="0" w:space="0" w:color="auto"/>
              </w:divBdr>
            </w:div>
            <w:div w:id="1922368213">
              <w:marLeft w:val="0"/>
              <w:marRight w:val="0"/>
              <w:marTop w:val="0"/>
              <w:marBottom w:val="0"/>
              <w:divBdr>
                <w:top w:val="none" w:sz="0" w:space="0" w:color="auto"/>
                <w:left w:val="none" w:sz="0" w:space="0" w:color="auto"/>
                <w:bottom w:val="none" w:sz="0" w:space="0" w:color="auto"/>
                <w:right w:val="none" w:sz="0" w:space="0" w:color="auto"/>
              </w:divBdr>
            </w:div>
          </w:divsChild>
        </w:div>
        <w:div w:id="1829438372">
          <w:marLeft w:val="0"/>
          <w:marRight w:val="0"/>
          <w:marTop w:val="0"/>
          <w:marBottom w:val="0"/>
          <w:divBdr>
            <w:top w:val="none" w:sz="0" w:space="0" w:color="auto"/>
            <w:left w:val="none" w:sz="0" w:space="0" w:color="auto"/>
            <w:bottom w:val="none" w:sz="0" w:space="0" w:color="auto"/>
            <w:right w:val="none" w:sz="0" w:space="0" w:color="auto"/>
          </w:divBdr>
        </w:div>
        <w:div w:id="1996839910">
          <w:marLeft w:val="0"/>
          <w:marRight w:val="0"/>
          <w:marTop w:val="0"/>
          <w:marBottom w:val="0"/>
          <w:divBdr>
            <w:top w:val="none" w:sz="0" w:space="0" w:color="auto"/>
            <w:left w:val="none" w:sz="0" w:space="0" w:color="auto"/>
            <w:bottom w:val="none" w:sz="0" w:space="0" w:color="auto"/>
            <w:right w:val="none" w:sz="0" w:space="0" w:color="auto"/>
          </w:divBdr>
        </w:div>
      </w:divsChild>
    </w:div>
    <w:div w:id="630551658">
      <w:bodyDiv w:val="1"/>
      <w:marLeft w:val="0"/>
      <w:marRight w:val="0"/>
      <w:marTop w:val="0"/>
      <w:marBottom w:val="0"/>
      <w:divBdr>
        <w:top w:val="none" w:sz="0" w:space="0" w:color="auto"/>
        <w:left w:val="none" w:sz="0" w:space="0" w:color="auto"/>
        <w:bottom w:val="none" w:sz="0" w:space="0" w:color="auto"/>
        <w:right w:val="none" w:sz="0" w:space="0" w:color="auto"/>
      </w:divBdr>
      <w:divsChild>
        <w:div w:id="175970071">
          <w:marLeft w:val="0"/>
          <w:marRight w:val="0"/>
          <w:marTop w:val="0"/>
          <w:marBottom w:val="0"/>
          <w:divBdr>
            <w:top w:val="none" w:sz="0" w:space="0" w:color="auto"/>
            <w:left w:val="none" w:sz="0" w:space="0" w:color="auto"/>
            <w:bottom w:val="none" w:sz="0" w:space="0" w:color="auto"/>
            <w:right w:val="none" w:sz="0" w:space="0" w:color="auto"/>
          </w:divBdr>
        </w:div>
        <w:div w:id="1468669049">
          <w:marLeft w:val="0"/>
          <w:marRight w:val="0"/>
          <w:marTop w:val="0"/>
          <w:marBottom w:val="0"/>
          <w:divBdr>
            <w:top w:val="none" w:sz="0" w:space="0" w:color="auto"/>
            <w:left w:val="none" w:sz="0" w:space="0" w:color="auto"/>
            <w:bottom w:val="none" w:sz="0" w:space="0" w:color="auto"/>
            <w:right w:val="none" w:sz="0" w:space="0" w:color="auto"/>
          </w:divBdr>
        </w:div>
        <w:div w:id="1487822514">
          <w:marLeft w:val="0"/>
          <w:marRight w:val="0"/>
          <w:marTop w:val="0"/>
          <w:marBottom w:val="0"/>
          <w:divBdr>
            <w:top w:val="none" w:sz="0" w:space="0" w:color="auto"/>
            <w:left w:val="none" w:sz="0" w:space="0" w:color="auto"/>
            <w:bottom w:val="none" w:sz="0" w:space="0" w:color="auto"/>
            <w:right w:val="none" w:sz="0" w:space="0" w:color="auto"/>
          </w:divBdr>
        </w:div>
        <w:div w:id="1554611947">
          <w:marLeft w:val="0"/>
          <w:marRight w:val="0"/>
          <w:marTop w:val="0"/>
          <w:marBottom w:val="0"/>
          <w:divBdr>
            <w:top w:val="none" w:sz="0" w:space="0" w:color="auto"/>
            <w:left w:val="none" w:sz="0" w:space="0" w:color="auto"/>
            <w:bottom w:val="none" w:sz="0" w:space="0" w:color="auto"/>
            <w:right w:val="none" w:sz="0" w:space="0" w:color="auto"/>
          </w:divBdr>
        </w:div>
        <w:div w:id="2143231872">
          <w:marLeft w:val="0"/>
          <w:marRight w:val="0"/>
          <w:marTop w:val="0"/>
          <w:marBottom w:val="0"/>
          <w:divBdr>
            <w:top w:val="none" w:sz="0" w:space="0" w:color="auto"/>
            <w:left w:val="none" w:sz="0" w:space="0" w:color="auto"/>
            <w:bottom w:val="none" w:sz="0" w:space="0" w:color="auto"/>
            <w:right w:val="none" w:sz="0" w:space="0" w:color="auto"/>
          </w:divBdr>
        </w:div>
      </w:divsChild>
    </w:div>
    <w:div w:id="670521908">
      <w:bodyDiv w:val="1"/>
      <w:marLeft w:val="0"/>
      <w:marRight w:val="0"/>
      <w:marTop w:val="0"/>
      <w:marBottom w:val="0"/>
      <w:divBdr>
        <w:top w:val="none" w:sz="0" w:space="0" w:color="auto"/>
        <w:left w:val="none" w:sz="0" w:space="0" w:color="auto"/>
        <w:bottom w:val="none" w:sz="0" w:space="0" w:color="auto"/>
        <w:right w:val="none" w:sz="0" w:space="0" w:color="auto"/>
      </w:divBdr>
      <w:divsChild>
        <w:div w:id="62029020">
          <w:marLeft w:val="0"/>
          <w:marRight w:val="0"/>
          <w:marTop w:val="0"/>
          <w:marBottom w:val="0"/>
          <w:divBdr>
            <w:top w:val="none" w:sz="0" w:space="0" w:color="auto"/>
            <w:left w:val="none" w:sz="0" w:space="0" w:color="auto"/>
            <w:bottom w:val="none" w:sz="0" w:space="0" w:color="auto"/>
            <w:right w:val="none" w:sz="0" w:space="0" w:color="auto"/>
          </w:divBdr>
        </w:div>
        <w:div w:id="505288336">
          <w:marLeft w:val="0"/>
          <w:marRight w:val="0"/>
          <w:marTop w:val="0"/>
          <w:marBottom w:val="0"/>
          <w:divBdr>
            <w:top w:val="none" w:sz="0" w:space="0" w:color="auto"/>
            <w:left w:val="none" w:sz="0" w:space="0" w:color="auto"/>
            <w:bottom w:val="none" w:sz="0" w:space="0" w:color="auto"/>
            <w:right w:val="none" w:sz="0" w:space="0" w:color="auto"/>
          </w:divBdr>
        </w:div>
        <w:div w:id="603608965">
          <w:marLeft w:val="0"/>
          <w:marRight w:val="0"/>
          <w:marTop w:val="0"/>
          <w:marBottom w:val="0"/>
          <w:divBdr>
            <w:top w:val="none" w:sz="0" w:space="0" w:color="auto"/>
            <w:left w:val="none" w:sz="0" w:space="0" w:color="auto"/>
            <w:bottom w:val="none" w:sz="0" w:space="0" w:color="auto"/>
            <w:right w:val="none" w:sz="0" w:space="0" w:color="auto"/>
          </w:divBdr>
        </w:div>
        <w:div w:id="607079881">
          <w:marLeft w:val="0"/>
          <w:marRight w:val="0"/>
          <w:marTop w:val="0"/>
          <w:marBottom w:val="0"/>
          <w:divBdr>
            <w:top w:val="none" w:sz="0" w:space="0" w:color="auto"/>
            <w:left w:val="none" w:sz="0" w:space="0" w:color="auto"/>
            <w:bottom w:val="none" w:sz="0" w:space="0" w:color="auto"/>
            <w:right w:val="none" w:sz="0" w:space="0" w:color="auto"/>
          </w:divBdr>
        </w:div>
        <w:div w:id="646710725">
          <w:marLeft w:val="0"/>
          <w:marRight w:val="0"/>
          <w:marTop w:val="0"/>
          <w:marBottom w:val="0"/>
          <w:divBdr>
            <w:top w:val="none" w:sz="0" w:space="0" w:color="auto"/>
            <w:left w:val="none" w:sz="0" w:space="0" w:color="auto"/>
            <w:bottom w:val="none" w:sz="0" w:space="0" w:color="auto"/>
            <w:right w:val="none" w:sz="0" w:space="0" w:color="auto"/>
          </w:divBdr>
        </w:div>
        <w:div w:id="661203022">
          <w:marLeft w:val="0"/>
          <w:marRight w:val="0"/>
          <w:marTop w:val="0"/>
          <w:marBottom w:val="0"/>
          <w:divBdr>
            <w:top w:val="none" w:sz="0" w:space="0" w:color="auto"/>
            <w:left w:val="none" w:sz="0" w:space="0" w:color="auto"/>
            <w:bottom w:val="none" w:sz="0" w:space="0" w:color="auto"/>
            <w:right w:val="none" w:sz="0" w:space="0" w:color="auto"/>
          </w:divBdr>
        </w:div>
        <w:div w:id="766384098">
          <w:marLeft w:val="0"/>
          <w:marRight w:val="0"/>
          <w:marTop w:val="0"/>
          <w:marBottom w:val="0"/>
          <w:divBdr>
            <w:top w:val="none" w:sz="0" w:space="0" w:color="auto"/>
            <w:left w:val="none" w:sz="0" w:space="0" w:color="auto"/>
            <w:bottom w:val="none" w:sz="0" w:space="0" w:color="auto"/>
            <w:right w:val="none" w:sz="0" w:space="0" w:color="auto"/>
          </w:divBdr>
        </w:div>
        <w:div w:id="965044962">
          <w:marLeft w:val="0"/>
          <w:marRight w:val="0"/>
          <w:marTop w:val="0"/>
          <w:marBottom w:val="0"/>
          <w:divBdr>
            <w:top w:val="none" w:sz="0" w:space="0" w:color="auto"/>
            <w:left w:val="none" w:sz="0" w:space="0" w:color="auto"/>
            <w:bottom w:val="none" w:sz="0" w:space="0" w:color="auto"/>
            <w:right w:val="none" w:sz="0" w:space="0" w:color="auto"/>
          </w:divBdr>
          <w:divsChild>
            <w:div w:id="903566593">
              <w:marLeft w:val="-75"/>
              <w:marRight w:val="0"/>
              <w:marTop w:val="30"/>
              <w:marBottom w:val="30"/>
              <w:divBdr>
                <w:top w:val="none" w:sz="0" w:space="0" w:color="auto"/>
                <w:left w:val="none" w:sz="0" w:space="0" w:color="auto"/>
                <w:bottom w:val="none" w:sz="0" w:space="0" w:color="auto"/>
                <w:right w:val="none" w:sz="0" w:space="0" w:color="auto"/>
              </w:divBdr>
              <w:divsChild>
                <w:div w:id="637493371">
                  <w:marLeft w:val="0"/>
                  <w:marRight w:val="0"/>
                  <w:marTop w:val="0"/>
                  <w:marBottom w:val="0"/>
                  <w:divBdr>
                    <w:top w:val="none" w:sz="0" w:space="0" w:color="auto"/>
                    <w:left w:val="none" w:sz="0" w:space="0" w:color="auto"/>
                    <w:bottom w:val="none" w:sz="0" w:space="0" w:color="auto"/>
                    <w:right w:val="none" w:sz="0" w:space="0" w:color="auto"/>
                  </w:divBdr>
                  <w:divsChild>
                    <w:div w:id="1562593546">
                      <w:marLeft w:val="0"/>
                      <w:marRight w:val="0"/>
                      <w:marTop w:val="0"/>
                      <w:marBottom w:val="0"/>
                      <w:divBdr>
                        <w:top w:val="none" w:sz="0" w:space="0" w:color="auto"/>
                        <w:left w:val="none" w:sz="0" w:space="0" w:color="auto"/>
                        <w:bottom w:val="none" w:sz="0" w:space="0" w:color="auto"/>
                        <w:right w:val="none" w:sz="0" w:space="0" w:color="auto"/>
                      </w:divBdr>
                    </w:div>
                  </w:divsChild>
                </w:div>
                <w:div w:id="978607443">
                  <w:marLeft w:val="0"/>
                  <w:marRight w:val="0"/>
                  <w:marTop w:val="0"/>
                  <w:marBottom w:val="0"/>
                  <w:divBdr>
                    <w:top w:val="none" w:sz="0" w:space="0" w:color="auto"/>
                    <w:left w:val="none" w:sz="0" w:space="0" w:color="auto"/>
                    <w:bottom w:val="none" w:sz="0" w:space="0" w:color="auto"/>
                    <w:right w:val="none" w:sz="0" w:space="0" w:color="auto"/>
                  </w:divBdr>
                  <w:divsChild>
                    <w:div w:id="541405639">
                      <w:marLeft w:val="0"/>
                      <w:marRight w:val="0"/>
                      <w:marTop w:val="0"/>
                      <w:marBottom w:val="0"/>
                      <w:divBdr>
                        <w:top w:val="none" w:sz="0" w:space="0" w:color="auto"/>
                        <w:left w:val="none" w:sz="0" w:space="0" w:color="auto"/>
                        <w:bottom w:val="none" w:sz="0" w:space="0" w:color="auto"/>
                        <w:right w:val="none" w:sz="0" w:space="0" w:color="auto"/>
                      </w:divBdr>
                    </w:div>
                  </w:divsChild>
                </w:div>
                <w:div w:id="1496917313">
                  <w:marLeft w:val="0"/>
                  <w:marRight w:val="0"/>
                  <w:marTop w:val="0"/>
                  <w:marBottom w:val="0"/>
                  <w:divBdr>
                    <w:top w:val="none" w:sz="0" w:space="0" w:color="auto"/>
                    <w:left w:val="none" w:sz="0" w:space="0" w:color="auto"/>
                    <w:bottom w:val="none" w:sz="0" w:space="0" w:color="auto"/>
                    <w:right w:val="none" w:sz="0" w:space="0" w:color="auto"/>
                  </w:divBdr>
                  <w:divsChild>
                    <w:div w:id="1472599474">
                      <w:marLeft w:val="0"/>
                      <w:marRight w:val="0"/>
                      <w:marTop w:val="0"/>
                      <w:marBottom w:val="0"/>
                      <w:divBdr>
                        <w:top w:val="none" w:sz="0" w:space="0" w:color="auto"/>
                        <w:left w:val="none" w:sz="0" w:space="0" w:color="auto"/>
                        <w:bottom w:val="none" w:sz="0" w:space="0" w:color="auto"/>
                        <w:right w:val="none" w:sz="0" w:space="0" w:color="auto"/>
                      </w:divBdr>
                    </w:div>
                  </w:divsChild>
                </w:div>
                <w:div w:id="1772119265">
                  <w:marLeft w:val="0"/>
                  <w:marRight w:val="0"/>
                  <w:marTop w:val="0"/>
                  <w:marBottom w:val="0"/>
                  <w:divBdr>
                    <w:top w:val="none" w:sz="0" w:space="0" w:color="auto"/>
                    <w:left w:val="none" w:sz="0" w:space="0" w:color="auto"/>
                    <w:bottom w:val="none" w:sz="0" w:space="0" w:color="auto"/>
                    <w:right w:val="none" w:sz="0" w:space="0" w:color="auto"/>
                  </w:divBdr>
                  <w:divsChild>
                    <w:div w:id="11543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153499">
          <w:marLeft w:val="0"/>
          <w:marRight w:val="0"/>
          <w:marTop w:val="0"/>
          <w:marBottom w:val="0"/>
          <w:divBdr>
            <w:top w:val="none" w:sz="0" w:space="0" w:color="auto"/>
            <w:left w:val="none" w:sz="0" w:space="0" w:color="auto"/>
            <w:bottom w:val="none" w:sz="0" w:space="0" w:color="auto"/>
            <w:right w:val="none" w:sz="0" w:space="0" w:color="auto"/>
          </w:divBdr>
        </w:div>
        <w:div w:id="1025906452">
          <w:marLeft w:val="0"/>
          <w:marRight w:val="0"/>
          <w:marTop w:val="0"/>
          <w:marBottom w:val="0"/>
          <w:divBdr>
            <w:top w:val="none" w:sz="0" w:space="0" w:color="auto"/>
            <w:left w:val="none" w:sz="0" w:space="0" w:color="auto"/>
            <w:bottom w:val="none" w:sz="0" w:space="0" w:color="auto"/>
            <w:right w:val="none" w:sz="0" w:space="0" w:color="auto"/>
          </w:divBdr>
        </w:div>
        <w:div w:id="1381519967">
          <w:marLeft w:val="0"/>
          <w:marRight w:val="0"/>
          <w:marTop w:val="0"/>
          <w:marBottom w:val="0"/>
          <w:divBdr>
            <w:top w:val="none" w:sz="0" w:space="0" w:color="auto"/>
            <w:left w:val="none" w:sz="0" w:space="0" w:color="auto"/>
            <w:bottom w:val="none" w:sz="0" w:space="0" w:color="auto"/>
            <w:right w:val="none" w:sz="0" w:space="0" w:color="auto"/>
          </w:divBdr>
        </w:div>
        <w:div w:id="1444612202">
          <w:marLeft w:val="0"/>
          <w:marRight w:val="0"/>
          <w:marTop w:val="0"/>
          <w:marBottom w:val="0"/>
          <w:divBdr>
            <w:top w:val="none" w:sz="0" w:space="0" w:color="auto"/>
            <w:left w:val="none" w:sz="0" w:space="0" w:color="auto"/>
            <w:bottom w:val="none" w:sz="0" w:space="0" w:color="auto"/>
            <w:right w:val="none" w:sz="0" w:space="0" w:color="auto"/>
          </w:divBdr>
        </w:div>
        <w:div w:id="1601373468">
          <w:marLeft w:val="0"/>
          <w:marRight w:val="0"/>
          <w:marTop w:val="0"/>
          <w:marBottom w:val="0"/>
          <w:divBdr>
            <w:top w:val="none" w:sz="0" w:space="0" w:color="auto"/>
            <w:left w:val="none" w:sz="0" w:space="0" w:color="auto"/>
            <w:bottom w:val="none" w:sz="0" w:space="0" w:color="auto"/>
            <w:right w:val="none" w:sz="0" w:space="0" w:color="auto"/>
          </w:divBdr>
        </w:div>
      </w:divsChild>
    </w:div>
    <w:div w:id="676466435">
      <w:bodyDiv w:val="1"/>
      <w:marLeft w:val="0"/>
      <w:marRight w:val="0"/>
      <w:marTop w:val="0"/>
      <w:marBottom w:val="0"/>
      <w:divBdr>
        <w:top w:val="none" w:sz="0" w:space="0" w:color="auto"/>
        <w:left w:val="none" w:sz="0" w:space="0" w:color="auto"/>
        <w:bottom w:val="none" w:sz="0" w:space="0" w:color="auto"/>
        <w:right w:val="none" w:sz="0" w:space="0" w:color="auto"/>
      </w:divBdr>
      <w:divsChild>
        <w:div w:id="236286424">
          <w:marLeft w:val="0"/>
          <w:marRight w:val="0"/>
          <w:marTop w:val="0"/>
          <w:marBottom w:val="0"/>
          <w:divBdr>
            <w:top w:val="none" w:sz="0" w:space="0" w:color="auto"/>
            <w:left w:val="none" w:sz="0" w:space="0" w:color="auto"/>
            <w:bottom w:val="none" w:sz="0" w:space="0" w:color="auto"/>
            <w:right w:val="none" w:sz="0" w:space="0" w:color="auto"/>
          </w:divBdr>
        </w:div>
        <w:div w:id="484398730">
          <w:marLeft w:val="0"/>
          <w:marRight w:val="0"/>
          <w:marTop w:val="0"/>
          <w:marBottom w:val="0"/>
          <w:divBdr>
            <w:top w:val="none" w:sz="0" w:space="0" w:color="auto"/>
            <w:left w:val="none" w:sz="0" w:space="0" w:color="auto"/>
            <w:bottom w:val="none" w:sz="0" w:space="0" w:color="auto"/>
            <w:right w:val="none" w:sz="0" w:space="0" w:color="auto"/>
          </w:divBdr>
        </w:div>
        <w:div w:id="524946624">
          <w:marLeft w:val="0"/>
          <w:marRight w:val="0"/>
          <w:marTop w:val="0"/>
          <w:marBottom w:val="0"/>
          <w:divBdr>
            <w:top w:val="none" w:sz="0" w:space="0" w:color="auto"/>
            <w:left w:val="none" w:sz="0" w:space="0" w:color="auto"/>
            <w:bottom w:val="none" w:sz="0" w:space="0" w:color="auto"/>
            <w:right w:val="none" w:sz="0" w:space="0" w:color="auto"/>
          </w:divBdr>
        </w:div>
        <w:div w:id="532807706">
          <w:marLeft w:val="0"/>
          <w:marRight w:val="0"/>
          <w:marTop w:val="0"/>
          <w:marBottom w:val="0"/>
          <w:divBdr>
            <w:top w:val="none" w:sz="0" w:space="0" w:color="auto"/>
            <w:left w:val="none" w:sz="0" w:space="0" w:color="auto"/>
            <w:bottom w:val="none" w:sz="0" w:space="0" w:color="auto"/>
            <w:right w:val="none" w:sz="0" w:space="0" w:color="auto"/>
          </w:divBdr>
        </w:div>
        <w:div w:id="1758090243">
          <w:marLeft w:val="0"/>
          <w:marRight w:val="0"/>
          <w:marTop w:val="0"/>
          <w:marBottom w:val="0"/>
          <w:divBdr>
            <w:top w:val="none" w:sz="0" w:space="0" w:color="auto"/>
            <w:left w:val="none" w:sz="0" w:space="0" w:color="auto"/>
            <w:bottom w:val="none" w:sz="0" w:space="0" w:color="auto"/>
            <w:right w:val="none" w:sz="0" w:space="0" w:color="auto"/>
          </w:divBdr>
        </w:div>
      </w:divsChild>
    </w:div>
    <w:div w:id="679504574">
      <w:bodyDiv w:val="1"/>
      <w:marLeft w:val="0"/>
      <w:marRight w:val="0"/>
      <w:marTop w:val="0"/>
      <w:marBottom w:val="0"/>
      <w:divBdr>
        <w:top w:val="none" w:sz="0" w:space="0" w:color="auto"/>
        <w:left w:val="none" w:sz="0" w:space="0" w:color="auto"/>
        <w:bottom w:val="none" w:sz="0" w:space="0" w:color="auto"/>
        <w:right w:val="none" w:sz="0" w:space="0" w:color="auto"/>
      </w:divBdr>
      <w:divsChild>
        <w:div w:id="815225099">
          <w:marLeft w:val="0"/>
          <w:marRight w:val="0"/>
          <w:marTop w:val="0"/>
          <w:marBottom w:val="0"/>
          <w:divBdr>
            <w:top w:val="none" w:sz="0" w:space="0" w:color="auto"/>
            <w:left w:val="none" w:sz="0" w:space="0" w:color="auto"/>
            <w:bottom w:val="none" w:sz="0" w:space="0" w:color="auto"/>
            <w:right w:val="none" w:sz="0" w:space="0" w:color="auto"/>
          </w:divBdr>
        </w:div>
      </w:divsChild>
    </w:div>
    <w:div w:id="715350309">
      <w:bodyDiv w:val="1"/>
      <w:marLeft w:val="0"/>
      <w:marRight w:val="0"/>
      <w:marTop w:val="0"/>
      <w:marBottom w:val="0"/>
      <w:divBdr>
        <w:top w:val="none" w:sz="0" w:space="0" w:color="auto"/>
        <w:left w:val="none" w:sz="0" w:space="0" w:color="auto"/>
        <w:bottom w:val="none" w:sz="0" w:space="0" w:color="auto"/>
        <w:right w:val="none" w:sz="0" w:space="0" w:color="auto"/>
      </w:divBdr>
      <w:divsChild>
        <w:div w:id="241330583">
          <w:marLeft w:val="0"/>
          <w:marRight w:val="0"/>
          <w:marTop w:val="0"/>
          <w:marBottom w:val="0"/>
          <w:divBdr>
            <w:top w:val="none" w:sz="0" w:space="0" w:color="auto"/>
            <w:left w:val="none" w:sz="0" w:space="0" w:color="auto"/>
            <w:bottom w:val="none" w:sz="0" w:space="0" w:color="auto"/>
            <w:right w:val="none" w:sz="0" w:space="0" w:color="auto"/>
          </w:divBdr>
        </w:div>
        <w:div w:id="624695271">
          <w:marLeft w:val="0"/>
          <w:marRight w:val="0"/>
          <w:marTop w:val="0"/>
          <w:marBottom w:val="0"/>
          <w:divBdr>
            <w:top w:val="none" w:sz="0" w:space="0" w:color="auto"/>
            <w:left w:val="none" w:sz="0" w:space="0" w:color="auto"/>
            <w:bottom w:val="none" w:sz="0" w:space="0" w:color="auto"/>
            <w:right w:val="none" w:sz="0" w:space="0" w:color="auto"/>
          </w:divBdr>
        </w:div>
        <w:div w:id="1206681343">
          <w:marLeft w:val="0"/>
          <w:marRight w:val="0"/>
          <w:marTop w:val="0"/>
          <w:marBottom w:val="0"/>
          <w:divBdr>
            <w:top w:val="none" w:sz="0" w:space="0" w:color="auto"/>
            <w:left w:val="none" w:sz="0" w:space="0" w:color="auto"/>
            <w:bottom w:val="none" w:sz="0" w:space="0" w:color="auto"/>
            <w:right w:val="none" w:sz="0" w:space="0" w:color="auto"/>
          </w:divBdr>
        </w:div>
        <w:div w:id="1574124102">
          <w:marLeft w:val="0"/>
          <w:marRight w:val="0"/>
          <w:marTop w:val="0"/>
          <w:marBottom w:val="0"/>
          <w:divBdr>
            <w:top w:val="none" w:sz="0" w:space="0" w:color="auto"/>
            <w:left w:val="none" w:sz="0" w:space="0" w:color="auto"/>
            <w:bottom w:val="none" w:sz="0" w:space="0" w:color="auto"/>
            <w:right w:val="none" w:sz="0" w:space="0" w:color="auto"/>
          </w:divBdr>
          <w:divsChild>
            <w:div w:id="96026665">
              <w:marLeft w:val="0"/>
              <w:marRight w:val="0"/>
              <w:marTop w:val="0"/>
              <w:marBottom w:val="0"/>
              <w:divBdr>
                <w:top w:val="none" w:sz="0" w:space="0" w:color="auto"/>
                <w:left w:val="none" w:sz="0" w:space="0" w:color="auto"/>
                <w:bottom w:val="none" w:sz="0" w:space="0" w:color="auto"/>
                <w:right w:val="none" w:sz="0" w:space="0" w:color="auto"/>
              </w:divBdr>
            </w:div>
            <w:div w:id="311256390">
              <w:marLeft w:val="0"/>
              <w:marRight w:val="0"/>
              <w:marTop w:val="0"/>
              <w:marBottom w:val="0"/>
              <w:divBdr>
                <w:top w:val="none" w:sz="0" w:space="0" w:color="auto"/>
                <w:left w:val="none" w:sz="0" w:space="0" w:color="auto"/>
                <w:bottom w:val="none" w:sz="0" w:space="0" w:color="auto"/>
                <w:right w:val="none" w:sz="0" w:space="0" w:color="auto"/>
              </w:divBdr>
            </w:div>
            <w:div w:id="855660300">
              <w:marLeft w:val="0"/>
              <w:marRight w:val="0"/>
              <w:marTop w:val="0"/>
              <w:marBottom w:val="0"/>
              <w:divBdr>
                <w:top w:val="none" w:sz="0" w:space="0" w:color="auto"/>
                <w:left w:val="none" w:sz="0" w:space="0" w:color="auto"/>
                <w:bottom w:val="none" w:sz="0" w:space="0" w:color="auto"/>
                <w:right w:val="none" w:sz="0" w:space="0" w:color="auto"/>
              </w:divBdr>
            </w:div>
            <w:div w:id="1708143611">
              <w:marLeft w:val="0"/>
              <w:marRight w:val="0"/>
              <w:marTop w:val="0"/>
              <w:marBottom w:val="0"/>
              <w:divBdr>
                <w:top w:val="none" w:sz="0" w:space="0" w:color="auto"/>
                <w:left w:val="none" w:sz="0" w:space="0" w:color="auto"/>
                <w:bottom w:val="none" w:sz="0" w:space="0" w:color="auto"/>
                <w:right w:val="none" w:sz="0" w:space="0" w:color="auto"/>
              </w:divBdr>
            </w:div>
            <w:div w:id="1989359753">
              <w:marLeft w:val="0"/>
              <w:marRight w:val="0"/>
              <w:marTop w:val="0"/>
              <w:marBottom w:val="0"/>
              <w:divBdr>
                <w:top w:val="none" w:sz="0" w:space="0" w:color="auto"/>
                <w:left w:val="none" w:sz="0" w:space="0" w:color="auto"/>
                <w:bottom w:val="none" w:sz="0" w:space="0" w:color="auto"/>
                <w:right w:val="none" w:sz="0" w:space="0" w:color="auto"/>
              </w:divBdr>
            </w:div>
          </w:divsChild>
        </w:div>
        <w:div w:id="1727416080">
          <w:marLeft w:val="0"/>
          <w:marRight w:val="0"/>
          <w:marTop w:val="0"/>
          <w:marBottom w:val="0"/>
          <w:divBdr>
            <w:top w:val="none" w:sz="0" w:space="0" w:color="auto"/>
            <w:left w:val="none" w:sz="0" w:space="0" w:color="auto"/>
            <w:bottom w:val="none" w:sz="0" w:space="0" w:color="auto"/>
            <w:right w:val="none" w:sz="0" w:space="0" w:color="auto"/>
          </w:divBdr>
        </w:div>
        <w:div w:id="1953324495">
          <w:marLeft w:val="0"/>
          <w:marRight w:val="0"/>
          <w:marTop w:val="0"/>
          <w:marBottom w:val="0"/>
          <w:divBdr>
            <w:top w:val="none" w:sz="0" w:space="0" w:color="auto"/>
            <w:left w:val="none" w:sz="0" w:space="0" w:color="auto"/>
            <w:bottom w:val="none" w:sz="0" w:space="0" w:color="auto"/>
            <w:right w:val="none" w:sz="0" w:space="0" w:color="auto"/>
          </w:divBdr>
        </w:div>
        <w:div w:id="1984581380">
          <w:marLeft w:val="0"/>
          <w:marRight w:val="0"/>
          <w:marTop w:val="0"/>
          <w:marBottom w:val="0"/>
          <w:divBdr>
            <w:top w:val="none" w:sz="0" w:space="0" w:color="auto"/>
            <w:left w:val="none" w:sz="0" w:space="0" w:color="auto"/>
            <w:bottom w:val="none" w:sz="0" w:space="0" w:color="auto"/>
            <w:right w:val="none" w:sz="0" w:space="0" w:color="auto"/>
          </w:divBdr>
        </w:div>
        <w:div w:id="2021664023">
          <w:marLeft w:val="0"/>
          <w:marRight w:val="0"/>
          <w:marTop w:val="0"/>
          <w:marBottom w:val="0"/>
          <w:divBdr>
            <w:top w:val="none" w:sz="0" w:space="0" w:color="auto"/>
            <w:left w:val="none" w:sz="0" w:space="0" w:color="auto"/>
            <w:bottom w:val="none" w:sz="0" w:space="0" w:color="auto"/>
            <w:right w:val="none" w:sz="0" w:space="0" w:color="auto"/>
          </w:divBdr>
        </w:div>
      </w:divsChild>
    </w:div>
    <w:div w:id="717511053">
      <w:bodyDiv w:val="1"/>
      <w:marLeft w:val="0"/>
      <w:marRight w:val="0"/>
      <w:marTop w:val="0"/>
      <w:marBottom w:val="0"/>
      <w:divBdr>
        <w:top w:val="none" w:sz="0" w:space="0" w:color="auto"/>
        <w:left w:val="none" w:sz="0" w:space="0" w:color="auto"/>
        <w:bottom w:val="none" w:sz="0" w:space="0" w:color="auto"/>
        <w:right w:val="none" w:sz="0" w:space="0" w:color="auto"/>
      </w:divBdr>
      <w:divsChild>
        <w:div w:id="1055004315">
          <w:marLeft w:val="0"/>
          <w:marRight w:val="0"/>
          <w:marTop w:val="0"/>
          <w:marBottom w:val="0"/>
          <w:divBdr>
            <w:top w:val="none" w:sz="0" w:space="0" w:color="auto"/>
            <w:left w:val="none" w:sz="0" w:space="0" w:color="auto"/>
            <w:bottom w:val="none" w:sz="0" w:space="0" w:color="auto"/>
            <w:right w:val="none" w:sz="0" w:space="0" w:color="auto"/>
          </w:divBdr>
        </w:div>
        <w:div w:id="2052999304">
          <w:marLeft w:val="0"/>
          <w:marRight w:val="0"/>
          <w:marTop w:val="0"/>
          <w:marBottom w:val="0"/>
          <w:divBdr>
            <w:top w:val="none" w:sz="0" w:space="0" w:color="auto"/>
            <w:left w:val="none" w:sz="0" w:space="0" w:color="auto"/>
            <w:bottom w:val="none" w:sz="0" w:space="0" w:color="auto"/>
            <w:right w:val="none" w:sz="0" w:space="0" w:color="auto"/>
          </w:divBdr>
        </w:div>
      </w:divsChild>
    </w:div>
    <w:div w:id="744761652">
      <w:bodyDiv w:val="1"/>
      <w:marLeft w:val="0"/>
      <w:marRight w:val="0"/>
      <w:marTop w:val="0"/>
      <w:marBottom w:val="0"/>
      <w:divBdr>
        <w:top w:val="none" w:sz="0" w:space="0" w:color="auto"/>
        <w:left w:val="none" w:sz="0" w:space="0" w:color="auto"/>
        <w:bottom w:val="none" w:sz="0" w:space="0" w:color="auto"/>
        <w:right w:val="none" w:sz="0" w:space="0" w:color="auto"/>
      </w:divBdr>
      <w:divsChild>
        <w:div w:id="124930607">
          <w:marLeft w:val="0"/>
          <w:marRight w:val="0"/>
          <w:marTop w:val="0"/>
          <w:marBottom w:val="0"/>
          <w:divBdr>
            <w:top w:val="none" w:sz="0" w:space="0" w:color="auto"/>
            <w:left w:val="none" w:sz="0" w:space="0" w:color="auto"/>
            <w:bottom w:val="none" w:sz="0" w:space="0" w:color="auto"/>
            <w:right w:val="none" w:sz="0" w:space="0" w:color="auto"/>
          </w:divBdr>
        </w:div>
        <w:div w:id="188954969">
          <w:marLeft w:val="0"/>
          <w:marRight w:val="0"/>
          <w:marTop w:val="0"/>
          <w:marBottom w:val="0"/>
          <w:divBdr>
            <w:top w:val="none" w:sz="0" w:space="0" w:color="auto"/>
            <w:left w:val="none" w:sz="0" w:space="0" w:color="auto"/>
            <w:bottom w:val="none" w:sz="0" w:space="0" w:color="auto"/>
            <w:right w:val="none" w:sz="0" w:space="0" w:color="auto"/>
          </w:divBdr>
        </w:div>
        <w:div w:id="646402030">
          <w:marLeft w:val="0"/>
          <w:marRight w:val="0"/>
          <w:marTop w:val="0"/>
          <w:marBottom w:val="0"/>
          <w:divBdr>
            <w:top w:val="none" w:sz="0" w:space="0" w:color="auto"/>
            <w:left w:val="none" w:sz="0" w:space="0" w:color="auto"/>
            <w:bottom w:val="none" w:sz="0" w:space="0" w:color="auto"/>
            <w:right w:val="none" w:sz="0" w:space="0" w:color="auto"/>
          </w:divBdr>
        </w:div>
        <w:div w:id="930745976">
          <w:marLeft w:val="0"/>
          <w:marRight w:val="0"/>
          <w:marTop w:val="0"/>
          <w:marBottom w:val="0"/>
          <w:divBdr>
            <w:top w:val="none" w:sz="0" w:space="0" w:color="auto"/>
            <w:left w:val="none" w:sz="0" w:space="0" w:color="auto"/>
            <w:bottom w:val="none" w:sz="0" w:space="0" w:color="auto"/>
            <w:right w:val="none" w:sz="0" w:space="0" w:color="auto"/>
          </w:divBdr>
        </w:div>
        <w:div w:id="1806897890">
          <w:marLeft w:val="0"/>
          <w:marRight w:val="0"/>
          <w:marTop w:val="0"/>
          <w:marBottom w:val="0"/>
          <w:divBdr>
            <w:top w:val="none" w:sz="0" w:space="0" w:color="auto"/>
            <w:left w:val="none" w:sz="0" w:space="0" w:color="auto"/>
            <w:bottom w:val="none" w:sz="0" w:space="0" w:color="auto"/>
            <w:right w:val="none" w:sz="0" w:space="0" w:color="auto"/>
          </w:divBdr>
        </w:div>
      </w:divsChild>
    </w:div>
    <w:div w:id="748187704">
      <w:bodyDiv w:val="1"/>
      <w:marLeft w:val="0"/>
      <w:marRight w:val="0"/>
      <w:marTop w:val="0"/>
      <w:marBottom w:val="0"/>
      <w:divBdr>
        <w:top w:val="none" w:sz="0" w:space="0" w:color="auto"/>
        <w:left w:val="none" w:sz="0" w:space="0" w:color="auto"/>
        <w:bottom w:val="none" w:sz="0" w:space="0" w:color="auto"/>
        <w:right w:val="none" w:sz="0" w:space="0" w:color="auto"/>
      </w:divBdr>
      <w:divsChild>
        <w:div w:id="333992166">
          <w:marLeft w:val="0"/>
          <w:marRight w:val="0"/>
          <w:marTop w:val="0"/>
          <w:marBottom w:val="0"/>
          <w:divBdr>
            <w:top w:val="none" w:sz="0" w:space="0" w:color="auto"/>
            <w:left w:val="none" w:sz="0" w:space="0" w:color="auto"/>
            <w:bottom w:val="none" w:sz="0" w:space="0" w:color="auto"/>
            <w:right w:val="none" w:sz="0" w:space="0" w:color="auto"/>
          </w:divBdr>
        </w:div>
        <w:div w:id="733309085">
          <w:marLeft w:val="0"/>
          <w:marRight w:val="0"/>
          <w:marTop w:val="0"/>
          <w:marBottom w:val="0"/>
          <w:divBdr>
            <w:top w:val="none" w:sz="0" w:space="0" w:color="auto"/>
            <w:left w:val="none" w:sz="0" w:space="0" w:color="auto"/>
            <w:bottom w:val="none" w:sz="0" w:space="0" w:color="auto"/>
            <w:right w:val="none" w:sz="0" w:space="0" w:color="auto"/>
          </w:divBdr>
        </w:div>
        <w:div w:id="979768016">
          <w:marLeft w:val="0"/>
          <w:marRight w:val="0"/>
          <w:marTop w:val="0"/>
          <w:marBottom w:val="0"/>
          <w:divBdr>
            <w:top w:val="none" w:sz="0" w:space="0" w:color="auto"/>
            <w:left w:val="none" w:sz="0" w:space="0" w:color="auto"/>
            <w:bottom w:val="none" w:sz="0" w:space="0" w:color="auto"/>
            <w:right w:val="none" w:sz="0" w:space="0" w:color="auto"/>
          </w:divBdr>
        </w:div>
        <w:div w:id="1188593248">
          <w:marLeft w:val="0"/>
          <w:marRight w:val="0"/>
          <w:marTop w:val="0"/>
          <w:marBottom w:val="0"/>
          <w:divBdr>
            <w:top w:val="none" w:sz="0" w:space="0" w:color="auto"/>
            <w:left w:val="none" w:sz="0" w:space="0" w:color="auto"/>
            <w:bottom w:val="none" w:sz="0" w:space="0" w:color="auto"/>
            <w:right w:val="none" w:sz="0" w:space="0" w:color="auto"/>
          </w:divBdr>
        </w:div>
        <w:div w:id="1253512454">
          <w:marLeft w:val="0"/>
          <w:marRight w:val="0"/>
          <w:marTop w:val="0"/>
          <w:marBottom w:val="0"/>
          <w:divBdr>
            <w:top w:val="none" w:sz="0" w:space="0" w:color="auto"/>
            <w:left w:val="none" w:sz="0" w:space="0" w:color="auto"/>
            <w:bottom w:val="none" w:sz="0" w:space="0" w:color="auto"/>
            <w:right w:val="none" w:sz="0" w:space="0" w:color="auto"/>
          </w:divBdr>
        </w:div>
        <w:div w:id="1311447854">
          <w:marLeft w:val="0"/>
          <w:marRight w:val="0"/>
          <w:marTop w:val="0"/>
          <w:marBottom w:val="0"/>
          <w:divBdr>
            <w:top w:val="none" w:sz="0" w:space="0" w:color="auto"/>
            <w:left w:val="none" w:sz="0" w:space="0" w:color="auto"/>
            <w:bottom w:val="none" w:sz="0" w:space="0" w:color="auto"/>
            <w:right w:val="none" w:sz="0" w:space="0" w:color="auto"/>
          </w:divBdr>
        </w:div>
        <w:div w:id="1781410907">
          <w:marLeft w:val="0"/>
          <w:marRight w:val="0"/>
          <w:marTop w:val="0"/>
          <w:marBottom w:val="0"/>
          <w:divBdr>
            <w:top w:val="none" w:sz="0" w:space="0" w:color="auto"/>
            <w:left w:val="none" w:sz="0" w:space="0" w:color="auto"/>
            <w:bottom w:val="none" w:sz="0" w:space="0" w:color="auto"/>
            <w:right w:val="none" w:sz="0" w:space="0" w:color="auto"/>
          </w:divBdr>
        </w:div>
      </w:divsChild>
    </w:div>
    <w:div w:id="759453537">
      <w:bodyDiv w:val="1"/>
      <w:marLeft w:val="0"/>
      <w:marRight w:val="0"/>
      <w:marTop w:val="0"/>
      <w:marBottom w:val="0"/>
      <w:divBdr>
        <w:top w:val="none" w:sz="0" w:space="0" w:color="auto"/>
        <w:left w:val="none" w:sz="0" w:space="0" w:color="auto"/>
        <w:bottom w:val="none" w:sz="0" w:space="0" w:color="auto"/>
        <w:right w:val="none" w:sz="0" w:space="0" w:color="auto"/>
      </w:divBdr>
      <w:divsChild>
        <w:div w:id="479225969">
          <w:marLeft w:val="0"/>
          <w:marRight w:val="0"/>
          <w:marTop w:val="0"/>
          <w:marBottom w:val="0"/>
          <w:divBdr>
            <w:top w:val="none" w:sz="0" w:space="0" w:color="auto"/>
            <w:left w:val="none" w:sz="0" w:space="0" w:color="auto"/>
            <w:bottom w:val="none" w:sz="0" w:space="0" w:color="auto"/>
            <w:right w:val="none" w:sz="0" w:space="0" w:color="auto"/>
          </w:divBdr>
        </w:div>
        <w:div w:id="1739401747">
          <w:marLeft w:val="0"/>
          <w:marRight w:val="0"/>
          <w:marTop w:val="0"/>
          <w:marBottom w:val="0"/>
          <w:divBdr>
            <w:top w:val="none" w:sz="0" w:space="0" w:color="auto"/>
            <w:left w:val="none" w:sz="0" w:space="0" w:color="auto"/>
            <w:bottom w:val="none" w:sz="0" w:space="0" w:color="auto"/>
            <w:right w:val="none" w:sz="0" w:space="0" w:color="auto"/>
          </w:divBdr>
        </w:div>
        <w:div w:id="1875576245">
          <w:marLeft w:val="0"/>
          <w:marRight w:val="0"/>
          <w:marTop w:val="0"/>
          <w:marBottom w:val="0"/>
          <w:divBdr>
            <w:top w:val="none" w:sz="0" w:space="0" w:color="auto"/>
            <w:left w:val="none" w:sz="0" w:space="0" w:color="auto"/>
            <w:bottom w:val="none" w:sz="0" w:space="0" w:color="auto"/>
            <w:right w:val="none" w:sz="0" w:space="0" w:color="auto"/>
          </w:divBdr>
        </w:div>
        <w:div w:id="2005627377">
          <w:marLeft w:val="0"/>
          <w:marRight w:val="0"/>
          <w:marTop w:val="0"/>
          <w:marBottom w:val="0"/>
          <w:divBdr>
            <w:top w:val="none" w:sz="0" w:space="0" w:color="auto"/>
            <w:left w:val="none" w:sz="0" w:space="0" w:color="auto"/>
            <w:bottom w:val="none" w:sz="0" w:space="0" w:color="auto"/>
            <w:right w:val="none" w:sz="0" w:space="0" w:color="auto"/>
          </w:divBdr>
        </w:div>
        <w:div w:id="2102753970">
          <w:marLeft w:val="0"/>
          <w:marRight w:val="0"/>
          <w:marTop w:val="0"/>
          <w:marBottom w:val="0"/>
          <w:divBdr>
            <w:top w:val="none" w:sz="0" w:space="0" w:color="auto"/>
            <w:left w:val="none" w:sz="0" w:space="0" w:color="auto"/>
            <w:bottom w:val="none" w:sz="0" w:space="0" w:color="auto"/>
            <w:right w:val="none" w:sz="0" w:space="0" w:color="auto"/>
          </w:divBdr>
        </w:div>
      </w:divsChild>
    </w:div>
    <w:div w:id="773012158">
      <w:bodyDiv w:val="1"/>
      <w:marLeft w:val="0"/>
      <w:marRight w:val="0"/>
      <w:marTop w:val="0"/>
      <w:marBottom w:val="0"/>
      <w:divBdr>
        <w:top w:val="none" w:sz="0" w:space="0" w:color="auto"/>
        <w:left w:val="none" w:sz="0" w:space="0" w:color="auto"/>
        <w:bottom w:val="none" w:sz="0" w:space="0" w:color="auto"/>
        <w:right w:val="none" w:sz="0" w:space="0" w:color="auto"/>
      </w:divBdr>
      <w:divsChild>
        <w:div w:id="108280256">
          <w:marLeft w:val="0"/>
          <w:marRight w:val="0"/>
          <w:marTop w:val="0"/>
          <w:marBottom w:val="0"/>
          <w:divBdr>
            <w:top w:val="none" w:sz="0" w:space="0" w:color="auto"/>
            <w:left w:val="none" w:sz="0" w:space="0" w:color="auto"/>
            <w:bottom w:val="none" w:sz="0" w:space="0" w:color="auto"/>
            <w:right w:val="none" w:sz="0" w:space="0" w:color="auto"/>
          </w:divBdr>
        </w:div>
        <w:div w:id="259023022">
          <w:marLeft w:val="0"/>
          <w:marRight w:val="0"/>
          <w:marTop w:val="0"/>
          <w:marBottom w:val="0"/>
          <w:divBdr>
            <w:top w:val="none" w:sz="0" w:space="0" w:color="auto"/>
            <w:left w:val="none" w:sz="0" w:space="0" w:color="auto"/>
            <w:bottom w:val="none" w:sz="0" w:space="0" w:color="auto"/>
            <w:right w:val="none" w:sz="0" w:space="0" w:color="auto"/>
          </w:divBdr>
        </w:div>
        <w:div w:id="317000009">
          <w:marLeft w:val="0"/>
          <w:marRight w:val="0"/>
          <w:marTop w:val="0"/>
          <w:marBottom w:val="0"/>
          <w:divBdr>
            <w:top w:val="none" w:sz="0" w:space="0" w:color="auto"/>
            <w:left w:val="none" w:sz="0" w:space="0" w:color="auto"/>
            <w:bottom w:val="none" w:sz="0" w:space="0" w:color="auto"/>
            <w:right w:val="none" w:sz="0" w:space="0" w:color="auto"/>
          </w:divBdr>
        </w:div>
        <w:div w:id="616329147">
          <w:marLeft w:val="0"/>
          <w:marRight w:val="0"/>
          <w:marTop w:val="0"/>
          <w:marBottom w:val="0"/>
          <w:divBdr>
            <w:top w:val="none" w:sz="0" w:space="0" w:color="auto"/>
            <w:left w:val="none" w:sz="0" w:space="0" w:color="auto"/>
            <w:bottom w:val="none" w:sz="0" w:space="0" w:color="auto"/>
            <w:right w:val="none" w:sz="0" w:space="0" w:color="auto"/>
          </w:divBdr>
        </w:div>
        <w:div w:id="1516461606">
          <w:marLeft w:val="0"/>
          <w:marRight w:val="0"/>
          <w:marTop w:val="0"/>
          <w:marBottom w:val="0"/>
          <w:divBdr>
            <w:top w:val="none" w:sz="0" w:space="0" w:color="auto"/>
            <w:left w:val="none" w:sz="0" w:space="0" w:color="auto"/>
            <w:bottom w:val="none" w:sz="0" w:space="0" w:color="auto"/>
            <w:right w:val="none" w:sz="0" w:space="0" w:color="auto"/>
          </w:divBdr>
        </w:div>
      </w:divsChild>
    </w:div>
    <w:div w:id="778137135">
      <w:bodyDiv w:val="1"/>
      <w:marLeft w:val="0"/>
      <w:marRight w:val="0"/>
      <w:marTop w:val="0"/>
      <w:marBottom w:val="0"/>
      <w:divBdr>
        <w:top w:val="none" w:sz="0" w:space="0" w:color="auto"/>
        <w:left w:val="none" w:sz="0" w:space="0" w:color="auto"/>
        <w:bottom w:val="none" w:sz="0" w:space="0" w:color="auto"/>
        <w:right w:val="none" w:sz="0" w:space="0" w:color="auto"/>
      </w:divBdr>
      <w:divsChild>
        <w:div w:id="580213564">
          <w:marLeft w:val="0"/>
          <w:marRight w:val="0"/>
          <w:marTop w:val="0"/>
          <w:marBottom w:val="0"/>
          <w:divBdr>
            <w:top w:val="none" w:sz="0" w:space="0" w:color="auto"/>
            <w:left w:val="none" w:sz="0" w:space="0" w:color="auto"/>
            <w:bottom w:val="none" w:sz="0" w:space="0" w:color="auto"/>
            <w:right w:val="none" w:sz="0" w:space="0" w:color="auto"/>
          </w:divBdr>
        </w:div>
        <w:div w:id="597566980">
          <w:marLeft w:val="0"/>
          <w:marRight w:val="0"/>
          <w:marTop w:val="0"/>
          <w:marBottom w:val="0"/>
          <w:divBdr>
            <w:top w:val="none" w:sz="0" w:space="0" w:color="auto"/>
            <w:left w:val="none" w:sz="0" w:space="0" w:color="auto"/>
            <w:bottom w:val="none" w:sz="0" w:space="0" w:color="auto"/>
            <w:right w:val="none" w:sz="0" w:space="0" w:color="auto"/>
          </w:divBdr>
        </w:div>
        <w:div w:id="1158568924">
          <w:marLeft w:val="0"/>
          <w:marRight w:val="0"/>
          <w:marTop w:val="0"/>
          <w:marBottom w:val="0"/>
          <w:divBdr>
            <w:top w:val="none" w:sz="0" w:space="0" w:color="auto"/>
            <w:left w:val="none" w:sz="0" w:space="0" w:color="auto"/>
            <w:bottom w:val="none" w:sz="0" w:space="0" w:color="auto"/>
            <w:right w:val="none" w:sz="0" w:space="0" w:color="auto"/>
          </w:divBdr>
        </w:div>
        <w:div w:id="1776365603">
          <w:marLeft w:val="0"/>
          <w:marRight w:val="0"/>
          <w:marTop w:val="0"/>
          <w:marBottom w:val="0"/>
          <w:divBdr>
            <w:top w:val="none" w:sz="0" w:space="0" w:color="auto"/>
            <w:left w:val="none" w:sz="0" w:space="0" w:color="auto"/>
            <w:bottom w:val="none" w:sz="0" w:space="0" w:color="auto"/>
            <w:right w:val="none" w:sz="0" w:space="0" w:color="auto"/>
          </w:divBdr>
        </w:div>
        <w:div w:id="1936354509">
          <w:marLeft w:val="0"/>
          <w:marRight w:val="0"/>
          <w:marTop w:val="0"/>
          <w:marBottom w:val="0"/>
          <w:divBdr>
            <w:top w:val="none" w:sz="0" w:space="0" w:color="auto"/>
            <w:left w:val="none" w:sz="0" w:space="0" w:color="auto"/>
            <w:bottom w:val="none" w:sz="0" w:space="0" w:color="auto"/>
            <w:right w:val="none" w:sz="0" w:space="0" w:color="auto"/>
          </w:divBdr>
        </w:div>
      </w:divsChild>
    </w:div>
    <w:div w:id="797184055">
      <w:bodyDiv w:val="1"/>
      <w:marLeft w:val="0"/>
      <w:marRight w:val="0"/>
      <w:marTop w:val="0"/>
      <w:marBottom w:val="0"/>
      <w:divBdr>
        <w:top w:val="none" w:sz="0" w:space="0" w:color="auto"/>
        <w:left w:val="none" w:sz="0" w:space="0" w:color="auto"/>
        <w:bottom w:val="none" w:sz="0" w:space="0" w:color="auto"/>
        <w:right w:val="none" w:sz="0" w:space="0" w:color="auto"/>
      </w:divBdr>
      <w:divsChild>
        <w:div w:id="440537254">
          <w:marLeft w:val="0"/>
          <w:marRight w:val="0"/>
          <w:marTop w:val="0"/>
          <w:marBottom w:val="0"/>
          <w:divBdr>
            <w:top w:val="none" w:sz="0" w:space="0" w:color="auto"/>
            <w:left w:val="none" w:sz="0" w:space="0" w:color="auto"/>
            <w:bottom w:val="none" w:sz="0" w:space="0" w:color="auto"/>
            <w:right w:val="none" w:sz="0" w:space="0" w:color="auto"/>
          </w:divBdr>
        </w:div>
        <w:div w:id="549221266">
          <w:marLeft w:val="0"/>
          <w:marRight w:val="0"/>
          <w:marTop w:val="0"/>
          <w:marBottom w:val="0"/>
          <w:divBdr>
            <w:top w:val="none" w:sz="0" w:space="0" w:color="auto"/>
            <w:left w:val="none" w:sz="0" w:space="0" w:color="auto"/>
            <w:bottom w:val="none" w:sz="0" w:space="0" w:color="auto"/>
            <w:right w:val="none" w:sz="0" w:space="0" w:color="auto"/>
          </w:divBdr>
        </w:div>
        <w:div w:id="1144008071">
          <w:marLeft w:val="0"/>
          <w:marRight w:val="0"/>
          <w:marTop w:val="0"/>
          <w:marBottom w:val="0"/>
          <w:divBdr>
            <w:top w:val="none" w:sz="0" w:space="0" w:color="auto"/>
            <w:left w:val="none" w:sz="0" w:space="0" w:color="auto"/>
            <w:bottom w:val="none" w:sz="0" w:space="0" w:color="auto"/>
            <w:right w:val="none" w:sz="0" w:space="0" w:color="auto"/>
          </w:divBdr>
        </w:div>
        <w:div w:id="1416897382">
          <w:marLeft w:val="0"/>
          <w:marRight w:val="0"/>
          <w:marTop w:val="0"/>
          <w:marBottom w:val="0"/>
          <w:divBdr>
            <w:top w:val="none" w:sz="0" w:space="0" w:color="auto"/>
            <w:left w:val="none" w:sz="0" w:space="0" w:color="auto"/>
            <w:bottom w:val="none" w:sz="0" w:space="0" w:color="auto"/>
            <w:right w:val="none" w:sz="0" w:space="0" w:color="auto"/>
          </w:divBdr>
        </w:div>
        <w:div w:id="1534030474">
          <w:marLeft w:val="0"/>
          <w:marRight w:val="0"/>
          <w:marTop w:val="0"/>
          <w:marBottom w:val="0"/>
          <w:divBdr>
            <w:top w:val="none" w:sz="0" w:space="0" w:color="auto"/>
            <w:left w:val="none" w:sz="0" w:space="0" w:color="auto"/>
            <w:bottom w:val="none" w:sz="0" w:space="0" w:color="auto"/>
            <w:right w:val="none" w:sz="0" w:space="0" w:color="auto"/>
          </w:divBdr>
        </w:div>
      </w:divsChild>
    </w:div>
    <w:div w:id="810366997">
      <w:bodyDiv w:val="1"/>
      <w:marLeft w:val="0"/>
      <w:marRight w:val="0"/>
      <w:marTop w:val="0"/>
      <w:marBottom w:val="0"/>
      <w:divBdr>
        <w:top w:val="none" w:sz="0" w:space="0" w:color="auto"/>
        <w:left w:val="none" w:sz="0" w:space="0" w:color="auto"/>
        <w:bottom w:val="none" w:sz="0" w:space="0" w:color="auto"/>
        <w:right w:val="none" w:sz="0" w:space="0" w:color="auto"/>
      </w:divBdr>
      <w:divsChild>
        <w:div w:id="357134">
          <w:marLeft w:val="0"/>
          <w:marRight w:val="0"/>
          <w:marTop w:val="0"/>
          <w:marBottom w:val="0"/>
          <w:divBdr>
            <w:top w:val="none" w:sz="0" w:space="0" w:color="auto"/>
            <w:left w:val="none" w:sz="0" w:space="0" w:color="auto"/>
            <w:bottom w:val="none" w:sz="0" w:space="0" w:color="auto"/>
            <w:right w:val="none" w:sz="0" w:space="0" w:color="auto"/>
          </w:divBdr>
        </w:div>
        <w:div w:id="121730331">
          <w:marLeft w:val="0"/>
          <w:marRight w:val="0"/>
          <w:marTop w:val="0"/>
          <w:marBottom w:val="0"/>
          <w:divBdr>
            <w:top w:val="none" w:sz="0" w:space="0" w:color="auto"/>
            <w:left w:val="none" w:sz="0" w:space="0" w:color="auto"/>
            <w:bottom w:val="none" w:sz="0" w:space="0" w:color="auto"/>
            <w:right w:val="none" w:sz="0" w:space="0" w:color="auto"/>
          </w:divBdr>
        </w:div>
        <w:div w:id="793715888">
          <w:marLeft w:val="0"/>
          <w:marRight w:val="0"/>
          <w:marTop w:val="0"/>
          <w:marBottom w:val="0"/>
          <w:divBdr>
            <w:top w:val="none" w:sz="0" w:space="0" w:color="auto"/>
            <w:left w:val="none" w:sz="0" w:space="0" w:color="auto"/>
            <w:bottom w:val="none" w:sz="0" w:space="0" w:color="auto"/>
            <w:right w:val="none" w:sz="0" w:space="0" w:color="auto"/>
          </w:divBdr>
        </w:div>
        <w:div w:id="1084884567">
          <w:marLeft w:val="0"/>
          <w:marRight w:val="0"/>
          <w:marTop w:val="0"/>
          <w:marBottom w:val="0"/>
          <w:divBdr>
            <w:top w:val="none" w:sz="0" w:space="0" w:color="auto"/>
            <w:left w:val="none" w:sz="0" w:space="0" w:color="auto"/>
            <w:bottom w:val="none" w:sz="0" w:space="0" w:color="auto"/>
            <w:right w:val="none" w:sz="0" w:space="0" w:color="auto"/>
          </w:divBdr>
        </w:div>
        <w:div w:id="2130276023">
          <w:marLeft w:val="0"/>
          <w:marRight w:val="0"/>
          <w:marTop w:val="0"/>
          <w:marBottom w:val="0"/>
          <w:divBdr>
            <w:top w:val="none" w:sz="0" w:space="0" w:color="auto"/>
            <w:left w:val="none" w:sz="0" w:space="0" w:color="auto"/>
            <w:bottom w:val="none" w:sz="0" w:space="0" w:color="auto"/>
            <w:right w:val="none" w:sz="0" w:space="0" w:color="auto"/>
          </w:divBdr>
        </w:div>
      </w:divsChild>
    </w:div>
    <w:div w:id="813176409">
      <w:bodyDiv w:val="1"/>
      <w:marLeft w:val="0"/>
      <w:marRight w:val="0"/>
      <w:marTop w:val="0"/>
      <w:marBottom w:val="0"/>
      <w:divBdr>
        <w:top w:val="none" w:sz="0" w:space="0" w:color="auto"/>
        <w:left w:val="none" w:sz="0" w:space="0" w:color="auto"/>
        <w:bottom w:val="none" w:sz="0" w:space="0" w:color="auto"/>
        <w:right w:val="none" w:sz="0" w:space="0" w:color="auto"/>
      </w:divBdr>
      <w:divsChild>
        <w:div w:id="263001125">
          <w:marLeft w:val="0"/>
          <w:marRight w:val="0"/>
          <w:marTop w:val="0"/>
          <w:marBottom w:val="0"/>
          <w:divBdr>
            <w:top w:val="none" w:sz="0" w:space="0" w:color="auto"/>
            <w:left w:val="none" w:sz="0" w:space="0" w:color="auto"/>
            <w:bottom w:val="none" w:sz="0" w:space="0" w:color="auto"/>
            <w:right w:val="none" w:sz="0" w:space="0" w:color="auto"/>
          </w:divBdr>
        </w:div>
        <w:div w:id="430397393">
          <w:marLeft w:val="0"/>
          <w:marRight w:val="0"/>
          <w:marTop w:val="0"/>
          <w:marBottom w:val="0"/>
          <w:divBdr>
            <w:top w:val="none" w:sz="0" w:space="0" w:color="auto"/>
            <w:left w:val="none" w:sz="0" w:space="0" w:color="auto"/>
            <w:bottom w:val="none" w:sz="0" w:space="0" w:color="auto"/>
            <w:right w:val="none" w:sz="0" w:space="0" w:color="auto"/>
          </w:divBdr>
        </w:div>
        <w:div w:id="923034221">
          <w:marLeft w:val="0"/>
          <w:marRight w:val="0"/>
          <w:marTop w:val="0"/>
          <w:marBottom w:val="0"/>
          <w:divBdr>
            <w:top w:val="none" w:sz="0" w:space="0" w:color="auto"/>
            <w:left w:val="none" w:sz="0" w:space="0" w:color="auto"/>
            <w:bottom w:val="none" w:sz="0" w:space="0" w:color="auto"/>
            <w:right w:val="none" w:sz="0" w:space="0" w:color="auto"/>
          </w:divBdr>
        </w:div>
        <w:div w:id="1016660580">
          <w:marLeft w:val="0"/>
          <w:marRight w:val="0"/>
          <w:marTop w:val="0"/>
          <w:marBottom w:val="0"/>
          <w:divBdr>
            <w:top w:val="none" w:sz="0" w:space="0" w:color="auto"/>
            <w:left w:val="none" w:sz="0" w:space="0" w:color="auto"/>
            <w:bottom w:val="none" w:sz="0" w:space="0" w:color="auto"/>
            <w:right w:val="none" w:sz="0" w:space="0" w:color="auto"/>
          </w:divBdr>
        </w:div>
        <w:div w:id="1160578107">
          <w:marLeft w:val="0"/>
          <w:marRight w:val="0"/>
          <w:marTop w:val="0"/>
          <w:marBottom w:val="0"/>
          <w:divBdr>
            <w:top w:val="none" w:sz="0" w:space="0" w:color="auto"/>
            <w:left w:val="none" w:sz="0" w:space="0" w:color="auto"/>
            <w:bottom w:val="none" w:sz="0" w:space="0" w:color="auto"/>
            <w:right w:val="none" w:sz="0" w:space="0" w:color="auto"/>
          </w:divBdr>
        </w:div>
        <w:div w:id="1366056881">
          <w:marLeft w:val="0"/>
          <w:marRight w:val="0"/>
          <w:marTop w:val="0"/>
          <w:marBottom w:val="0"/>
          <w:divBdr>
            <w:top w:val="none" w:sz="0" w:space="0" w:color="auto"/>
            <w:left w:val="none" w:sz="0" w:space="0" w:color="auto"/>
            <w:bottom w:val="none" w:sz="0" w:space="0" w:color="auto"/>
            <w:right w:val="none" w:sz="0" w:space="0" w:color="auto"/>
          </w:divBdr>
        </w:div>
        <w:div w:id="1732073057">
          <w:marLeft w:val="0"/>
          <w:marRight w:val="0"/>
          <w:marTop w:val="0"/>
          <w:marBottom w:val="0"/>
          <w:divBdr>
            <w:top w:val="none" w:sz="0" w:space="0" w:color="auto"/>
            <w:left w:val="none" w:sz="0" w:space="0" w:color="auto"/>
            <w:bottom w:val="none" w:sz="0" w:space="0" w:color="auto"/>
            <w:right w:val="none" w:sz="0" w:space="0" w:color="auto"/>
          </w:divBdr>
        </w:div>
        <w:div w:id="1799374838">
          <w:marLeft w:val="0"/>
          <w:marRight w:val="0"/>
          <w:marTop w:val="0"/>
          <w:marBottom w:val="0"/>
          <w:divBdr>
            <w:top w:val="none" w:sz="0" w:space="0" w:color="auto"/>
            <w:left w:val="none" w:sz="0" w:space="0" w:color="auto"/>
            <w:bottom w:val="none" w:sz="0" w:space="0" w:color="auto"/>
            <w:right w:val="none" w:sz="0" w:space="0" w:color="auto"/>
          </w:divBdr>
        </w:div>
        <w:div w:id="1973823734">
          <w:marLeft w:val="0"/>
          <w:marRight w:val="0"/>
          <w:marTop w:val="0"/>
          <w:marBottom w:val="0"/>
          <w:divBdr>
            <w:top w:val="none" w:sz="0" w:space="0" w:color="auto"/>
            <w:left w:val="none" w:sz="0" w:space="0" w:color="auto"/>
            <w:bottom w:val="none" w:sz="0" w:space="0" w:color="auto"/>
            <w:right w:val="none" w:sz="0" w:space="0" w:color="auto"/>
          </w:divBdr>
        </w:div>
      </w:divsChild>
    </w:div>
    <w:div w:id="820077431">
      <w:bodyDiv w:val="1"/>
      <w:marLeft w:val="0"/>
      <w:marRight w:val="0"/>
      <w:marTop w:val="0"/>
      <w:marBottom w:val="0"/>
      <w:divBdr>
        <w:top w:val="none" w:sz="0" w:space="0" w:color="auto"/>
        <w:left w:val="none" w:sz="0" w:space="0" w:color="auto"/>
        <w:bottom w:val="none" w:sz="0" w:space="0" w:color="auto"/>
        <w:right w:val="none" w:sz="0" w:space="0" w:color="auto"/>
      </w:divBdr>
      <w:divsChild>
        <w:div w:id="339159285">
          <w:marLeft w:val="0"/>
          <w:marRight w:val="0"/>
          <w:marTop w:val="0"/>
          <w:marBottom w:val="0"/>
          <w:divBdr>
            <w:top w:val="none" w:sz="0" w:space="0" w:color="auto"/>
            <w:left w:val="none" w:sz="0" w:space="0" w:color="auto"/>
            <w:bottom w:val="none" w:sz="0" w:space="0" w:color="auto"/>
            <w:right w:val="none" w:sz="0" w:space="0" w:color="auto"/>
          </w:divBdr>
        </w:div>
        <w:div w:id="493566048">
          <w:marLeft w:val="0"/>
          <w:marRight w:val="0"/>
          <w:marTop w:val="0"/>
          <w:marBottom w:val="0"/>
          <w:divBdr>
            <w:top w:val="none" w:sz="0" w:space="0" w:color="auto"/>
            <w:left w:val="none" w:sz="0" w:space="0" w:color="auto"/>
            <w:bottom w:val="none" w:sz="0" w:space="0" w:color="auto"/>
            <w:right w:val="none" w:sz="0" w:space="0" w:color="auto"/>
          </w:divBdr>
        </w:div>
        <w:div w:id="1516068555">
          <w:marLeft w:val="0"/>
          <w:marRight w:val="0"/>
          <w:marTop w:val="0"/>
          <w:marBottom w:val="0"/>
          <w:divBdr>
            <w:top w:val="none" w:sz="0" w:space="0" w:color="auto"/>
            <w:left w:val="none" w:sz="0" w:space="0" w:color="auto"/>
            <w:bottom w:val="none" w:sz="0" w:space="0" w:color="auto"/>
            <w:right w:val="none" w:sz="0" w:space="0" w:color="auto"/>
          </w:divBdr>
        </w:div>
        <w:div w:id="1571185291">
          <w:marLeft w:val="0"/>
          <w:marRight w:val="0"/>
          <w:marTop w:val="0"/>
          <w:marBottom w:val="0"/>
          <w:divBdr>
            <w:top w:val="none" w:sz="0" w:space="0" w:color="auto"/>
            <w:left w:val="none" w:sz="0" w:space="0" w:color="auto"/>
            <w:bottom w:val="none" w:sz="0" w:space="0" w:color="auto"/>
            <w:right w:val="none" w:sz="0" w:space="0" w:color="auto"/>
          </w:divBdr>
        </w:div>
        <w:div w:id="1640693919">
          <w:marLeft w:val="0"/>
          <w:marRight w:val="0"/>
          <w:marTop w:val="0"/>
          <w:marBottom w:val="0"/>
          <w:divBdr>
            <w:top w:val="none" w:sz="0" w:space="0" w:color="auto"/>
            <w:left w:val="none" w:sz="0" w:space="0" w:color="auto"/>
            <w:bottom w:val="none" w:sz="0" w:space="0" w:color="auto"/>
            <w:right w:val="none" w:sz="0" w:space="0" w:color="auto"/>
          </w:divBdr>
        </w:div>
      </w:divsChild>
    </w:div>
    <w:div w:id="826897697">
      <w:bodyDiv w:val="1"/>
      <w:marLeft w:val="0"/>
      <w:marRight w:val="0"/>
      <w:marTop w:val="0"/>
      <w:marBottom w:val="0"/>
      <w:divBdr>
        <w:top w:val="none" w:sz="0" w:space="0" w:color="auto"/>
        <w:left w:val="none" w:sz="0" w:space="0" w:color="auto"/>
        <w:bottom w:val="none" w:sz="0" w:space="0" w:color="auto"/>
        <w:right w:val="none" w:sz="0" w:space="0" w:color="auto"/>
      </w:divBdr>
      <w:divsChild>
        <w:div w:id="550075866">
          <w:marLeft w:val="0"/>
          <w:marRight w:val="0"/>
          <w:marTop w:val="0"/>
          <w:marBottom w:val="0"/>
          <w:divBdr>
            <w:top w:val="none" w:sz="0" w:space="0" w:color="auto"/>
            <w:left w:val="none" w:sz="0" w:space="0" w:color="auto"/>
            <w:bottom w:val="none" w:sz="0" w:space="0" w:color="auto"/>
            <w:right w:val="none" w:sz="0" w:space="0" w:color="auto"/>
          </w:divBdr>
        </w:div>
        <w:div w:id="551119087">
          <w:marLeft w:val="0"/>
          <w:marRight w:val="0"/>
          <w:marTop w:val="0"/>
          <w:marBottom w:val="0"/>
          <w:divBdr>
            <w:top w:val="none" w:sz="0" w:space="0" w:color="auto"/>
            <w:left w:val="none" w:sz="0" w:space="0" w:color="auto"/>
            <w:bottom w:val="none" w:sz="0" w:space="0" w:color="auto"/>
            <w:right w:val="none" w:sz="0" w:space="0" w:color="auto"/>
          </w:divBdr>
        </w:div>
        <w:div w:id="832836313">
          <w:marLeft w:val="0"/>
          <w:marRight w:val="0"/>
          <w:marTop w:val="0"/>
          <w:marBottom w:val="0"/>
          <w:divBdr>
            <w:top w:val="none" w:sz="0" w:space="0" w:color="auto"/>
            <w:left w:val="none" w:sz="0" w:space="0" w:color="auto"/>
            <w:bottom w:val="none" w:sz="0" w:space="0" w:color="auto"/>
            <w:right w:val="none" w:sz="0" w:space="0" w:color="auto"/>
          </w:divBdr>
        </w:div>
        <w:div w:id="838275605">
          <w:marLeft w:val="0"/>
          <w:marRight w:val="0"/>
          <w:marTop w:val="0"/>
          <w:marBottom w:val="0"/>
          <w:divBdr>
            <w:top w:val="none" w:sz="0" w:space="0" w:color="auto"/>
            <w:left w:val="none" w:sz="0" w:space="0" w:color="auto"/>
            <w:bottom w:val="none" w:sz="0" w:space="0" w:color="auto"/>
            <w:right w:val="none" w:sz="0" w:space="0" w:color="auto"/>
          </w:divBdr>
        </w:div>
        <w:div w:id="885029435">
          <w:marLeft w:val="0"/>
          <w:marRight w:val="0"/>
          <w:marTop w:val="0"/>
          <w:marBottom w:val="0"/>
          <w:divBdr>
            <w:top w:val="none" w:sz="0" w:space="0" w:color="auto"/>
            <w:left w:val="none" w:sz="0" w:space="0" w:color="auto"/>
            <w:bottom w:val="none" w:sz="0" w:space="0" w:color="auto"/>
            <w:right w:val="none" w:sz="0" w:space="0" w:color="auto"/>
          </w:divBdr>
        </w:div>
        <w:div w:id="1040782934">
          <w:marLeft w:val="0"/>
          <w:marRight w:val="0"/>
          <w:marTop w:val="0"/>
          <w:marBottom w:val="0"/>
          <w:divBdr>
            <w:top w:val="none" w:sz="0" w:space="0" w:color="auto"/>
            <w:left w:val="none" w:sz="0" w:space="0" w:color="auto"/>
            <w:bottom w:val="none" w:sz="0" w:space="0" w:color="auto"/>
            <w:right w:val="none" w:sz="0" w:space="0" w:color="auto"/>
          </w:divBdr>
        </w:div>
        <w:div w:id="1287008291">
          <w:marLeft w:val="0"/>
          <w:marRight w:val="0"/>
          <w:marTop w:val="0"/>
          <w:marBottom w:val="0"/>
          <w:divBdr>
            <w:top w:val="none" w:sz="0" w:space="0" w:color="auto"/>
            <w:left w:val="none" w:sz="0" w:space="0" w:color="auto"/>
            <w:bottom w:val="none" w:sz="0" w:space="0" w:color="auto"/>
            <w:right w:val="none" w:sz="0" w:space="0" w:color="auto"/>
          </w:divBdr>
        </w:div>
        <w:div w:id="1551572932">
          <w:marLeft w:val="0"/>
          <w:marRight w:val="0"/>
          <w:marTop w:val="0"/>
          <w:marBottom w:val="0"/>
          <w:divBdr>
            <w:top w:val="none" w:sz="0" w:space="0" w:color="auto"/>
            <w:left w:val="none" w:sz="0" w:space="0" w:color="auto"/>
            <w:bottom w:val="none" w:sz="0" w:space="0" w:color="auto"/>
            <w:right w:val="none" w:sz="0" w:space="0" w:color="auto"/>
          </w:divBdr>
        </w:div>
        <w:div w:id="1641571515">
          <w:marLeft w:val="0"/>
          <w:marRight w:val="0"/>
          <w:marTop w:val="0"/>
          <w:marBottom w:val="0"/>
          <w:divBdr>
            <w:top w:val="none" w:sz="0" w:space="0" w:color="auto"/>
            <w:left w:val="none" w:sz="0" w:space="0" w:color="auto"/>
            <w:bottom w:val="none" w:sz="0" w:space="0" w:color="auto"/>
            <w:right w:val="none" w:sz="0" w:space="0" w:color="auto"/>
          </w:divBdr>
        </w:div>
        <w:div w:id="1926724718">
          <w:marLeft w:val="0"/>
          <w:marRight w:val="0"/>
          <w:marTop w:val="0"/>
          <w:marBottom w:val="0"/>
          <w:divBdr>
            <w:top w:val="none" w:sz="0" w:space="0" w:color="auto"/>
            <w:left w:val="none" w:sz="0" w:space="0" w:color="auto"/>
            <w:bottom w:val="none" w:sz="0" w:space="0" w:color="auto"/>
            <w:right w:val="none" w:sz="0" w:space="0" w:color="auto"/>
          </w:divBdr>
        </w:div>
        <w:div w:id="2096703215">
          <w:marLeft w:val="0"/>
          <w:marRight w:val="0"/>
          <w:marTop w:val="0"/>
          <w:marBottom w:val="0"/>
          <w:divBdr>
            <w:top w:val="none" w:sz="0" w:space="0" w:color="auto"/>
            <w:left w:val="none" w:sz="0" w:space="0" w:color="auto"/>
            <w:bottom w:val="none" w:sz="0" w:space="0" w:color="auto"/>
            <w:right w:val="none" w:sz="0" w:space="0" w:color="auto"/>
          </w:divBdr>
        </w:div>
      </w:divsChild>
    </w:div>
    <w:div w:id="831216551">
      <w:bodyDiv w:val="1"/>
      <w:marLeft w:val="0"/>
      <w:marRight w:val="0"/>
      <w:marTop w:val="0"/>
      <w:marBottom w:val="0"/>
      <w:divBdr>
        <w:top w:val="none" w:sz="0" w:space="0" w:color="auto"/>
        <w:left w:val="none" w:sz="0" w:space="0" w:color="auto"/>
        <w:bottom w:val="none" w:sz="0" w:space="0" w:color="auto"/>
        <w:right w:val="none" w:sz="0" w:space="0" w:color="auto"/>
      </w:divBdr>
      <w:divsChild>
        <w:div w:id="471867901">
          <w:marLeft w:val="0"/>
          <w:marRight w:val="0"/>
          <w:marTop w:val="0"/>
          <w:marBottom w:val="0"/>
          <w:divBdr>
            <w:top w:val="none" w:sz="0" w:space="0" w:color="auto"/>
            <w:left w:val="none" w:sz="0" w:space="0" w:color="auto"/>
            <w:bottom w:val="none" w:sz="0" w:space="0" w:color="auto"/>
            <w:right w:val="none" w:sz="0" w:space="0" w:color="auto"/>
          </w:divBdr>
        </w:div>
        <w:div w:id="604311668">
          <w:marLeft w:val="0"/>
          <w:marRight w:val="0"/>
          <w:marTop w:val="0"/>
          <w:marBottom w:val="0"/>
          <w:divBdr>
            <w:top w:val="none" w:sz="0" w:space="0" w:color="auto"/>
            <w:left w:val="none" w:sz="0" w:space="0" w:color="auto"/>
            <w:bottom w:val="none" w:sz="0" w:space="0" w:color="auto"/>
            <w:right w:val="none" w:sz="0" w:space="0" w:color="auto"/>
          </w:divBdr>
        </w:div>
        <w:div w:id="1107383222">
          <w:marLeft w:val="0"/>
          <w:marRight w:val="0"/>
          <w:marTop w:val="0"/>
          <w:marBottom w:val="0"/>
          <w:divBdr>
            <w:top w:val="none" w:sz="0" w:space="0" w:color="auto"/>
            <w:left w:val="none" w:sz="0" w:space="0" w:color="auto"/>
            <w:bottom w:val="none" w:sz="0" w:space="0" w:color="auto"/>
            <w:right w:val="none" w:sz="0" w:space="0" w:color="auto"/>
          </w:divBdr>
        </w:div>
        <w:div w:id="1529757458">
          <w:marLeft w:val="0"/>
          <w:marRight w:val="0"/>
          <w:marTop w:val="0"/>
          <w:marBottom w:val="0"/>
          <w:divBdr>
            <w:top w:val="none" w:sz="0" w:space="0" w:color="auto"/>
            <w:left w:val="none" w:sz="0" w:space="0" w:color="auto"/>
            <w:bottom w:val="none" w:sz="0" w:space="0" w:color="auto"/>
            <w:right w:val="none" w:sz="0" w:space="0" w:color="auto"/>
          </w:divBdr>
        </w:div>
        <w:div w:id="1738817733">
          <w:marLeft w:val="0"/>
          <w:marRight w:val="0"/>
          <w:marTop w:val="0"/>
          <w:marBottom w:val="0"/>
          <w:divBdr>
            <w:top w:val="none" w:sz="0" w:space="0" w:color="auto"/>
            <w:left w:val="none" w:sz="0" w:space="0" w:color="auto"/>
            <w:bottom w:val="none" w:sz="0" w:space="0" w:color="auto"/>
            <w:right w:val="none" w:sz="0" w:space="0" w:color="auto"/>
          </w:divBdr>
        </w:div>
      </w:divsChild>
    </w:div>
    <w:div w:id="839004726">
      <w:bodyDiv w:val="1"/>
      <w:marLeft w:val="0"/>
      <w:marRight w:val="0"/>
      <w:marTop w:val="0"/>
      <w:marBottom w:val="0"/>
      <w:divBdr>
        <w:top w:val="none" w:sz="0" w:space="0" w:color="auto"/>
        <w:left w:val="none" w:sz="0" w:space="0" w:color="auto"/>
        <w:bottom w:val="none" w:sz="0" w:space="0" w:color="auto"/>
        <w:right w:val="none" w:sz="0" w:space="0" w:color="auto"/>
      </w:divBdr>
      <w:divsChild>
        <w:div w:id="548343958">
          <w:marLeft w:val="0"/>
          <w:marRight w:val="0"/>
          <w:marTop w:val="0"/>
          <w:marBottom w:val="0"/>
          <w:divBdr>
            <w:top w:val="none" w:sz="0" w:space="0" w:color="auto"/>
            <w:left w:val="none" w:sz="0" w:space="0" w:color="auto"/>
            <w:bottom w:val="none" w:sz="0" w:space="0" w:color="auto"/>
            <w:right w:val="none" w:sz="0" w:space="0" w:color="auto"/>
          </w:divBdr>
        </w:div>
        <w:div w:id="773668146">
          <w:marLeft w:val="0"/>
          <w:marRight w:val="0"/>
          <w:marTop w:val="0"/>
          <w:marBottom w:val="0"/>
          <w:divBdr>
            <w:top w:val="none" w:sz="0" w:space="0" w:color="auto"/>
            <w:left w:val="none" w:sz="0" w:space="0" w:color="auto"/>
            <w:bottom w:val="none" w:sz="0" w:space="0" w:color="auto"/>
            <w:right w:val="none" w:sz="0" w:space="0" w:color="auto"/>
          </w:divBdr>
        </w:div>
        <w:div w:id="854228985">
          <w:marLeft w:val="0"/>
          <w:marRight w:val="0"/>
          <w:marTop w:val="0"/>
          <w:marBottom w:val="0"/>
          <w:divBdr>
            <w:top w:val="none" w:sz="0" w:space="0" w:color="auto"/>
            <w:left w:val="none" w:sz="0" w:space="0" w:color="auto"/>
            <w:bottom w:val="none" w:sz="0" w:space="0" w:color="auto"/>
            <w:right w:val="none" w:sz="0" w:space="0" w:color="auto"/>
          </w:divBdr>
        </w:div>
        <w:div w:id="909533496">
          <w:marLeft w:val="0"/>
          <w:marRight w:val="0"/>
          <w:marTop w:val="0"/>
          <w:marBottom w:val="0"/>
          <w:divBdr>
            <w:top w:val="none" w:sz="0" w:space="0" w:color="auto"/>
            <w:left w:val="none" w:sz="0" w:space="0" w:color="auto"/>
            <w:bottom w:val="none" w:sz="0" w:space="0" w:color="auto"/>
            <w:right w:val="none" w:sz="0" w:space="0" w:color="auto"/>
          </w:divBdr>
        </w:div>
        <w:div w:id="964770310">
          <w:marLeft w:val="0"/>
          <w:marRight w:val="0"/>
          <w:marTop w:val="0"/>
          <w:marBottom w:val="0"/>
          <w:divBdr>
            <w:top w:val="none" w:sz="0" w:space="0" w:color="auto"/>
            <w:left w:val="none" w:sz="0" w:space="0" w:color="auto"/>
            <w:bottom w:val="none" w:sz="0" w:space="0" w:color="auto"/>
            <w:right w:val="none" w:sz="0" w:space="0" w:color="auto"/>
          </w:divBdr>
        </w:div>
        <w:div w:id="1286892880">
          <w:marLeft w:val="0"/>
          <w:marRight w:val="0"/>
          <w:marTop w:val="0"/>
          <w:marBottom w:val="0"/>
          <w:divBdr>
            <w:top w:val="none" w:sz="0" w:space="0" w:color="auto"/>
            <w:left w:val="none" w:sz="0" w:space="0" w:color="auto"/>
            <w:bottom w:val="none" w:sz="0" w:space="0" w:color="auto"/>
            <w:right w:val="none" w:sz="0" w:space="0" w:color="auto"/>
          </w:divBdr>
        </w:div>
        <w:div w:id="1479613516">
          <w:marLeft w:val="0"/>
          <w:marRight w:val="0"/>
          <w:marTop w:val="0"/>
          <w:marBottom w:val="0"/>
          <w:divBdr>
            <w:top w:val="none" w:sz="0" w:space="0" w:color="auto"/>
            <w:left w:val="none" w:sz="0" w:space="0" w:color="auto"/>
            <w:bottom w:val="none" w:sz="0" w:space="0" w:color="auto"/>
            <w:right w:val="none" w:sz="0" w:space="0" w:color="auto"/>
          </w:divBdr>
        </w:div>
      </w:divsChild>
    </w:div>
    <w:div w:id="839396065">
      <w:bodyDiv w:val="1"/>
      <w:marLeft w:val="0"/>
      <w:marRight w:val="0"/>
      <w:marTop w:val="0"/>
      <w:marBottom w:val="0"/>
      <w:divBdr>
        <w:top w:val="none" w:sz="0" w:space="0" w:color="auto"/>
        <w:left w:val="none" w:sz="0" w:space="0" w:color="auto"/>
        <w:bottom w:val="none" w:sz="0" w:space="0" w:color="auto"/>
        <w:right w:val="none" w:sz="0" w:space="0" w:color="auto"/>
      </w:divBdr>
      <w:divsChild>
        <w:div w:id="71658877">
          <w:marLeft w:val="0"/>
          <w:marRight w:val="0"/>
          <w:marTop w:val="0"/>
          <w:marBottom w:val="0"/>
          <w:divBdr>
            <w:top w:val="none" w:sz="0" w:space="0" w:color="auto"/>
            <w:left w:val="none" w:sz="0" w:space="0" w:color="auto"/>
            <w:bottom w:val="none" w:sz="0" w:space="0" w:color="auto"/>
            <w:right w:val="none" w:sz="0" w:space="0" w:color="auto"/>
          </w:divBdr>
        </w:div>
        <w:div w:id="223566315">
          <w:marLeft w:val="0"/>
          <w:marRight w:val="0"/>
          <w:marTop w:val="0"/>
          <w:marBottom w:val="0"/>
          <w:divBdr>
            <w:top w:val="none" w:sz="0" w:space="0" w:color="auto"/>
            <w:left w:val="none" w:sz="0" w:space="0" w:color="auto"/>
            <w:bottom w:val="none" w:sz="0" w:space="0" w:color="auto"/>
            <w:right w:val="none" w:sz="0" w:space="0" w:color="auto"/>
          </w:divBdr>
        </w:div>
        <w:div w:id="324431398">
          <w:marLeft w:val="0"/>
          <w:marRight w:val="0"/>
          <w:marTop w:val="0"/>
          <w:marBottom w:val="0"/>
          <w:divBdr>
            <w:top w:val="none" w:sz="0" w:space="0" w:color="auto"/>
            <w:left w:val="none" w:sz="0" w:space="0" w:color="auto"/>
            <w:bottom w:val="none" w:sz="0" w:space="0" w:color="auto"/>
            <w:right w:val="none" w:sz="0" w:space="0" w:color="auto"/>
          </w:divBdr>
        </w:div>
        <w:div w:id="1470241801">
          <w:marLeft w:val="0"/>
          <w:marRight w:val="0"/>
          <w:marTop w:val="0"/>
          <w:marBottom w:val="0"/>
          <w:divBdr>
            <w:top w:val="none" w:sz="0" w:space="0" w:color="auto"/>
            <w:left w:val="none" w:sz="0" w:space="0" w:color="auto"/>
            <w:bottom w:val="none" w:sz="0" w:space="0" w:color="auto"/>
            <w:right w:val="none" w:sz="0" w:space="0" w:color="auto"/>
          </w:divBdr>
        </w:div>
        <w:div w:id="2137260529">
          <w:marLeft w:val="0"/>
          <w:marRight w:val="0"/>
          <w:marTop w:val="0"/>
          <w:marBottom w:val="0"/>
          <w:divBdr>
            <w:top w:val="none" w:sz="0" w:space="0" w:color="auto"/>
            <w:left w:val="none" w:sz="0" w:space="0" w:color="auto"/>
            <w:bottom w:val="none" w:sz="0" w:space="0" w:color="auto"/>
            <w:right w:val="none" w:sz="0" w:space="0" w:color="auto"/>
          </w:divBdr>
        </w:div>
      </w:divsChild>
    </w:div>
    <w:div w:id="842162986">
      <w:bodyDiv w:val="1"/>
      <w:marLeft w:val="0"/>
      <w:marRight w:val="0"/>
      <w:marTop w:val="0"/>
      <w:marBottom w:val="0"/>
      <w:divBdr>
        <w:top w:val="none" w:sz="0" w:space="0" w:color="auto"/>
        <w:left w:val="none" w:sz="0" w:space="0" w:color="auto"/>
        <w:bottom w:val="none" w:sz="0" w:space="0" w:color="auto"/>
        <w:right w:val="none" w:sz="0" w:space="0" w:color="auto"/>
      </w:divBdr>
      <w:divsChild>
        <w:div w:id="1309165768">
          <w:marLeft w:val="0"/>
          <w:marRight w:val="0"/>
          <w:marTop w:val="0"/>
          <w:marBottom w:val="0"/>
          <w:divBdr>
            <w:top w:val="none" w:sz="0" w:space="0" w:color="auto"/>
            <w:left w:val="none" w:sz="0" w:space="0" w:color="auto"/>
            <w:bottom w:val="none" w:sz="0" w:space="0" w:color="auto"/>
            <w:right w:val="none" w:sz="0" w:space="0" w:color="auto"/>
          </w:divBdr>
        </w:div>
      </w:divsChild>
    </w:div>
    <w:div w:id="863858186">
      <w:bodyDiv w:val="1"/>
      <w:marLeft w:val="0"/>
      <w:marRight w:val="0"/>
      <w:marTop w:val="0"/>
      <w:marBottom w:val="0"/>
      <w:divBdr>
        <w:top w:val="none" w:sz="0" w:space="0" w:color="auto"/>
        <w:left w:val="none" w:sz="0" w:space="0" w:color="auto"/>
        <w:bottom w:val="none" w:sz="0" w:space="0" w:color="auto"/>
        <w:right w:val="none" w:sz="0" w:space="0" w:color="auto"/>
      </w:divBdr>
      <w:divsChild>
        <w:div w:id="283586154">
          <w:marLeft w:val="0"/>
          <w:marRight w:val="0"/>
          <w:marTop w:val="0"/>
          <w:marBottom w:val="0"/>
          <w:divBdr>
            <w:top w:val="none" w:sz="0" w:space="0" w:color="auto"/>
            <w:left w:val="none" w:sz="0" w:space="0" w:color="auto"/>
            <w:bottom w:val="none" w:sz="0" w:space="0" w:color="auto"/>
            <w:right w:val="none" w:sz="0" w:space="0" w:color="auto"/>
          </w:divBdr>
        </w:div>
        <w:div w:id="657996456">
          <w:marLeft w:val="0"/>
          <w:marRight w:val="0"/>
          <w:marTop w:val="0"/>
          <w:marBottom w:val="0"/>
          <w:divBdr>
            <w:top w:val="none" w:sz="0" w:space="0" w:color="auto"/>
            <w:left w:val="none" w:sz="0" w:space="0" w:color="auto"/>
            <w:bottom w:val="none" w:sz="0" w:space="0" w:color="auto"/>
            <w:right w:val="none" w:sz="0" w:space="0" w:color="auto"/>
          </w:divBdr>
        </w:div>
        <w:div w:id="822625051">
          <w:marLeft w:val="0"/>
          <w:marRight w:val="0"/>
          <w:marTop w:val="0"/>
          <w:marBottom w:val="0"/>
          <w:divBdr>
            <w:top w:val="none" w:sz="0" w:space="0" w:color="auto"/>
            <w:left w:val="none" w:sz="0" w:space="0" w:color="auto"/>
            <w:bottom w:val="none" w:sz="0" w:space="0" w:color="auto"/>
            <w:right w:val="none" w:sz="0" w:space="0" w:color="auto"/>
          </w:divBdr>
        </w:div>
        <w:div w:id="953943168">
          <w:marLeft w:val="0"/>
          <w:marRight w:val="0"/>
          <w:marTop w:val="0"/>
          <w:marBottom w:val="0"/>
          <w:divBdr>
            <w:top w:val="none" w:sz="0" w:space="0" w:color="auto"/>
            <w:left w:val="none" w:sz="0" w:space="0" w:color="auto"/>
            <w:bottom w:val="none" w:sz="0" w:space="0" w:color="auto"/>
            <w:right w:val="none" w:sz="0" w:space="0" w:color="auto"/>
          </w:divBdr>
        </w:div>
        <w:div w:id="1074745487">
          <w:marLeft w:val="0"/>
          <w:marRight w:val="0"/>
          <w:marTop w:val="0"/>
          <w:marBottom w:val="0"/>
          <w:divBdr>
            <w:top w:val="none" w:sz="0" w:space="0" w:color="auto"/>
            <w:left w:val="none" w:sz="0" w:space="0" w:color="auto"/>
            <w:bottom w:val="none" w:sz="0" w:space="0" w:color="auto"/>
            <w:right w:val="none" w:sz="0" w:space="0" w:color="auto"/>
          </w:divBdr>
        </w:div>
        <w:div w:id="1757969812">
          <w:marLeft w:val="0"/>
          <w:marRight w:val="0"/>
          <w:marTop w:val="0"/>
          <w:marBottom w:val="0"/>
          <w:divBdr>
            <w:top w:val="none" w:sz="0" w:space="0" w:color="auto"/>
            <w:left w:val="none" w:sz="0" w:space="0" w:color="auto"/>
            <w:bottom w:val="none" w:sz="0" w:space="0" w:color="auto"/>
            <w:right w:val="none" w:sz="0" w:space="0" w:color="auto"/>
          </w:divBdr>
        </w:div>
        <w:div w:id="1770352249">
          <w:marLeft w:val="0"/>
          <w:marRight w:val="0"/>
          <w:marTop w:val="0"/>
          <w:marBottom w:val="0"/>
          <w:divBdr>
            <w:top w:val="none" w:sz="0" w:space="0" w:color="auto"/>
            <w:left w:val="none" w:sz="0" w:space="0" w:color="auto"/>
            <w:bottom w:val="none" w:sz="0" w:space="0" w:color="auto"/>
            <w:right w:val="none" w:sz="0" w:space="0" w:color="auto"/>
          </w:divBdr>
        </w:div>
      </w:divsChild>
    </w:div>
    <w:div w:id="866791256">
      <w:bodyDiv w:val="1"/>
      <w:marLeft w:val="0"/>
      <w:marRight w:val="0"/>
      <w:marTop w:val="0"/>
      <w:marBottom w:val="0"/>
      <w:divBdr>
        <w:top w:val="none" w:sz="0" w:space="0" w:color="auto"/>
        <w:left w:val="none" w:sz="0" w:space="0" w:color="auto"/>
        <w:bottom w:val="none" w:sz="0" w:space="0" w:color="auto"/>
        <w:right w:val="none" w:sz="0" w:space="0" w:color="auto"/>
      </w:divBdr>
      <w:divsChild>
        <w:div w:id="250117780">
          <w:marLeft w:val="0"/>
          <w:marRight w:val="0"/>
          <w:marTop w:val="0"/>
          <w:marBottom w:val="0"/>
          <w:divBdr>
            <w:top w:val="none" w:sz="0" w:space="0" w:color="auto"/>
            <w:left w:val="none" w:sz="0" w:space="0" w:color="auto"/>
            <w:bottom w:val="none" w:sz="0" w:space="0" w:color="auto"/>
            <w:right w:val="none" w:sz="0" w:space="0" w:color="auto"/>
          </w:divBdr>
        </w:div>
        <w:div w:id="400104814">
          <w:marLeft w:val="0"/>
          <w:marRight w:val="0"/>
          <w:marTop w:val="0"/>
          <w:marBottom w:val="0"/>
          <w:divBdr>
            <w:top w:val="none" w:sz="0" w:space="0" w:color="auto"/>
            <w:left w:val="none" w:sz="0" w:space="0" w:color="auto"/>
            <w:bottom w:val="none" w:sz="0" w:space="0" w:color="auto"/>
            <w:right w:val="none" w:sz="0" w:space="0" w:color="auto"/>
          </w:divBdr>
        </w:div>
        <w:div w:id="413286391">
          <w:marLeft w:val="0"/>
          <w:marRight w:val="0"/>
          <w:marTop w:val="0"/>
          <w:marBottom w:val="0"/>
          <w:divBdr>
            <w:top w:val="none" w:sz="0" w:space="0" w:color="auto"/>
            <w:left w:val="none" w:sz="0" w:space="0" w:color="auto"/>
            <w:bottom w:val="none" w:sz="0" w:space="0" w:color="auto"/>
            <w:right w:val="none" w:sz="0" w:space="0" w:color="auto"/>
          </w:divBdr>
        </w:div>
        <w:div w:id="770200133">
          <w:marLeft w:val="0"/>
          <w:marRight w:val="0"/>
          <w:marTop w:val="0"/>
          <w:marBottom w:val="0"/>
          <w:divBdr>
            <w:top w:val="none" w:sz="0" w:space="0" w:color="auto"/>
            <w:left w:val="none" w:sz="0" w:space="0" w:color="auto"/>
            <w:bottom w:val="none" w:sz="0" w:space="0" w:color="auto"/>
            <w:right w:val="none" w:sz="0" w:space="0" w:color="auto"/>
          </w:divBdr>
        </w:div>
        <w:div w:id="1898517709">
          <w:marLeft w:val="0"/>
          <w:marRight w:val="0"/>
          <w:marTop w:val="0"/>
          <w:marBottom w:val="0"/>
          <w:divBdr>
            <w:top w:val="none" w:sz="0" w:space="0" w:color="auto"/>
            <w:left w:val="none" w:sz="0" w:space="0" w:color="auto"/>
            <w:bottom w:val="none" w:sz="0" w:space="0" w:color="auto"/>
            <w:right w:val="none" w:sz="0" w:space="0" w:color="auto"/>
          </w:divBdr>
        </w:div>
        <w:div w:id="1971743948">
          <w:marLeft w:val="0"/>
          <w:marRight w:val="0"/>
          <w:marTop w:val="0"/>
          <w:marBottom w:val="0"/>
          <w:divBdr>
            <w:top w:val="none" w:sz="0" w:space="0" w:color="auto"/>
            <w:left w:val="none" w:sz="0" w:space="0" w:color="auto"/>
            <w:bottom w:val="none" w:sz="0" w:space="0" w:color="auto"/>
            <w:right w:val="none" w:sz="0" w:space="0" w:color="auto"/>
          </w:divBdr>
        </w:div>
        <w:div w:id="2086413883">
          <w:marLeft w:val="0"/>
          <w:marRight w:val="0"/>
          <w:marTop w:val="0"/>
          <w:marBottom w:val="0"/>
          <w:divBdr>
            <w:top w:val="none" w:sz="0" w:space="0" w:color="auto"/>
            <w:left w:val="none" w:sz="0" w:space="0" w:color="auto"/>
            <w:bottom w:val="none" w:sz="0" w:space="0" w:color="auto"/>
            <w:right w:val="none" w:sz="0" w:space="0" w:color="auto"/>
          </w:divBdr>
        </w:div>
      </w:divsChild>
    </w:div>
    <w:div w:id="870918348">
      <w:bodyDiv w:val="1"/>
      <w:marLeft w:val="0"/>
      <w:marRight w:val="0"/>
      <w:marTop w:val="0"/>
      <w:marBottom w:val="0"/>
      <w:divBdr>
        <w:top w:val="none" w:sz="0" w:space="0" w:color="auto"/>
        <w:left w:val="none" w:sz="0" w:space="0" w:color="auto"/>
        <w:bottom w:val="none" w:sz="0" w:space="0" w:color="auto"/>
        <w:right w:val="none" w:sz="0" w:space="0" w:color="auto"/>
      </w:divBdr>
      <w:divsChild>
        <w:div w:id="1339962304">
          <w:marLeft w:val="0"/>
          <w:marRight w:val="0"/>
          <w:marTop w:val="0"/>
          <w:marBottom w:val="0"/>
          <w:divBdr>
            <w:top w:val="none" w:sz="0" w:space="0" w:color="auto"/>
            <w:left w:val="none" w:sz="0" w:space="0" w:color="auto"/>
            <w:bottom w:val="none" w:sz="0" w:space="0" w:color="auto"/>
            <w:right w:val="none" w:sz="0" w:space="0" w:color="auto"/>
          </w:divBdr>
        </w:div>
        <w:div w:id="1429276125">
          <w:marLeft w:val="0"/>
          <w:marRight w:val="0"/>
          <w:marTop w:val="0"/>
          <w:marBottom w:val="0"/>
          <w:divBdr>
            <w:top w:val="none" w:sz="0" w:space="0" w:color="auto"/>
            <w:left w:val="none" w:sz="0" w:space="0" w:color="auto"/>
            <w:bottom w:val="none" w:sz="0" w:space="0" w:color="auto"/>
            <w:right w:val="none" w:sz="0" w:space="0" w:color="auto"/>
          </w:divBdr>
        </w:div>
        <w:div w:id="1605460300">
          <w:marLeft w:val="0"/>
          <w:marRight w:val="0"/>
          <w:marTop w:val="0"/>
          <w:marBottom w:val="0"/>
          <w:divBdr>
            <w:top w:val="none" w:sz="0" w:space="0" w:color="auto"/>
            <w:left w:val="none" w:sz="0" w:space="0" w:color="auto"/>
            <w:bottom w:val="none" w:sz="0" w:space="0" w:color="auto"/>
            <w:right w:val="none" w:sz="0" w:space="0" w:color="auto"/>
          </w:divBdr>
        </w:div>
        <w:div w:id="1682659643">
          <w:marLeft w:val="0"/>
          <w:marRight w:val="0"/>
          <w:marTop w:val="0"/>
          <w:marBottom w:val="0"/>
          <w:divBdr>
            <w:top w:val="none" w:sz="0" w:space="0" w:color="auto"/>
            <w:left w:val="none" w:sz="0" w:space="0" w:color="auto"/>
            <w:bottom w:val="none" w:sz="0" w:space="0" w:color="auto"/>
            <w:right w:val="none" w:sz="0" w:space="0" w:color="auto"/>
          </w:divBdr>
        </w:div>
        <w:div w:id="1760639006">
          <w:marLeft w:val="0"/>
          <w:marRight w:val="0"/>
          <w:marTop w:val="0"/>
          <w:marBottom w:val="0"/>
          <w:divBdr>
            <w:top w:val="none" w:sz="0" w:space="0" w:color="auto"/>
            <w:left w:val="none" w:sz="0" w:space="0" w:color="auto"/>
            <w:bottom w:val="none" w:sz="0" w:space="0" w:color="auto"/>
            <w:right w:val="none" w:sz="0" w:space="0" w:color="auto"/>
          </w:divBdr>
        </w:div>
      </w:divsChild>
    </w:div>
    <w:div w:id="876088511">
      <w:bodyDiv w:val="1"/>
      <w:marLeft w:val="0"/>
      <w:marRight w:val="0"/>
      <w:marTop w:val="0"/>
      <w:marBottom w:val="0"/>
      <w:divBdr>
        <w:top w:val="none" w:sz="0" w:space="0" w:color="auto"/>
        <w:left w:val="none" w:sz="0" w:space="0" w:color="auto"/>
        <w:bottom w:val="none" w:sz="0" w:space="0" w:color="auto"/>
        <w:right w:val="none" w:sz="0" w:space="0" w:color="auto"/>
      </w:divBdr>
      <w:divsChild>
        <w:div w:id="238560262">
          <w:marLeft w:val="0"/>
          <w:marRight w:val="0"/>
          <w:marTop w:val="0"/>
          <w:marBottom w:val="0"/>
          <w:divBdr>
            <w:top w:val="none" w:sz="0" w:space="0" w:color="auto"/>
            <w:left w:val="none" w:sz="0" w:space="0" w:color="auto"/>
            <w:bottom w:val="none" w:sz="0" w:space="0" w:color="auto"/>
            <w:right w:val="none" w:sz="0" w:space="0" w:color="auto"/>
          </w:divBdr>
        </w:div>
        <w:div w:id="528445859">
          <w:marLeft w:val="0"/>
          <w:marRight w:val="0"/>
          <w:marTop w:val="0"/>
          <w:marBottom w:val="0"/>
          <w:divBdr>
            <w:top w:val="none" w:sz="0" w:space="0" w:color="auto"/>
            <w:left w:val="none" w:sz="0" w:space="0" w:color="auto"/>
            <w:bottom w:val="none" w:sz="0" w:space="0" w:color="auto"/>
            <w:right w:val="none" w:sz="0" w:space="0" w:color="auto"/>
          </w:divBdr>
        </w:div>
        <w:div w:id="544174461">
          <w:marLeft w:val="0"/>
          <w:marRight w:val="0"/>
          <w:marTop w:val="0"/>
          <w:marBottom w:val="0"/>
          <w:divBdr>
            <w:top w:val="none" w:sz="0" w:space="0" w:color="auto"/>
            <w:left w:val="none" w:sz="0" w:space="0" w:color="auto"/>
            <w:bottom w:val="none" w:sz="0" w:space="0" w:color="auto"/>
            <w:right w:val="none" w:sz="0" w:space="0" w:color="auto"/>
          </w:divBdr>
        </w:div>
        <w:div w:id="552234037">
          <w:marLeft w:val="0"/>
          <w:marRight w:val="0"/>
          <w:marTop w:val="0"/>
          <w:marBottom w:val="0"/>
          <w:divBdr>
            <w:top w:val="none" w:sz="0" w:space="0" w:color="auto"/>
            <w:left w:val="none" w:sz="0" w:space="0" w:color="auto"/>
            <w:bottom w:val="none" w:sz="0" w:space="0" w:color="auto"/>
            <w:right w:val="none" w:sz="0" w:space="0" w:color="auto"/>
          </w:divBdr>
        </w:div>
        <w:div w:id="693045029">
          <w:marLeft w:val="0"/>
          <w:marRight w:val="0"/>
          <w:marTop w:val="0"/>
          <w:marBottom w:val="0"/>
          <w:divBdr>
            <w:top w:val="none" w:sz="0" w:space="0" w:color="auto"/>
            <w:left w:val="none" w:sz="0" w:space="0" w:color="auto"/>
            <w:bottom w:val="none" w:sz="0" w:space="0" w:color="auto"/>
            <w:right w:val="none" w:sz="0" w:space="0" w:color="auto"/>
          </w:divBdr>
        </w:div>
        <w:div w:id="1168712335">
          <w:marLeft w:val="0"/>
          <w:marRight w:val="0"/>
          <w:marTop w:val="0"/>
          <w:marBottom w:val="0"/>
          <w:divBdr>
            <w:top w:val="none" w:sz="0" w:space="0" w:color="auto"/>
            <w:left w:val="none" w:sz="0" w:space="0" w:color="auto"/>
            <w:bottom w:val="none" w:sz="0" w:space="0" w:color="auto"/>
            <w:right w:val="none" w:sz="0" w:space="0" w:color="auto"/>
          </w:divBdr>
        </w:div>
        <w:div w:id="1266234641">
          <w:marLeft w:val="0"/>
          <w:marRight w:val="0"/>
          <w:marTop w:val="0"/>
          <w:marBottom w:val="0"/>
          <w:divBdr>
            <w:top w:val="none" w:sz="0" w:space="0" w:color="auto"/>
            <w:left w:val="none" w:sz="0" w:space="0" w:color="auto"/>
            <w:bottom w:val="none" w:sz="0" w:space="0" w:color="auto"/>
            <w:right w:val="none" w:sz="0" w:space="0" w:color="auto"/>
          </w:divBdr>
        </w:div>
        <w:div w:id="1467040267">
          <w:marLeft w:val="0"/>
          <w:marRight w:val="0"/>
          <w:marTop w:val="0"/>
          <w:marBottom w:val="0"/>
          <w:divBdr>
            <w:top w:val="none" w:sz="0" w:space="0" w:color="auto"/>
            <w:left w:val="none" w:sz="0" w:space="0" w:color="auto"/>
            <w:bottom w:val="none" w:sz="0" w:space="0" w:color="auto"/>
            <w:right w:val="none" w:sz="0" w:space="0" w:color="auto"/>
          </w:divBdr>
        </w:div>
        <w:div w:id="1520584989">
          <w:marLeft w:val="0"/>
          <w:marRight w:val="0"/>
          <w:marTop w:val="0"/>
          <w:marBottom w:val="0"/>
          <w:divBdr>
            <w:top w:val="none" w:sz="0" w:space="0" w:color="auto"/>
            <w:left w:val="none" w:sz="0" w:space="0" w:color="auto"/>
            <w:bottom w:val="none" w:sz="0" w:space="0" w:color="auto"/>
            <w:right w:val="none" w:sz="0" w:space="0" w:color="auto"/>
          </w:divBdr>
        </w:div>
        <w:div w:id="1520772201">
          <w:marLeft w:val="0"/>
          <w:marRight w:val="0"/>
          <w:marTop w:val="0"/>
          <w:marBottom w:val="0"/>
          <w:divBdr>
            <w:top w:val="none" w:sz="0" w:space="0" w:color="auto"/>
            <w:left w:val="none" w:sz="0" w:space="0" w:color="auto"/>
            <w:bottom w:val="none" w:sz="0" w:space="0" w:color="auto"/>
            <w:right w:val="none" w:sz="0" w:space="0" w:color="auto"/>
          </w:divBdr>
        </w:div>
        <w:div w:id="1832405315">
          <w:marLeft w:val="0"/>
          <w:marRight w:val="0"/>
          <w:marTop w:val="0"/>
          <w:marBottom w:val="0"/>
          <w:divBdr>
            <w:top w:val="none" w:sz="0" w:space="0" w:color="auto"/>
            <w:left w:val="none" w:sz="0" w:space="0" w:color="auto"/>
            <w:bottom w:val="none" w:sz="0" w:space="0" w:color="auto"/>
            <w:right w:val="none" w:sz="0" w:space="0" w:color="auto"/>
          </w:divBdr>
        </w:div>
      </w:divsChild>
    </w:div>
    <w:div w:id="916939294">
      <w:bodyDiv w:val="1"/>
      <w:marLeft w:val="0"/>
      <w:marRight w:val="0"/>
      <w:marTop w:val="0"/>
      <w:marBottom w:val="0"/>
      <w:divBdr>
        <w:top w:val="none" w:sz="0" w:space="0" w:color="auto"/>
        <w:left w:val="none" w:sz="0" w:space="0" w:color="auto"/>
        <w:bottom w:val="none" w:sz="0" w:space="0" w:color="auto"/>
        <w:right w:val="none" w:sz="0" w:space="0" w:color="auto"/>
      </w:divBdr>
      <w:divsChild>
        <w:div w:id="761294121">
          <w:marLeft w:val="0"/>
          <w:marRight w:val="0"/>
          <w:marTop w:val="0"/>
          <w:marBottom w:val="0"/>
          <w:divBdr>
            <w:top w:val="none" w:sz="0" w:space="0" w:color="auto"/>
            <w:left w:val="none" w:sz="0" w:space="0" w:color="auto"/>
            <w:bottom w:val="none" w:sz="0" w:space="0" w:color="auto"/>
            <w:right w:val="none" w:sz="0" w:space="0" w:color="auto"/>
          </w:divBdr>
        </w:div>
        <w:div w:id="879131309">
          <w:marLeft w:val="0"/>
          <w:marRight w:val="0"/>
          <w:marTop w:val="0"/>
          <w:marBottom w:val="0"/>
          <w:divBdr>
            <w:top w:val="none" w:sz="0" w:space="0" w:color="auto"/>
            <w:left w:val="none" w:sz="0" w:space="0" w:color="auto"/>
            <w:bottom w:val="none" w:sz="0" w:space="0" w:color="auto"/>
            <w:right w:val="none" w:sz="0" w:space="0" w:color="auto"/>
          </w:divBdr>
        </w:div>
        <w:div w:id="1483811132">
          <w:marLeft w:val="0"/>
          <w:marRight w:val="0"/>
          <w:marTop w:val="0"/>
          <w:marBottom w:val="0"/>
          <w:divBdr>
            <w:top w:val="none" w:sz="0" w:space="0" w:color="auto"/>
            <w:left w:val="none" w:sz="0" w:space="0" w:color="auto"/>
            <w:bottom w:val="none" w:sz="0" w:space="0" w:color="auto"/>
            <w:right w:val="none" w:sz="0" w:space="0" w:color="auto"/>
          </w:divBdr>
        </w:div>
        <w:div w:id="1516191126">
          <w:marLeft w:val="0"/>
          <w:marRight w:val="0"/>
          <w:marTop w:val="0"/>
          <w:marBottom w:val="0"/>
          <w:divBdr>
            <w:top w:val="none" w:sz="0" w:space="0" w:color="auto"/>
            <w:left w:val="none" w:sz="0" w:space="0" w:color="auto"/>
            <w:bottom w:val="none" w:sz="0" w:space="0" w:color="auto"/>
            <w:right w:val="none" w:sz="0" w:space="0" w:color="auto"/>
          </w:divBdr>
        </w:div>
        <w:div w:id="2034528906">
          <w:marLeft w:val="0"/>
          <w:marRight w:val="0"/>
          <w:marTop w:val="0"/>
          <w:marBottom w:val="0"/>
          <w:divBdr>
            <w:top w:val="none" w:sz="0" w:space="0" w:color="auto"/>
            <w:left w:val="none" w:sz="0" w:space="0" w:color="auto"/>
            <w:bottom w:val="none" w:sz="0" w:space="0" w:color="auto"/>
            <w:right w:val="none" w:sz="0" w:space="0" w:color="auto"/>
          </w:divBdr>
        </w:div>
      </w:divsChild>
    </w:div>
    <w:div w:id="922298550">
      <w:bodyDiv w:val="1"/>
      <w:marLeft w:val="0"/>
      <w:marRight w:val="0"/>
      <w:marTop w:val="0"/>
      <w:marBottom w:val="0"/>
      <w:divBdr>
        <w:top w:val="none" w:sz="0" w:space="0" w:color="auto"/>
        <w:left w:val="none" w:sz="0" w:space="0" w:color="auto"/>
        <w:bottom w:val="none" w:sz="0" w:space="0" w:color="auto"/>
        <w:right w:val="none" w:sz="0" w:space="0" w:color="auto"/>
      </w:divBdr>
      <w:divsChild>
        <w:div w:id="379675020">
          <w:marLeft w:val="0"/>
          <w:marRight w:val="0"/>
          <w:marTop w:val="0"/>
          <w:marBottom w:val="0"/>
          <w:divBdr>
            <w:top w:val="none" w:sz="0" w:space="0" w:color="auto"/>
            <w:left w:val="none" w:sz="0" w:space="0" w:color="auto"/>
            <w:bottom w:val="none" w:sz="0" w:space="0" w:color="auto"/>
            <w:right w:val="none" w:sz="0" w:space="0" w:color="auto"/>
          </w:divBdr>
        </w:div>
        <w:div w:id="510098117">
          <w:marLeft w:val="0"/>
          <w:marRight w:val="0"/>
          <w:marTop w:val="0"/>
          <w:marBottom w:val="0"/>
          <w:divBdr>
            <w:top w:val="none" w:sz="0" w:space="0" w:color="auto"/>
            <w:left w:val="none" w:sz="0" w:space="0" w:color="auto"/>
            <w:bottom w:val="none" w:sz="0" w:space="0" w:color="auto"/>
            <w:right w:val="none" w:sz="0" w:space="0" w:color="auto"/>
          </w:divBdr>
        </w:div>
        <w:div w:id="883324448">
          <w:marLeft w:val="0"/>
          <w:marRight w:val="0"/>
          <w:marTop w:val="0"/>
          <w:marBottom w:val="0"/>
          <w:divBdr>
            <w:top w:val="none" w:sz="0" w:space="0" w:color="auto"/>
            <w:left w:val="none" w:sz="0" w:space="0" w:color="auto"/>
            <w:bottom w:val="none" w:sz="0" w:space="0" w:color="auto"/>
            <w:right w:val="none" w:sz="0" w:space="0" w:color="auto"/>
          </w:divBdr>
        </w:div>
        <w:div w:id="1383017820">
          <w:marLeft w:val="0"/>
          <w:marRight w:val="0"/>
          <w:marTop w:val="0"/>
          <w:marBottom w:val="0"/>
          <w:divBdr>
            <w:top w:val="none" w:sz="0" w:space="0" w:color="auto"/>
            <w:left w:val="none" w:sz="0" w:space="0" w:color="auto"/>
            <w:bottom w:val="none" w:sz="0" w:space="0" w:color="auto"/>
            <w:right w:val="none" w:sz="0" w:space="0" w:color="auto"/>
          </w:divBdr>
        </w:div>
        <w:div w:id="1413115593">
          <w:marLeft w:val="0"/>
          <w:marRight w:val="0"/>
          <w:marTop w:val="0"/>
          <w:marBottom w:val="0"/>
          <w:divBdr>
            <w:top w:val="none" w:sz="0" w:space="0" w:color="auto"/>
            <w:left w:val="none" w:sz="0" w:space="0" w:color="auto"/>
            <w:bottom w:val="none" w:sz="0" w:space="0" w:color="auto"/>
            <w:right w:val="none" w:sz="0" w:space="0" w:color="auto"/>
          </w:divBdr>
          <w:divsChild>
            <w:div w:id="1078986875">
              <w:marLeft w:val="0"/>
              <w:marRight w:val="0"/>
              <w:marTop w:val="0"/>
              <w:marBottom w:val="0"/>
              <w:divBdr>
                <w:top w:val="none" w:sz="0" w:space="0" w:color="auto"/>
                <w:left w:val="none" w:sz="0" w:space="0" w:color="auto"/>
                <w:bottom w:val="none" w:sz="0" w:space="0" w:color="auto"/>
                <w:right w:val="none" w:sz="0" w:space="0" w:color="auto"/>
              </w:divBdr>
            </w:div>
            <w:div w:id="1086347773">
              <w:marLeft w:val="0"/>
              <w:marRight w:val="0"/>
              <w:marTop w:val="0"/>
              <w:marBottom w:val="0"/>
              <w:divBdr>
                <w:top w:val="none" w:sz="0" w:space="0" w:color="auto"/>
                <w:left w:val="none" w:sz="0" w:space="0" w:color="auto"/>
                <w:bottom w:val="none" w:sz="0" w:space="0" w:color="auto"/>
                <w:right w:val="none" w:sz="0" w:space="0" w:color="auto"/>
              </w:divBdr>
            </w:div>
            <w:div w:id="1095899466">
              <w:marLeft w:val="0"/>
              <w:marRight w:val="0"/>
              <w:marTop w:val="0"/>
              <w:marBottom w:val="0"/>
              <w:divBdr>
                <w:top w:val="none" w:sz="0" w:space="0" w:color="auto"/>
                <w:left w:val="none" w:sz="0" w:space="0" w:color="auto"/>
                <w:bottom w:val="none" w:sz="0" w:space="0" w:color="auto"/>
                <w:right w:val="none" w:sz="0" w:space="0" w:color="auto"/>
              </w:divBdr>
            </w:div>
            <w:div w:id="1344282856">
              <w:marLeft w:val="0"/>
              <w:marRight w:val="0"/>
              <w:marTop w:val="0"/>
              <w:marBottom w:val="0"/>
              <w:divBdr>
                <w:top w:val="none" w:sz="0" w:space="0" w:color="auto"/>
                <w:left w:val="none" w:sz="0" w:space="0" w:color="auto"/>
                <w:bottom w:val="none" w:sz="0" w:space="0" w:color="auto"/>
                <w:right w:val="none" w:sz="0" w:space="0" w:color="auto"/>
              </w:divBdr>
            </w:div>
          </w:divsChild>
        </w:div>
        <w:div w:id="1426421259">
          <w:marLeft w:val="0"/>
          <w:marRight w:val="0"/>
          <w:marTop w:val="0"/>
          <w:marBottom w:val="0"/>
          <w:divBdr>
            <w:top w:val="none" w:sz="0" w:space="0" w:color="auto"/>
            <w:left w:val="none" w:sz="0" w:space="0" w:color="auto"/>
            <w:bottom w:val="none" w:sz="0" w:space="0" w:color="auto"/>
            <w:right w:val="none" w:sz="0" w:space="0" w:color="auto"/>
          </w:divBdr>
        </w:div>
        <w:div w:id="1536305176">
          <w:marLeft w:val="0"/>
          <w:marRight w:val="0"/>
          <w:marTop w:val="0"/>
          <w:marBottom w:val="0"/>
          <w:divBdr>
            <w:top w:val="none" w:sz="0" w:space="0" w:color="auto"/>
            <w:left w:val="none" w:sz="0" w:space="0" w:color="auto"/>
            <w:bottom w:val="none" w:sz="0" w:space="0" w:color="auto"/>
            <w:right w:val="none" w:sz="0" w:space="0" w:color="auto"/>
          </w:divBdr>
        </w:div>
      </w:divsChild>
    </w:div>
    <w:div w:id="927274441">
      <w:bodyDiv w:val="1"/>
      <w:marLeft w:val="0"/>
      <w:marRight w:val="0"/>
      <w:marTop w:val="0"/>
      <w:marBottom w:val="0"/>
      <w:divBdr>
        <w:top w:val="none" w:sz="0" w:space="0" w:color="auto"/>
        <w:left w:val="none" w:sz="0" w:space="0" w:color="auto"/>
        <w:bottom w:val="none" w:sz="0" w:space="0" w:color="auto"/>
        <w:right w:val="none" w:sz="0" w:space="0" w:color="auto"/>
      </w:divBdr>
      <w:divsChild>
        <w:div w:id="213011509">
          <w:marLeft w:val="0"/>
          <w:marRight w:val="0"/>
          <w:marTop w:val="0"/>
          <w:marBottom w:val="0"/>
          <w:divBdr>
            <w:top w:val="none" w:sz="0" w:space="0" w:color="auto"/>
            <w:left w:val="none" w:sz="0" w:space="0" w:color="auto"/>
            <w:bottom w:val="none" w:sz="0" w:space="0" w:color="auto"/>
            <w:right w:val="none" w:sz="0" w:space="0" w:color="auto"/>
          </w:divBdr>
        </w:div>
        <w:div w:id="409229709">
          <w:marLeft w:val="0"/>
          <w:marRight w:val="0"/>
          <w:marTop w:val="0"/>
          <w:marBottom w:val="0"/>
          <w:divBdr>
            <w:top w:val="none" w:sz="0" w:space="0" w:color="auto"/>
            <w:left w:val="none" w:sz="0" w:space="0" w:color="auto"/>
            <w:bottom w:val="none" w:sz="0" w:space="0" w:color="auto"/>
            <w:right w:val="none" w:sz="0" w:space="0" w:color="auto"/>
          </w:divBdr>
        </w:div>
        <w:div w:id="446659586">
          <w:marLeft w:val="0"/>
          <w:marRight w:val="0"/>
          <w:marTop w:val="0"/>
          <w:marBottom w:val="0"/>
          <w:divBdr>
            <w:top w:val="none" w:sz="0" w:space="0" w:color="auto"/>
            <w:left w:val="none" w:sz="0" w:space="0" w:color="auto"/>
            <w:bottom w:val="none" w:sz="0" w:space="0" w:color="auto"/>
            <w:right w:val="none" w:sz="0" w:space="0" w:color="auto"/>
          </w:divBdr>
        </w:div>
        <w:div w:id="556940726">
          <w:marLeft w:val="0"/>
          <w:marRight w:val="0"/>
          <w:marTop w:val="0"/>
          <w:marBottom w:val="0"/>
          <w:divBdr>
            <w:top w:val="none" w:sz="0" w:space="0" w:color="auto"/>
            <w:left w:val="none" w:sz="0" w:space="0" w:color="auto"/>
            <w:bottom w:val="none" w:sz="0" w:space="0" w:color="auto"/>
            <w:right w:val="none" w:sz="0" w:space="0" w:color="auto"/>
          </w:divBdr>
        </w:div>
        <w:div w:id="576979733">
          <w:marLeft w:val="0"/>
          <w:marRight w:val="0"/>
          <w:marTop w:val="0"/>
          <w:marBottom w:val="0"/>
          <w:divBdr>
            <w:top w:val="none" w:sz="0" w:space="0" w:color="auto"/>
            <w:left w:val="none" w:sz="0" w:space="0" w:color="auto"/>
            <w:bottom w:val="none" w:sz="0" w:space="0" w:color="auto"/>
            <w:right w:val="none" w:sz="0" w:space="0" w:color="auto"/>
          </w:divBdr>
        </w:div>
        <w:div w:id="1373378929">
          <w:marLeft w:val="0"/>
          <w:marRight w:val="0"/>
          <w:marTop w:val="0"/>
          <w:marBottom w:val="0"/>
          <w:divBdr>
            <w:top w:val="none" w:sz="0" w:space="0" w:color="auto"/>
            <w:left w:val="none" w:sz="0" w:space="0" w:color="auto"/>
            <w:bottom w:val="none" w:sz="0" w:space="0" w:color="auto"/>
            <w:right w:val="none" w:sz="0" w:space="0" w:color="auto"/>
          </w:divBdr>
        </w:div>
        <w:div w:id="1940482497">
          <w:marLeft w:val="0"/>
          <w:marRight w:val="0"/>
          <w:marTop w:val="0"/>
          <w:marBottom w:val="0"/>
          <w:divBdr>
            <w:top w:val="none" w:sz="0" w:space="0" w:color="auto"/>
            <w:left w:val="none" w:sz="0" w:space="0" w:color="auto"/>
            <w:bottom w:val="none" w:sz="0" w:space="0" w:color="auto"/>
            <w:right w:val="none" w:sz="0" w:space="0" w:color="auto"/>
          </w:divBdr>
        </w:div>
      </w:divsChild>
    </w:div>
    <w:div w:id="928662368">
      <w:bodyDiv w:val="1"/>
      <w:marLeft w:val="0"/>
      <w:marRight w:val="0"/>
      <w:marTop w:val="0"/>
      <w:marBottom w:val="0"/>
      <w:divBdr>
        <w:top w:val="none" w:sz="0" w:space="0" w:color="auto"/>
        <w:left w:val="none" w:sz="0" w:space="0" w:color="auto"/>
        <w:bottom w:val="none" w:sz="0" w:space="0" w:color="auto"/>
        <w:right w:val="none" w:sz="0" w:space="0" w:color="auto"/>
      </w:divBdr>
      <w:divsChild>
        <w:div w:id="244340543">
          <w:marLeft w:val="0"/>
          <w:marRight w:val="0"/>
          <w:marTop w:val="0"/>
          <w:marBottom w:val="0"/>
          <w:divBdr>
            <w:top w:val="none" w:sz="0" w:space="0" w:color="auto"/>
            <w:left w:val="none" w:sz="0" w:space="0" w:color="auto"/>
            <w:bottom w:val="none" w:sz="0" w:space="0" w:color="auto"/>
            <w:right w:val="none" w:sz="0" w:space="0" w:color="auto"/>
          </w:divBdr>
        </w:div>
        <w:div w:id="613907488">
          <w:marLeft w:val="0"/>
          <w:marRight w:val="0"/>
          <w:marTop w:val="0"/>
          <w:marBottom w:val="0"/>
          <w:divBdr>
            <w:top w:val="none" w:sz="0" w:space="0" w:color="auto"/>
            <w:left w:val="none" w:sz="0" w:space="0" w:color="auto"/>
            <w:bottom w:val="none" w:sz="0" w:space="0" w:color="auto"/>
            <w:right w:val="none" w:sz="0" w:space="0" w:color="auto"/>
          </w:divBdr>
        </w:div>
        <w:div w:id="1321151338">
          <w:marLeft w:val="0"/>
          <w:marRight w:val="0"/>
          <w:marTop w:val="0"/>
          <w:marBottom w:val="0"/>
          <w:divBdr>
            <w:top w:val="none" w:sz="0" w:space="0" w:color="auto"/>
            <w:left w:val="none" w:sz="0" w:space="0" w:color="auto"/>
            <w:bottom w:val="none" w:sz="0" w:space="0" w:color="auto"/>
            <w:right w:val="none" w:sz="0" w:space="0" w:color="auto"/>
          </w:divBdr>
        </w:div>
        <w:div w:id="1702629630">
          <w:marLeft w:val="0"/>
          <w:marRight w:val="0"/>
          <w:marTop w:val="0"/>
          <w:marBottom w:val="0"/>
          <w:divBdr>
            <w:top w:val="none" w:sz="0" w:space="0" w:color="auto"/>
            <w:left w:val="none" w:sz="0" w:space="0" w:color="auto"/>
            <w:bottom w:val="none" w:sz="0" w:space="0" w:color="auto"/>
            <w:right w:val="none" w:sz="0" w:space="0" w:color="auto"/>
          </w:divBdr>
        </w:div>
        <w:div w:id="2006393136">
          <w:marLeft w:val="0"/>
          <w:marRight w:val="0"/>
          <w:marTop w:val="0"/>
          <w:marBottom w:val="0"/>
          <w:divBdr>
            <w:top w:val="none" w:sz="0" w:space="0" w:color="auto"/>
            <w:left w:val="none" w:sz="0" w:space="0" w:color="auto"/>
            <w:bottom w:val="none" w:sz="0" w:space="0" w:color="auto"/>
            <w:right w:val="none" w:sz="0" w:space="0" w:color="auto"/>
          </w:divBdr>
        </w:div>
      </w:divsChild>
    </w:div>
    <w:div w:id="935091388">
      <w:bodyDiv w:val="1"/>
      <w:marLeft w:val="0"/>
      <w:marRight w:val="0"/>
      <w:marTop w:val="0"/>
      <w:marBottom w:val="0"/>
      <w:divBdr>
        <w:top w:val="none" w:sz="0" w:space="0" w:color="auto"/>
        <w:left w:val="none" w:sz="0" w:space="0" w:color="auto"/>
        <w:bottom w:val="none" w:sz="0" w:space="0" w:color="auto"/>
        <w:right w:val="none" w:sz="0" w:space="0" w:color="auto"/>
      </w:divBdr>
      <w:divsChild>
        <w:div w:id="21981407">
          <w:marLeft w:val="0"/>
          <w:marRight w:val="0"/>
          <w:marTop w:val="0"/>
          <w:marBottom w:val="0"/>
          <w:divBdr>
            <w:top w:val="none" w:sz="0" w:space="0" w:color="auto"/>
            <w:left w:val="none" w:sz="0" w:space="0" w:color="auto"/>
            <w:bottom w:val="none" w:sz="0" w:space="0" w:color="auto"/>
            <w:right w:val="none" w:sz="0" w:space="0" w:color="auto"/>
          </w:divBdr>
        </w:div>
        <w:div w:id="256182385">
          <w:marLeft w:val="0"/>
          <w:marRight w:val="0"/>
          <w:marTop w:val="0"/>
          <w:marBottom w:val="0"/>
          <w:divBdr>
            <w:top w:val="none" w:sz="0" w:space="0" w:color="auto"/>
            <w:left w:val="none" w:sz="0" w:space="0" w:color="auto"/>
            <w:bottom w:val="none" w:sz="0" w:space="0" w:color="auto"/>
            <w:right w:val="none" w:sz="0" w:space="0" w:color="auto"/>
          </w:divBdr>
        </w:div>
        <w:div w:id="434909008">
          <w:marLeft w:val="0"/>
          <w:marRight w:val="0"/>
          <w:marTop w:val="0"/>
          <w:marBottom w:val="0"/>
          <w:divBdr>
            <w:top w:val="none" w:sz="0" w:space="0" w:color="auto"/>
            <w:left w:val="none" w:sz="0" w:space="0" w:color="auto"/>
            <w:bottom w:val="none" w:sz="0" w:space="0" w:color="auto"/>
            <w:right w:val="none" w:sz="0" w:space="0" w:color="auto"/>
          </w:divBdr>
        </w:div>
        <w:div w:id="596450781">
          <w:marLeft w:val="0"/>
          <w:marRight w:val="0"/>
          <w:marTop w:val="0"/>
          <w:marBottom w:val="0"/>
          <w:divBdr>
            <w:top w:val="none" w:sz="0" w:space="0" w:color="auto"/>
            <w:left w:val="none" w:sz="0" w:space="0" w:color="auto"/>
            <w:bottom w:val="none" w:sz="0" w:space="0" w:color="auto"/>
            <w:right w:val="none" w:sz="0" w:space="0" w:color="auto"/>
          </w:divBdr>
        </w:div>
        <w:div w:id="877206567">
          <w:marLeft w:val="0"/>
          <w:marRight w:val="0"/>
          <w:marTop w:val="0"/>
          <w:marBottom w:val="0"/>
          <w:divBdr>
            <w:top w:val="none" w:sz="0" w:space="0" w:color="auto"/>
            <w:left w:val="none" w:sz="0" w:space="0" w:color="auto"/>
            <w:bottom w:val="none" w:sz="0" w:space="0" w:color="auto"/>
            <w:right w:val="none" w:sz="0" w:space="0" w:color="auto"/>
          </w:divBdr>
        </w:div>
        <w:div w:id="1074736831">
          <w:marLeft w:val="0"/>
          <w:marRight w:val="0"/>
          <w:marTop w:val="0"/>
          <w:marBottom w:val="0"/>
          <w:divBdr>
            <w:top w:val="none" w:sz="0" w:space="0" w:color="auto"/>
            <w:left w:val="none" w:sz="0" w:space="0" w:color="auto"/>
            <w:bottom w:val="none" w:sz="0" w:space="0" w:color="auto"/>
            <w:right w:val="none" w:sz="0" w:space="0" w:color="auto"/>
          </w:divBdr>
        </w:div>
        <w:div w:id="1761440321">
          <w:marLeft w:val="0"/>
          <w:marRight w:val="0"/>
          <w:marTop w:val="0"/>
          <w:marBottom w:val="0"/>
          <w:divBdr>
            <w:top w:val="none" w:sz="0" w:space="0" w:color="auto"/>
            <w:left w:val="none" w:sz="0" w:space="0" w:color="auto"/>
            <w:bottom w:val="none" w:sz="0" w:space="0" w:color="auto"/>
            <w:right w:val="none" w:sz="0" w:space="0" w:color="auto"/>
          </w:divBdr>
        </w:div>
        <w:div w:id="1811284990">
          <w:marLeft w:val="0"/>
          <w:marRight w:val="0"/>
          <w:marTop w:val="0"/>
          <w:marBottom w:val="0"/>
          <w:divBdr>
            <w:top w:val="none" w:sz="0" w:space="0" w:color="auto"/>
            <w:left w:val="none" w:sz="0" w:space="0" w:color="auto"/>
            <w:bottom w:val="none" w:sz="0" w:space="0" w:color="auto"/>
            <w:right w:val="none" w:sz="0" w:space="0" w:color="auto"/>
          </w:divBdr>
        </w:div>
        <w:div w:id="1848443998">
          <w:marLeft w:val="0"/>
          <w:marRight w:val="0"/>
          <w:marTop w:val="0"/>
          <w:marBottom w:val="0"/>
          <w:divBdr>
            <w:top w:val="none" w:sz="0" w:space="0" w:color="auto"/>
            <w:left w:val="none" w:sz="0" w:space="0" w:color="auto"/>
            <w:bottom w:val="none" w:sz="0" w:space="0" w:color="auto"/>
            <w:right w:val="none" w:sz="0" w:space="0" w:color="auto"/>
          </w:divBdr>
        </w:div>
      </w:divsChild>
    </w:div>
    <w:div w:id="941650267">
      <w:bodyDiv w:val="1"/>
      <w:marLeft w:val="0"/>
      <w:marRight w:val="0"/>
      <w:marTop w:val="0"/>
      <w:marBottom w:val="0"/>
      <w:divBdr>
        <w:top w:val="none" w:sz="0" w:space="0" w:color="auto"/>
        <w:left w:val="none" w:sz="0" w:space="0" w:color="auto"/>
        <w:bottom w:val="none" w:sz="0" w:space="0" w:color="auto"/>
        <w:right w:val="none" w:sz="0" w:space="0" w:color="auto"/>
      </w:divBdr>
      <w:divsChild>
        <w:div w:id="353070496">
          <w:marLeft w:val="0"/>
          <w:marRight w:val="0"/>
          <w:marTop w:val="0"/>
          <w:marBottom w:val="0"/>
          <w:divBdr>
            <w:top w:val="none" w:sz="0" w:space="0" w:color="auto"/>
            <w:left w:val="none" w:sz="0" w:space="0" w:color="auto"/>
            <w:bottom w:val="none" w:sz="0" w:space="0" w:color="auto"/>
            <w:right w:val="none" w:sz="0" w:space="0" w:color="auto"/>
          </w:divBdr>
        </w:div>
        <w:div w:id="481586392">
          <w:marLeft w:val="0"/>
          <w:marRight w:val="0"/>
          <w:marTop w:val="0"/>
          <w:marBottom w:val="0"/>
          <w:divBdr>
            <w:top w:val="none" w:sz="0" w:space="0" w:color="auto"/>
            <w:left w:val="none" w:sz="0" w:space="0" w:color="auto"/>
            <w:bottom w:val="none" w:sz="0" w:space="0" w:color="auto"/>
            <w:right w:val="none" w:sz="0" w:space="0" w:color="auto"/>
          </w:divBdr>
        </w:div>
        <w:div w:id="874581294">
          <w:marLeft w:val="0"/>
          <w:marRight w:val="0"/>
          <w:marTop w:val="0"/>
          <w:marBottom w:val="0"/>
          <w:divBdr>
            <w:top w:val="none" w:sz="0" w:space="0" w:color="auto"/>
            <w:left w:val="none" w:sz="0" w:space="0" w:color="auto"/>
            <w:bottom w:val="none" w:sz="0" w:space="0" w:color="auto"/>
            <w:right w:val="none" w:sz="0" w:space="0" w:color="auto"/>
          </w:divBdr>
        </w:div>
        <w:div w:id="941299244">
          <w:marLeft w:val="0"/>
          <w:marRight w:val="0"/>
          <w:marTop w:val="0"/>
          <w:marBottom w:val="0"/>
          <w:divBdr>
            <w:top w:val="none" w:sz="0" w:space="0" w:color="auto"/>
            <w:left w:val="none" w:sz="0" w:space="0" w:color="auto"/>
            <w:bottom w:val="none" w:sz="0" w:space="0" w:color="auto"/>
            <w:right w:val="none" w:sz="0" w:space="0" w:color="auto"/>
          </w:divBdr>
        </w:div>
        <w:div w:id="1188637211">
          <w:marLeft w:val="0"/>
          <w:marRight w:val="0"/>
          <w:marTop w:val="0"/>
          <w:marBottom w:val="0"/>
          <w:divBdr>
            <w:top w:val="none" w:sz="0" w:space="0" w:color="auto"/>
            <w:left w:val="none" w:sz="0" w:space="0" w:color="auto"/>
            <w:bottom w:val="none" w:sz="0" w:space="0" w:color="auto"/>
            <w:right w:val="none" w:sz="0" w:space="0" w:color="auto"/>
          </w:divBdr>
        </w:div>
        <w:div w:id="1209106076">
          <w:marLeft w:val="0"/>
          <w:marRight w:val="0"/>
          <w:marTop w:val="0"/>
          <w:marBottom w:val="0"/>
          <w:divBdr>
            <w:top w:val="none" w:sz="0" w:space="0" w:color="auto"/>
            <w:left w:val="none" w:sz="0" w:space="0" w:color="auto"/>
            <w:bottom w:val="none" w:sz="0" w:space="0" w:color="auto"/>
            <w:right w:val="none" w:sz="0" w:space="0" w:color="auto"/>
          </w:divBdr>
        </w:div>
        <w:div w:id="1232304631">
          <w:marLeft w:val="0"/>
          <w:marRight w:val="0"/>
          <w:marTop w:val="0"/>
          <w:marBottom w:val="0"/>
          <w:divBdr>
            <w:top w:val="none" w:sz="0" w:space="0" w:color="auto"/>
            <w:left w:val="none" w:sz="0" w:space="0" w:color="auto"/>
            <w:bottom w:val="none" w:sz="0" w:space="0" w:color="auto"/>
            <w:right w:val="none" w:sz="0" w:space="0" w:color="auto"/>
          </w:divBdr>
        </w:div>
        <w:div w:id="1316760821">
          <w:marLeft w:val="0"/>
          <w:marRight w:val="0"/>
          <w:marTop w:val="0"/>
          <w:marBottom w:val="0"/>
          <w:divBdr>
            <w:top w:val="none" w:sz="0" w:space="0" w:color="auto"/>
            <w:left w:val="none" w:sz="0" w:space="0" w:color="auto"/>
            <w:bottom w:val="none" w:sz="0" w:space="0" w:color="auto"/>
            <w:right w:val="none" w:sz="0" w:space="0" w:color="auto"/>
          </w:divBdr>
        </w:div>
        <w:div w:id="1392074002">
          <w:marLeft w:val="0"/>
          <w:marRight w:val="0"/>
          <w:marTop w:val="0"/>
          <w:marBottom w:val="0"/>
          <w:divBdr>
            <w:top w:val="none" w:sz="0" w:space="0" w:color="auto"/>
            <w:left w:val="none" w:sz="0" w:space="0" w:color="auto"/>
            <w:bottom w:val="none" w:sz="0" w:space="0" w:color="auto"/>
            <w:right w:val="none" w:sz="0" w:space="0" w:color="auto"/>
          </w:divBdr>
        </w:div>
        <w:div w:id="1679850877">
          <w:marLeft w:val="0"/>
          <w:marRight w:val="0"/>
          <w:marTop w:val="0"/>
          <w:marBottom w:val="0"/>
          <w:divBdr>
            <w:top w:val="none" w:sz="0" w:space="0" w:color="auto"/>
            <w:left w:val="none" w:sz="0" w:space="0" w:color="auto"/>
            <w:bottom w:val="none" w:sz="0" w:space="0" w:color="auto"/>
            <w:right w:val="none" w:sz="0" w:space="0" w:color="auto"/>
          </w:divBdr>
        </w:div>
      </w:divsChild>
    </w:div>
    <w:div w:id="955795374">
      <w:bodyDiv w:val="1"/>
      <w:marLeft w:val="0"/>
      <w:marRight w:val="0"/>
      <w:marTop w:val="0"/>
      <w:marBottom w:val="0"/>
      <w:divBdr>
        <w:top w:val="none" w:sz="0" w:space="0" w:color="auto"/>
        <w:left w:val="none" w:sz="0" w:space="0" w:color="auto"/>
        <w:bottom w:val="none" w:sz="0" w:space="0" w:color="auto"/>
        <w:right w:val="none" w:sz="0" w:space="0" w:color="auto"/>
      </w:divBdr>
      <w:divsChild>
        <w:div w:id="12196324">
          <w:marLeft w:val="0"/>
          <w:marRight w:val="0"/>
          <w:marTop w:val="0"/>
          <w:marBottom w:val="0"/>
          <w:divBdr>
            <w:top w:val="none" w:sz="0" w:space="0" w:color="auto"/>
            <w:left w:val="none" w:sz="0" w:space="0" w:color="auto"/>
            <w:bottom w:val="none" w:sz="0" w:space="0" w:color="auto"/>
            <w:right w:val="none" w:sz="0" w:space="0" w:color="auto"/>
          </w:divBdr>
        </w:div>
        <w:div w:id="184103939">
          <w:marLeft w:val="0"/>
          <w:marRight w:val="0"/>
          <w:marTop w:val="0"/>
          <w:marBottom w:val="0"/>
          <w:divBdr>
            <w:top w:val="none" w:sz="0" w:space="0" w:color="auto"/>
            <w:left w:val="none" w:sz="0" w:space="0" w:color="auto"/>
            <w:bottom w:val="none" w:sz="0" w:space="0" w:color="auto"/>
            <w:right w:val="none" w:sz="0" w:space="0" w:color="auto"/>
          </w:divBdr>
        </w:div>
        <w:div w:id="804275372">
          <w:marLeft w:val="0"/>
          <w:marRight w:val="0"/>
          <w:marTop w:val="0"/>
          <w:marBottom w:val="0"/>
          <w:divBdr>
            <w:top w:val="none" w:sz="0" w:space="0" w:color="auto"/>
            <w:left w:val="none" w:sz="0" w:space="0" w:color="auto"/>
            <w:bottom w:val="none" w:sz="0" w:space="0" w:color="auto"/>
            <w:right w:val="none" w:sz="0" w:space="0" w:color="auto"/>
          </w:divBdr>
        </w:div>
        <w:div w:id="1403068359">
          <w:marLeft w:val="0"/>
          <w:marRight w:val="0"/>
          <w:marTop w:val="0"/>
          <w:marBottom w:val="0"/>
          <w:divBdr>
            <w:top w:val="none" w:sz="0" w:space="0" w:color="auto"/>
            <w:left w:val="none" w:sz="0" w:space="0" w:color="auto"/>
            <w:bottom w:val="none" w:sz="0" w:space="0" w:color="auto"/>
            <w:right w:val="none" w:sz="0" w:space="0" w:color="auto"/>
          </w:divBdr>
        </w:div>
        <w:div w:id="1655522636">
          <w:marLeft w:val="0"/>
          <w:marRight w:val="0"/>
          <w:marTop w:val="0"/>
          <w:marBottom w:val="0"/>
          <w:divBdr>
            <w:top w:val="none" w:sz="0" w:space="0" w:color="auto"/>
            <w:left w:val="none" w:sz="0" w:space="0" w:color="auto"/>
            <w:bottom w:val="none" w:sz="0" w:space="0" w:color="auto"/>
            <w:right w:val="none" w:sz="0" w:space="0" w:color="auto"/>
          </w:divBdr>
        </w:div>
        <w:div w:id="1680962277">
          <w:marLeft w:val="0"/>
          <w:marRight w:val="0"/>
          <w:marTop w:val="0"/>
          <w:marBottom w:val="0"/>
          <w:divBdr>
            <w:top w:val="none" w:sz="0" w:space="0" w:color="auto"/>
            <w:left w:val="none" w:sz="0" w:space="0" w:color="auto"/>
            <w:bottom w:val="none" w:sz="0" w:space="0" w:color="auto"/>
            <w:right w:val="none" w:sz="0" w:space="0" w:color="auto"/>
          </w:divBdr>
        </w:div>
        <w:div w:id="2007398903">
          <w:marLeft w:val="0"/>
          <w:marRight w:val="0"/>
          <w:marTop w:val="0"/>
          <w:marBottom w:val="0"/>
          <w:divBdr>
            <w:top w:val="none" w:sz="0" w:space="0" w:color="auto"/>
            <w:left w:val="none" w:sz="0" w:space="0" w:color="auto"/>
            <w:bottom w:val="none" w:sz="0" w:space="0" w:color="auto"/>
            <w:right w:val="none" w:sz="0" w:space="0" w:color="auto"/>
          </w:divBdr>
        </w:div>
      </w:divsChild>
    </w:div>
    <w:div w:id="958998442">
      <w:bodyDiv w:val="1"/>
      <w:marLeft w:val="0"/>
      <w:marRight w:val="0"/>
      <w:marTop w:val="0"/>
      <w:marBottom w:val="0"/>
      <w:divBdr>
        <w:top w:val="none" w:sz="0" w:space="0" w:color="auto"/>
        <w:left w:val="none" w:sz="0" w:space="0" w:color="auto"/>
        <w:bottom w:val="none" w:sz="0" w:space="0" w:color="auto"/>
        <w:right w:val="none" w:sz="0" w:space="0" w:color="auto"/>
      </w:divBdr>
      <w:divsChild>
        <w:div w:id="80952623">
          <w:marLeft w:val="0"/>
          <w:marRight w:val="0"/>
          <w:marTop w:val="0"/>
          <w:marBottom w:val="0"/>
          <w:divBdr>
            <w:top w:val="none" w:sz="0" w:space="0" w:color="auto"/>
            <w:left w:val="none" w:sz="0" w:space="0" w:color="auto"/>
            <w:bottom w:val="none" w:sz="0" w:space="0" w:color="auto"/>
            <w:right w:val="none" w:sz="0" w:space="0" w:color="auto"/>
          </w:divBdr>
        </w:div>
        <w:div w:id="392048204">
          <w:marLeft w:val="0"/>
          <w:marRight w:val="0"/>
          <w:marTop w:val="0"/>
          <w:marBottom w:val="0"/>
          <w:divBdr>
            <w:top w:val="none" w:sz="0" w:space="0" w:color="auto"/>
            <w:left w:val="none" w:sz="0" w:space="0" w:color="auto"/>
            <w:bottom w:val="none" w:sz="0" w:space="0" w:color="auto"/>
            <w:right w:val="none" w:sz="0" w:space="0" w:color="auto"/>
          </w:divBdr>
        </w:div>
        <w:div w:id="806779333">
          <w:marLeft w:val="0"/>
          <w:marRight w:val="0"/>
          <w:marTop w:val="0"/>
          <w:marBottom w:val="0"/>
          <w:divBdr>
            <w:top w:val="none" w:sz="0" w:space="0" w:color="auto"/>
            <w:left w:val="none" w:sz="0" w:space="0" w:color="auto"/>
            <w:bottom w:val="none" w:sz="0" w:space="0" w:color="auto"/>
            <w:right w:val="none" w:sz="0" w:space="0" w:color="auto"/>
          </w:divBdr>
        </w:div>
        <w:div w:id="851798624">
          <w:marLeft w:val="0"/>
          <w:marRight w:val="0"/>
          <w:marTop w:val="0"/>
          <w:marBottom w:val="0"/>
          <w:divBdr>
            <w:top w:val="none" w:sz="0" w:space="0" w:color="auto"/>
            <w:left w:val="none" w:sz="0" w:space="0" w:color="auto"/>
            <w:bottom w:val="none" w:sz="0" w:space="0" w:color="auto"/>
            <w:right w:val="none" w:sz="0" w:space="0" w:color="auto"/>
          </w:divBdr>
        </w:div>
        <w:div w:id="1016032769">
          <w:marLeft w:val="0"/>
          <w:marRight w:val="0"/>
          <w:marTop w:val="0"/>
          <w:marBottom w:val="0"/>
          <w:divBdr>
            <w:top w:val="none" w:sz="0" w:space="0" w:color="auto"/>
            <w:left w:val="none" w:sz="0" w:space="0" w:color="auto"/>
            <w:bottom w:val="none" w:sz="0" w:space="0" w:color="auto"/>
            <w:right w:val="none" w:sz="0" w:space="0" w:color="auto"/>
          </w:divBdr>
        </w:div>
        <w:div w:id="1127503375">
          <w:marLeft w:val="0"/>
          <w:marRight w:val="0"/>
          <w:marTop w:val="0"/>
          <w:marBottom w:val="0"/>
          <w:divBdr>
            <w:top w:val="none" w:sz="0" w:space="0" w:color="auto"/>
            <w:left w:val="none" w:sz="0" w:space="0" w:color="auto"/>
            <w:bottom w:val="none" w:sz="0" w:space="0" w:color="auto"/>
            <w:right w:val="none" w:sz="0" w:space="0" w:color="auto"/>
          </w:divBdr>
        </w:div>
        <w:div w:id="1163474086">
          <w:marLeft w:val="0"/>
          <w:marRight w:val="0"/>
          <w:marTop w:val="0"/>
          <w:marBottom w:val="0"/>
          <w:divBdr>
            <w:top w:val="none" w:sz="0" w:space="0" w:color="auto"/>
            <w:left w:val="none" w:sz="0" w:space="0" w:color="auto"/>
            <w:bottom w:val="none" w:sz="0" w:space="0" w:color="auto"/>
            <w:right w:val="none" w:sz="0" w:space="0" w:color="auto"/>
          </w:divBdr>
        </w:div>
        <w:div w:id="1269848774">
          <w:marLeft w:val="0"/>
          <w:marRight w:val="0"/>
          <w:marTop w:val="0"/>
          <w:marBottom w:val="0"/>
          <w:divBdr>
            <w:top w:val="none" w:sz="0" w:space="0" w:color="auto"/>
            <w:left w:val="none" w:sz="0" w:space="0" w:color="auto"/>
            <w:bottom w:val="none" w:sz="0" w:space="0" w:color="auto"/>
            <w:right w:val="none" w:sz="0" w:space="0" w:color="auto"/>
          </w:divBdr>
        </w:div>
        <w:div w:id="1549367998">
          <w:marLeft w:val="0"/>
          <w:marRight w:val="0"/>
          <w:marTop w:val="0"/>
          <w:marBottom w:val="0"/>
          <w:divBdr>
            <w:top w:val="none" w:sz="0" w:space="0" w:color="auto"/>
            <w:left w:val="none" w:sz="0" w:space="0" w:color="auto"/>
            <w:bottom w:val="none" w:sz="0" w:space="0" w:color="auto"/>
            <w:right w:val="none" w:sz="0" w:space="0" w:color="auto"/>
          </w:divBdr>
        </w:div>
        <w:div w:id="2035231253">
          <w:marLeft w:val="0"/>
          <w:marRight w:val="0"/>
          <w:marTop w:val="0"/>
          <w:marBottom w:val="0"/>
          <w:divBdr>
            <w:top w:val="none" w:sz="0" w:space="0" w:color="auto"/>
            <w:left w:val="none" w:sz="0" w:space="0" w:color="auto"/>
            <w:bottom w:val="none" w:sz="0" w:space="0" w:color="auto"/>
            <w:right w:val="none" w:sz="0" w:space="0" w:color="auto"/>
          </w:divBdr>
        </w:div>
        <w:div w:id="2037584216">
          <w:marLeft w:val="0"/>
          <w:marRight w:val="0"/>
          <w:marTop w:val="0"/>
          <w:marBottom w:val="0"/>
          <w:divBdr>
            <w:top w:val="none" w:sz="0" w:space="0" w:color="auto"/>
            <w:left w:val="none" w:sz="0" w:space="0" w:color="auto"/>
            <w:bottom w:val="none" w:sz="0" w:space="0" w:color="auto"/>
            <w:right w:val="none" w:sz="0" w:space="0" w:color="auto"/>
          </w:divBdr>
        </w:div>
        <w:div w:id="2050572324">
          <w:marLeft w:val="0"/>
          <w:marRight w:val="0"/>
          <w:marTop w:val="0"/>
          <w:marBottom w:val="0"/>
          <w:divBdr>
            <w:top w:val="none" w:sz="0" w:space="0" w:color="auto"/>
            <w:left w:val="none" w:sz="0" w:space="0" w:color="auto"/>
            <w:bottom w:val="none" w:sz="0" w:space="0" w:color="auto"/>
            <w:right w:val="none" w:sz="0" w:space="0" w:color="auto"/>
          </w:divBdr>
        </w:div>
        <w:div w:id="2052460892">
          <w:marLeft w:val="0"/>
          <w:marRight w:val="0"/>
          <w:marTop w:val="0"/>
          <w:marBottom w:val="0"/>
          <w:divBdr>
            <w:top w:val="none" w:sz="0" w:space="0" w:color="auto"/>
            <w:left w:val="none" w:sz="0" w:space="0" w:color="auto"/>
            <w:bottom w:val="none" w:sz="0" w:space="0" w:color="auto"/>
            <w:right w:val="none" w:sz="0" w:space="0" w:color="auto"/>
          </w:divBdr>
        </w:div>
        <w:div w:id="2071734696">
          <w:marLeft w:val="0"/>
          <w:marRight w:val="0"/>
          <w:marTop w:val="0"/>
          <w:marBottom w:val="0"/>
          <w:divBdr>
            <w:top w:val="none" w:sz="0" w:space="0" w:color="auto"/>
            <w:left w:val="none" w:sz="0" w:space="0" w:color="auto"/>
            <w:bottom w:val="none" w:sz="0" w:space="0" w:color="auto"/>
            <w:right w:val="none" w:sz="0" w:space="0" w:color="auto"/>
          </w:divBdr>
        </w:div>
        <w:div w:id="2092191025">
          <w:marLeft w:val="0"/>
          <w:marRight w:val="0"/>
          <w:marTop w:val="0"/>
          <w:marBottom w:val="0"/>
          <w:divBdr>
            <w:top w:val="none" w:sz="0" w:space="0" w:color="auto"/>
            <w:left w:val="none" w:sz="0" w:space="0" w:color="auto"/>
            <w:bottom w:val="none" w:sz="0" w:space="0" w:color="auto"/>
            <w:right w:val="none" w:sz="0" w:space="0" w:color="auto"/>
          </w:divBdr>
        </w:div>
      </w:divsChild>
    </w:div>
    <w:div w:id="963385001">
      <w:bodyDiv w:val="1"/>
      <w:marLeft w:val="0"/>
      <w:marRight w:val="0"/>
      <w:marTop w:val="0"/>
      <w:marBottom w:val="0"/>
      <w:divBdr>
        <w:top w:val="none" w:sz="0" w:space="0" w:color="auto"/>
        <w:left w:val="none" w:sz="0" w:space="0" w:color="auto"/>
        <w:bottom w:val="none" w:sz="0" w:space="0" w:color="auto"/>
        <w:right w:val="none" w:sz="0" w:space="0" w:color="auto"/>
      </w:divBdr>
      <w:divsChild>
        <w:div w:id="644705432">
          <w:marLeft w:val="0"/>
          <w:marRight w:val="0"/>
          <w:marTop w:val="0"/>
          <w:marBottom w:val="0"/>
          <w:divBdr>
            <w:top w:val="none" w:sz="0" w:space="0" w:color="auto"/>
            <w:left w:val="none" w:sz="0" w:space="0" w:color="auto"/>
            <w:bottom w:val="none" w:sz="0" w:space="0" w:color="auto"/>
            <w:right w:val="none" w:sz="0" w:space="0" w:color="auto"/>
          </w:divBdr>
        </w:div>
        <w:div w:id="673382693">
          <w:marLeft w:val="0"/>
          <w:marRight w:val="0"/>
          <w:marTop w:val="0"/>
          <w:marBottom w:val="0"/>
          <w:divBdr>
            <w:top w:val="none" w:sz="0" w:space="0" w:color="auto"/>
            <w:left w:val="none" w:sz="0" w:space="0" w:color="auto"/>
            <w:bottom w:val="none" w:sz="0" w:space="0" w:color="auto"/>
            <w:right w:val="none" w:sz="0" w:space="0" w:color="auto"/>
          </w:divBdr>
        </w:div>
        <w:div w:id="681586880">
          <w:marLeft w:val="0"/>
          <w:marRight w:val="0"/>
          <w:marTop w:val="0"/>
          <w:marBottom w:val="0"/>
          <w:divBdr>
            <w:top w:val="none" w:sz="0" w:space="0" w:color="auto"/>
            <w:left w:val="none" w:sz="0" w:space="0" w:color="auto"/>
            <w:bottom w:val="none" w:sz="0" w:space="0" w:color="auto"/>
            <w:right w:val="none" w:sz="0" w:space="0" w:color="auto"/>
          </w:divBdr>
        </w:div>
        <w:div w:id="742336728">
          <w:marLeft w:val="0"/>
          <w:marRight w:val="0"/>
          <w:marTop w:val="0"/>
          <w:marBottom w:val="0"/>
          <w:divBdr>
            <w:top w:val="none" w:sz="0" w:space="0" w:color="auto"/>
            <w:left w:val="none" w:sz="0" w:space="0" w:color="auto"/>
            <w:bottom w:val="none" w:sz="0" w:space="0" w:color="auto"/>
            <w:right w:val="none" w:sz="0" w:space="0" w:color="auto"/>
          </w:divBdr>
        </w:div>
        <w:div w:id="1006205640">
          <w:marLeft w:val="0"/>
          <w:marRight w:val="0"/>
          <w:marTop w:val="0"/>
          <w:marBottom w:val="0"/>
          <w:divBdr>
            <w:top w:val="none" w:sz="0" w:space="0" w:color="auto"/>
            <w:left w:val="none" w:sz="0" w:space="0" w:color="auto"/>
            <w:bottom w:val="none" w:sz="0" w:space="0" w:color="auto"/>
            <w:right w:val="none" w:sz="0" w:space="0" w:color="auto"/>
          </w:divBdr>
        </w:div>
        <w:div w:id="1198011906">
          <w:marLeft w:val="0"/>
          <w:marRight w:val="0"/>
          <w:marTop w:val="0"/>
          <w:marBottom w:val="0"/>
          <w:divBdr>
            <w:top w:val="none" w:sz="0" w:space="0" w:color="auto"/>
            <w:left w:val="none" w:sz="0" w:space="0" w:color="auto"/>
            <w:bottom w:val="none" w:sz="0" w:space="0" w:color="auto"/>
            <w:right w:val="none" w:sz="0" w:space="0" w:color="auto"/>
          </w:divBdr>
        </w:div>
        <w:div w:id="1496721939">
          <w:marLeft w:val="0"/>
          <w:marRight w:val="0"/>
          <w:marTop w:val="0"/>
          <w:marBottom w:val="0"/>
          <w:divBdr>
            <w:top w:val="none" w:sz="0" w:space="0" w:color="auto"/>
            <w:left w:val="none" w:sz="0" w:space="0" w:color="auto"/>
            <w:bottom w:val="none" w:sz="0" w:space="0" w:color="auto"/>
            <w:right w:val="none" w:sz="0" w:space="0" w:color="auto"/>
          </w:divBdr>
        </w:div>
        <w:div w:id="1597203004">
          <w:marLeft w:val="0"/>
          <w:marRight w:val="0"/>
          <w:marTop w:val="0"/>
          <w:marBottom w:val="0"/>
          <w:divBdr>
            <w:top w:val="none" w:sz="0" w:space="0" w:color="auto"/>
            <w:left w:val="none" w:sz="0" w:space="0" w:color="auto"/>
            <w:bottom w:val="none" w:sz="0" w:space="0" w:color="auto"/>
            <w:right w:val="none" w:sz="0" w:space="0" w:color="auto"/>
          </w:divBdr>
        </w:div>
        <w:div w:id="1919826495">
          <w:marLeft w:val="0"/>
          <w:marRight w:val="0"/>
          <w:marTop w:val="0"/>
          <w:marBottom w:val="0"/>
          <w:divBdr>
            <w:top w:val="none" w:sz="0" w:space="0" w:color="auto"/>
            <w:left w:val="none" w:sz="0" w:space="0" w:color="auto"/>
            <w:bottom w:val="none" w:sz="0" w:space="0" w:color="auto"/>
            <w:right w:val="none" w:sz="0" w:space="0" w:color="auto"/>
          </w:divBdr>
        </w:div>
        <w:div w:id="1999650275">
          <w:marLeft w:val="0"/>
          <w:marRight w:val="0"/>
          <w:marTop w:val="0"/>
          <w:marBottom w:val="0"/>
          <w:divBdr>
            <w:top w:val="none" w:sz="0" w:space="0" w:color="auto"/>
            <w:left w:val="none" w:sz="0" w:space="0" w:color="auto"/>
            <w:bottom w:val="none" w:sz="0" w:space="0" w:color="auto"/>
            <w:right w:val="none" w:sz="0" w:space="0" w:color="auto"/>
          </w:divBdr>
        </w:div>
        <w:div w:id="2136361159">
          <w:marLeft w:val="0"/>
          <w:marRight w:val="0"/>
          <w:marTop w:val="0"/>
          <w:marBottom w:val="0"/>
          <w:divBdr>
            <w:top w:val="none" w:sz="0" w:space="0" w:color="auto"/>
            <w:left w:val="none" w:sz="0" w:space="0" w:color="auto"/>
            <w:bottom w:val="none" w:sz="0" w:space="0" w:color="auto"/>
            <w:right w:val="none" w:sz="0" w:space="0" w:color="auto"/>
          </w:divBdr>
        </w:div>
      </w:divsChild>
    </w:div>
    <w:div w:id="963653603">
      <w:bodyDiv w:val="1"/>
      <w:marLeft w:val="0"/>
      <w:marRight w:val="0"/>
      <w:marTop w:val="0"/>
      <w:marBottom w:val="0"/>
      <w:divBdr>
        <w:top w:val="none" w:sz="0" w:space="0" w:color="auto"/>
        <w:left w:val="none" w:sz="0" w:space="0" w:color="auto"/>
        <w:bottom w:val="none" w:sz="0" w:space="0" w:color="auto"/>
        <w:right w:val="none" w:sz="0" w:space="0" w:color="auto"/>
      </w:divBdr>
      <w:divsChild>
        <w:div w:id="139884260">
          <w:marLeft w:val="0"/>
          <w:marRight w:val="0"/>
          <w:marTop w:val="0"/>
          <w:marBottom w:val="0"/>
          <w:divBdr>
            <w:top w:val="none" w:sz="0" w:space="0" w:color="auto"/>
            <w:left w:val="none" w:sz="0" w:space="0" w:color="auto"/>
            <w:bottom w:val="none" w:sz="0" w:space="0" w:color="auto"/>
            <w:right w:val="none" w:sz="0" w:space="0" w:color="auto"/>
          </w:divBdr>
        </w:div>
        <w:div w:id="201862581">
          <w:marLeft w:val="0"/>
          <w:marRight w:val="0"/>
          <w:marTop w:val="0"/>
          <w:marBottom w:val="0"/>
          <w:divBdr>
            <w:top w:val="none" w:sz="0" w:space="0" w:color="auto"/>
            <w:left w:val="none" w:sz="0" w:space="0" w:color="auto"/>
            <w:bottom w:val="none" w:sz="0" w:space="0" w:color="auto"/>
            <w:right w:val="none" w:sz="0" w:space="0" w:color="auto"/>
          </w:divBdr>
        </w:div>
        <w:div w:id="448547686">
          <w:marLeft w:val="0"/>
          <w:marRight w:val="0"/>
          <w:marTop w:val="0"/>
          <w:marBottom w:val="0"/>
          <w:divBdr>
            <w:top w:val="none" w:sz="0" w:space="0" w:color="auto"/>
            <w:left w:val="none" w:sz="0" w:space="0" w:color="auto"/>
            <w:bottom w:val="none" w:sz="0" w:space="0" w:color="auto"/>
            <w:right w:val="none" w:sz="0" w:space="0" w:color="auto"/>
          </w:divBdr>
        </w:div>
        <w:div w:id="618224713">
          <w:marLeft w:val="0"/>
          <w:marRight w:val="0"/>
          <w:marTop w:val="0"/>
          <w:marBottom w:val="0"/>
          <w:divBdr>
            <w:top w:val="none" w:sz="0" w:space="0" w:color="auto"/>
            <w:left w:val="none" w:sz="0" w:space="0" w:color="auto"/>
            <w:bottom w:val="none" w:sz="0" w:space="0" w:color="auto"/>
            <w:right w:val="none" w:sz="0" w:space="0" w:color="auto"/>
          </w:divBdr>
        </w:div>
        <w:div w:id="675882005">
          <w:marLeft w:val="0"/>
          <w:marRight w:val="0"/>
          <w:marTop w:val="0"/>
          <w:marBottom w:val="0"/>
          <w:divBdr>
            <w:top w:val="none" w:sz="0" w:space="0" w:color="auto"/>
            <w:left w:val="none" w:sz="0" w:space="0" w:color="auto"/>
            <w:bottom w:val="none" w:sz="0" w:space="0" w:color="auto"/>
            <w:right w:val="none" w:sz="0" w:space="0" w:color="auto"/>
          </w:divBdr>
        </w:div>
        <w:div w:id="970134513">
          <w:marLeft w:val="0"/>
          <w:marRight w:val="0"/>
          <w:marTop w:val="0"/>
          <w:marBottom w:val="0"/>
          <w:divBdr>
            <w:top w:val="none" w:sz="0" w:space="0" w:color="auto"/>
            <w:left w:val="none" w:sz="0" w:space="0" w:color="auto"/>
            <w:bottom w:val="none" w:sz="0" w:space="0" w:color="auto"/>
            <w:right w:val="none" w:sz="0" w:space="0" w:color="auto"/>
          </w:divBdr>
        </w:div>
        <w:div w:id="997655123">
          <w:marLeft w:val="0"/>
          <w:marRight w:val="0"/>
          <w:marTop w:val="0"/>
          <w:marBottom w:val="0"/>
          <w:divBdr>
            <w:top w:val="none" w:sz="0" w:space="0" w:color="auto"/>
            <w:left w:val="none" w:sz="0" w:space="0" w:color="auto"/>
            <w:bottom w:val="none" w:sz="0" w:space="0" w:color="auto"/>
            <w:right w:val="none" w:sz="0" w:space="0" w:color="auto"/>
          </w:divBdr>
        </w:div>
        <w:div w:id="998196200">
          <w:marLeft w:val="0"/>
          <w:marRight w:val="0"/>
          <w:marTop w:val="0"/>
          <w:marBottom w:val="0"/>
          <w:divBdr>
            <w:top w:val="none" w:sz="0" w:space="0" w:color="auto"/>
            <w:left w:val="none" w:sz="0" w:space="0" w:color="auto"/>
            <w:bottom w:val="none" w:sz="0" w:space="0" w:color="auto"/>
            <w:right w:val="none" w:sz="0" w:space="0" w:color="auto"/>
          </w:divBdr>
        </w:div>
        <w:div w:id="1549489331">
          <w:marLeft w:val="0"/>
          <w:marRight w:val="0"/>
          <w:marTop w:val="0"/>
          <w:marBottom w:val="0"/>
          <w:divBdr>
            <w:top w:val="none" w:sz="0" w:space="0" w:color="auto"/>
            <w:left w:val="none" w:sz="0" w:space="0" w:color="auto"/>
            <w:bottom w:val="none" w:sz="0" w:space="0" w:color="auto"/>
            <w:right w:val="none" w:sz="0" w:space="0" w:color="auto"/>
          </w:divBdr>
        </w:div>
        <w:div w:id="1827553903">
          <w:marLeft w:val="0"/>
          <w:marRight w:val="0"/>
          <w:marTop w:val="0"/>
          <w:marBottom w:val="0"/>
          <w:divBdr>
            <w:top w:val="none" w:sz="0" w:space="0" w:color="auto"/>
            <w:left w:val="none" w:sz="0" w:space="0" w:color="auto"/>
            <w:bottom w:val="none" w:sz="0" w:space="0" w:color="auto"/>
            <w:right w:val="none" w:sz="0" w:space="0" w:color="auto"/>
          </w:divBdr>
        </w:div>
        <w:div w:id="1870490572">
          <w:marLeft w:val="0"/>
          <w:marRight w:val="0"/>
          <w:marTop w:val="0"/>
          <w:marBottom w:val="0"/>
          <w:divBdr>
            <w:top w:val="none" w:sz="0" w:space="0" w:color="auto"/>
            <w:left w:val="none" w:sz="0" w:space="0" w:color="auto"/>
            <w:bottom w:val="none" w:sz="0" w:space="0" w:color="auto"/>
            <w:right w:val="none" w:sz="0" w:space="0" w:color="auto"/>
          </w:divBdr>
        </w:div>
      </w:divsChild>
    </w:div>
    <w:div w:id="970286098">
      <w:bodyDiv w:val="1"/>
      <w:marLeft w:val="0"/>
      <w:marRight w:val="0"/>
      <w:marTop w:val="0"/>
      <w:marBottom w:val="0"/>
      <w:divBdr>
        <w:top w:val="none" w:sz="0" w:space="0" w:color="auto"/>
        <w:left w:val="none" w:sz="0" w:space="0" w:color="auto"/>
        <w:bottom w:val="none" w:sz="0" w:space="0" w:color="auto"/>
        <w:right w:val="none" w:sz="0" w:space="0" w:color="auto"/>
      </w:divBdr>
      <w:divsChild>
        <w:div w:id="122508298">
          <w:marLeft w:val="0"/>
          <w:marRight w:val="0"/>
          <w:marTop w:val="0"/>
          <w:marBottom w:val="0"/>
          <w:divBdr>
            <w:top w:val="none" w:sz="0" w:space="0" w:color="auto"/>
            <w:left w:val="none" w:sz="0" w:space="0" w:color="auto"/>
            <w:bottom w:val="none" w:sz="0" w:space="0" w:color="auto"/>
            <w:right w:val="none" w:sz="0" w:space="0" w:color="auto"/>
          </w:divBdr>
        </w:div>
        <w:div w:id="341710776">
          <w:marLeft w:val="0"/>
          <w:marRight w:val="0"/>
          <w:marTop w:val="0"/>
          <w:marBottom w:val="0"/>
          <w:divBdr>
            <w:top w:val="none" w:sz="0" w:space="0" w:color="auto"/>
            <w:left w:val="none" w:sz="0" w:space="0" w:color="auto"/>
            <w:bottom w:val="none" w:sz="0" w:space="0" w:color="auto"/>
            <w:right w:val="none" w:sz="0" w:space="0" w:color="auto"/>
          </w:divBdr>
        </w:div>
        <w:div w:id="510491361">
          <w:marLeft w:val="0"/>
          <w:marRight w:val="0"/>
          <w:marTop w:val="0"/>
          <w:marBottom w:val="0"/>
          <w:divBdr>
            <w:top w:val="none" w:sz="0" w:space="0" w:color="auto"/>
            <w:left w:val="none" w:sz="0" w:space="0" w:color="auto"/>
            <w:bottom w:val="none" w:sz="0" w:space="0" w:color="auto"/>
            <w:right w:val="none" w:sz="0" w:space="0" w:color="auto"/>
          </w:divBdr>
        </w:div>
        <w:div w:id="642546534">
          <w:marLeft w:val="0"/>
          <w:marRight w:val="0"/>
          <w:marTop w:val="0"/>
          <w:marBottom w:val="0"/>
          <w:divBdr>
            <w:top w:val="none" w:sz="0" w:space="0" w:color="auto"/>
            <w:left w:val="none" w:sz="0" w:space="0" w:color="auto"/>
            <w:bottom w:val="none" w:sz="0" w:space="0" w:color="auto"/>
            <w:right w:val="none" w:sz="0" w:space="0" w:color="auto"/>
          </w:divBdr>
        </w:div>
        <w:div w:id="973752622">
          <w:marLeft w:val="0"/>
          <w:marRight w:val="0"/>
          <w:marTop w:val="0"/>
          <w:marBottom w:val="0"/>
          <w:divBdr>
            <w:top w:val="none" w:sz="0" w:space="0" w:color="auto"/>
            <w:left w:val="none" w:sz="0" w:space="0" w:color="auto"/>
            <w:bottom w:val="none" w:sz="0" w:space="0" w:color="auto"/>
            <w:right w:val="none" w:sz="0" w:space="0" w:color="auto"/>
          </w:divBdr>
        </w:div>
      </w:divsChild>
    </w:div>
    <w:div w:id="983779123">
      <w:bodyDiv w:val="1"/>
      <w:marLeft w:val="0"/>
      <w:marRight w:val="0"/>
      <w:marTop w:val="0"/>
      <w:marBottom w:val="0"/>
      <w:divBdr>
        <w:top w:val="none" w:sz="0" w:space="0" w:color="auto"/>
        <w:left w:val="none" w:sz="0" w:space="0" w:color="auto"/>
        <w:bottom w:val="none" w:sz="0" w:space="0" w:color="auto"/>
        <w:right w:val="none" w:sz="0" w:space="0" w:color="auto"/>
      </w:divBdr>
      <w:divsChild>
        <w:div w:id="287857724">
          <w:marLeft w:val="0"/>
          <w:marRight w:val="0"/>
          <w:marTop w:val="0"/>
          <w:marBottom w:val="0"/>
          <w:divBdr>
            <w:top w:val="none" w:sz="0" w:space="0" w:color="auto"/>
            <w:left w:val="none" w:sz="0" w:space="0" w:color="auto"/>
            <w:bottom w:val="none" w:sz="0" w:space="0" w:color="auto"/>
            <w:right w:val="none" w:sz="0" w:space="0" w:color="auto"/>
          </w:divBdr>
        </w:div>
        <w:div w:id="340739041">
          <w:marLeft w:val="0"/>
          <w:marRight w:val="0"/>
          <w:marTop w:val="0"/>
          <w:marBottom w:val="0"/>
          <w:divBdr>
            <w:top w:val="none" w:sz="0" w:space="0" w:color="auto"/>
            <w:left w:val="none" w:sz="0" w:space="0" w:color="auto"/>
            <w:bottom w:val="none" w:sz="0" w:space="0" w:color="auto"/>
            <w:right w:val="none" w:sz="0" w:space="0" w:color="auto"/>
          </w:divBdr>
        </w:div>
        <w:div w:id="435830196">
          <w:marLeft w:val="0"/>
          <w:marRight w:val="0"/>
          <w:marTop w:val="0"/>
          <w:marBottom w:val="0"/>
          <w:divBdr>
            <w:top w:val="none" w:sz="0" w:space="0" w:color="auto"/>
            <w:left w:val="none" w:sz="0" w:space="0" w:color="auto"/>
            <w:bottom w:val="none" w:sz="0" w:space="0" w:color="auto"/>
            <w:right w:val="none" w:sz="0" w:space="0" w:color="auto"/>
          </w:divBdr>
        </w:div>
        <w:div w:id="585572497">
          <w:marLeft w:val="0"/>
          <w:marRight w:val="0"/>
          <w:marTop w:val="0"/>
          <w:marBottom w:val="0"/>
          <w:divBdr>
            <w:top w:val="none" w:sz="0" w:space="0" w:color="auto"/>
            <w:left w:val="none" w:sz="0" w:space="0" w:color="auto"/>
            <w:bottom w:val="none" w:sz="0" w:space="0" w:color="auto"/>
            <w:right w:val="none" w:sz="0" w:space="0" w:color="auto"/>
          </w:divBdr>
        </w:div>
        <w:div w:id="832186998">
          <w:marLeft w:val="0"/>
          <w:marRight w:val="0"/>
          <w:marTop w:val="0"/>
          <w:marBottom w:val="0"/>
          <w:divBdr>
            <w:top w:val="none" w:sz="0" w:space="0" w:color="auto"/>
            <w:left w:val="none" w:sz="0" w:space="0" w:color="auto"/>
            <w:bottom w:val="none" w:sz="0" w:space="0" w:color="auto"/>
            <w:right w:val="none" w:sz="0" w:space="0" w:color="auto"/>
          </w:divBdr>
        </w:div>
        <w:div w:id="1693919138">
          <w:marLeft w:val="0"/>
          <w:marRight w:val="0"/>
          <w:marTop w:val="0"/>
          <w:marBottom w:val="0"/>
          <w:divBdr>
            <w:top w:val="none" w:sz="0" w:space="0" w:color="auto"/>
            <w:left w:val="none" w:sz="0" w:space="0" w:color="auto"/>
            <w:bottom w:val="none" w:sz="0" w:space="0" w:color="auto"/>
            <w:right w:val="none" w:sz="0" w:space="0" w:color="auto"/>
          </w:divBdr>
        </w:div>
        <w:div w:id="1740639706">
          <w:marLeft w:val="0"/>
          <w:marRight w:val="0"/>
          <w:marTop w:val="0"/>
          <w:marBottom w:val="0"/>
          <w:divBdr>
            <w:top w:val="none" w:sz="0" w:space="0" w:color="auto"/>
            <w:left w:val="none" w:sz="0" w:space="0" w:color="auto"/>
            <w:bottom w:val="none" w:sz="0" w:space="0" w:color="auto"/>
            <w:right w:val="none" w:sz="0" w:space="0" w:color="auto"/>
          </w:divBdr>
        </w:div>
        <w:div w:id="2046055367">
          <w:marLeft w:val="0"/>
          <w:marRight w:val="0"/>
          <w:marTop w:val="0"/>
          <w:marBottom w:val="0"/>
          <w:divBdr>
            <w:top w:val="none" w:sz="0" w:space="0" w:color="auto"/>
            <w:left w:val="none" w:sz="0" w:space="0" w:color="auto"/>
            <w:bottom w:val="none" w:sz="0" w:space="0" w:color="auto"/>
            <w:right w:val="none" w:sz="0" w:space="0" w:color="auto"/>
          </w:divBdr>
        </w:div>
        <w:div w:id="2110660434">
          <w:marLeft w:val="0"/>
          <w:marRight w:val="0"/>
          <w:marTop w:val="0"/>
          <w:marBottom w:val="0"/>
          <w:divBdr>
            <w:top w:val="none" w:sz="0" w:space="0" w:color="auto"/>
            <w:left w:val="none" w:sz="0" w:space="0" w:color="auto"/>
            <w:bottom w:val="none" w:sz="0" w:space="0" w:color="auto"/>
            <w:right w:val="none" w:sz="0" w:space="0" w:color="auto"/>
          </w:divBdr>
        </w:div>
      </w:divsChild>
    </w:div>
    <w:div w:id="998459655">
      <w:bodyDiv w:val="1"/>
      <w:marLeft w:val="0"/>
      <w:marRight w:val="0"/>
      <w:marTop w:val="0"/>
      <w:marBottom w:val="0"/>
      <w:divBdr>
        <w:top w:val="none" w:sz="0" w:space="0" w:color="auto"/>
        <w:left w:val="none" w:sz="0" w:space="0" w:color="auto"/>
        <w:bottom w:val="none" w:sz="0" w:space="0" w:color="auto"/>
        <w:right w:val="none" w:sz="0" w:space="0" w:color="auto"/>
      </w:divBdr>
      <w:divsChild>
        <w:div w:id="273557766">
          <w:marLeft w:val="0"/>
          <w:marRight w:val="0"/>
          <w:marTop w:val="0"/>
          <w:marBottom w:val="0"/>
          <w:divBdr>
            <w:top w:val="none" w:sz="0" w:space="0" w:color="auto"/>
            <w:left w:val="none" w:sz="0" w:space="0" w:color="auto"/>
            <w:bottom w:val="none" w:sz="0" w:space="0" w:color="auto"/>
            <w:right w:val="none" w:sz="0" w:space="0" w:color="auto"/>
          </w:divBdr>
        </w:div>
        <w:div w:id="522018263">
          <w:marLeft w:val="0"/>
          <w:marRight w:val="0"/>
          <w:marTop w:val="0"/>
          <w:marBottom w:val="0"/>
          <w:divBdr>
            <w:top w:val="none" w:sz="0" w:space="0" w:color="auto"/>
            <w:left w:val="none" w:sz="0" w:space="0" w:color="auto"/>
            <w:bottom w:val="none" w:sz="0" w:space="0" w:color="auto"/>
            <w:right w:val="none" w:sz="0" w:space="0" w:color="auto"/>
          </w:divBdr>
        </w:div>
        <w:div w:id="758865016">
          <w:marLeft w:val="0"/>
          <w:marRight w:val="0"/>
          <w:marTop w:val="0"/>
          <w:marBottom w:val="0"/>
          <w:divBdr>
            <w:top w:val="none" w:sz="0" w:space="0" w:color="auto"/>
            <w:left w:val="none" w:sz="0" w:space="0" w:color="auto"/>
            <w:bottom w:val="none" w:sz="0" w:space="0" w:color="auto"/>
            <w:right w:val="none" w:sz="0" w:space="0" w:color="auto"/>
          </w:divBdr>
        </w:div>
        <w:div w:id="1854100931">
          <w:marLeft w:val="0"/>
          <w:marRight w:val="0"/>
          <w:marTop w:val="0"/>
          <w:marBottom w:val="0"/>
          <w:divBdr>
            <w:top w:val="none" w:sz="0" w:space="0" w:color="auto"/>
            <w:left w:val="none" w:sz="0" w:space="0" w:color="auto"/>
            <w:bottom w:val="none" w:sz="0" w:space="0" w:color="auto"/>
            <w:right w:val="none" w:sz="0" w:space="0" w:color="auto"/>
          </w:divBdr>
        </w:div>
        <w:div w:id="2045861278">
          <w:marLeft w:val="0"/>
          <w:marRight w:val="0"/>
          <w:marTop w:val="0"/>
          <w:marBottom w:val="0"/>
          <w:divBdr>
            <w:top w:val="none" w:sz="0" w:space="0" w:color="auto"/>
            <w:left w:val="none" w:sz="0" w:space="0" w:color="auto"/>
            <w:bottom w:val="none" w:sz="0" w:space="0" w:color="auto"/>
            <w:right w:val="none" w:sz="0" w:space="0" w:color="auto"/>
          </w:divBdr>
        </w:div>
      </w:divsChild>
    </w:div>
    <w:div w:id="1004213167">
      <w:bodyDiv w:val="1"/>
      <w:marLeft w:val="0"/>
      <w:marRight w:val="0"/>
      <w:marTop w:val="0"/>
      <w:marBottom w:val="0"/>
      <w:divBdr>
        <w:top w:val="none" w:sz="0" w:space="0" w:color="auto"/>
        <w:left w:val="none" w:sz="0" w:space="0" w:color="auto"/>
        <w:bottom w:val="none" w:sz="0" w:space="0" w:color="auto"/>
        <w:right w:val="none" w:sz="0" w:space="0" w:color="auto"/>
      </w:divBdr>
      <w:divsChild>
        <w:div w:id="365057736">
          <w:marLeft w:val="0"/>
          <w:marRight w:val="0"/>
          <w:marTop w:val="0"/>
          <w:marBottom w:val="0"/>
          <w:divBdr>
            <w:top w:val="none" w:sz="0" w:space="0" w:color="auto"/>
            <w:left w:val="none" w:sz="0" w:space="0" w:color="auto"/>
            <w:bottom w:val="none" w:sz="0" w:space="0" w:color="auto"/>
            <w:right w:val="none" w:sz="0" w:space="0" w:color="auto"/>
          </w:divBdr>
        </w:div>
        <w:div w:id="478351286">
          <w:marLeft w:val="0"/>
          <w:marRight w:val="0"/>
          <w:marTop w:val="0"/>
          <w:marBottom w:val="0"/>
          <w:divBdr>
            <w:top w:val="none" w:sz="0" w:space="0" w:color="auto"/>
            <w:left w:val="none" w:sz="0" w:space="0" w:color="auto"/>
            <w:bottom w:val="none" w:sz="0" w:space="0" w:color="auto"/>
            <w:right w:val="none" w:sz="0" w:space="0" w:color="auto"/>
          </w:divBdr>
        </w:div>
        <w:div w:id="622927045">
          <w:marLeft w:val="0"/>
          <w:marRight w:val="0"/>
          <w:marTop w:val="0"/>
          <w:marBottom w:val="0"/>
          <w:divBdr>
            <w:top w:val="none" w:sz="0" w:space="0" w:color="auto"/>
            <w:left w:val="none" w:sz="0" w:space="0" w:color="auto"/>
            <w:bottom w:val="none" w:sz="0" w:space="0" w:color="auto"/>
            <w:right w:val="none" w:sz="0" w:space="0" w:color="auto"/>
          </w:divBdr>
        </w:div>
        <w:div w:id="870842799">
          <w:marLeft w:val="0"/>
          <w:marRight w:val="0"/>
          <w:marTop w:val="0"/>
          <w:marBottom w:val="0"/>
          <w:divBdr>
            <w:top w:val="none" w:sz="0" w:space="0" w:color="auto"/>
            <w:left w:val="none" w:sz="0" w:space="0" w:color="auto"/>
            <w:bottom w:val="none" w:sz="0" w:space="0" w:color="auto"/>
            <w:right w:val="none" w:sz="0" w:space="0" w:color="auto"/>
          </w:divBdr>
        </w:div>
        <w:div w:id="1321811135">
          <w:marLeft w:val="0"/>
          <w:marRight w:val="0"/>
          <w:marTop w:val="0"/>
          <w:marBottom w:val="0"/>
          <w:divBdr>
            <w:top w:val="none" w:sz="0" w:space="0" w:color="auto"/>
            <w:left w:val="none" w:sz="0" w:space="0" w:color="auto"/>
            <w:bottom w:val="none" w:sz="0" w:space="0" w:color="auto"/>
            <w:right w:val="none" w:sz="0" w:space="0" w:color="auto"/>
          </w:divBdr>
        </w:div>
        <w:div w:id="1379084480">
          <w:marLeft w:val="0"/>
          <w:marRight w:val="0"/>
          <w:marTop w:val="0"/>
          <w:marBottom w:val="0"/>
          <w:divBdr>
            <w:top w:val="none" w:sz="0" w:space="0" w:color="auto"/>
            <w:left w:val="none" w:sz="0" w:space="0" w:color="auto"/>
            <w:bottom w:val="none" w:sz="0" w:space="0" w:color="auto"/>
            <w:right w:val="none" w:sz="0" w:space="0" w:color="auto"/>
          </w:divBdr>
        </w:div>
        <w:div w:id="1507281025">
          <w:marLeft w:val="0"/>
          <w:marRight w:val="0"/>
          <w:marTop w:val="0"/>
          <w:marBottom w:val="0"/>
          <w:divBdr>
            <w:top w:val="none" w:sz="0" w:space="0" w:color="auto"/>
            <w:left w:val="none" w:sz="0" w:space="0" w:color="auto"/>
            <w:bottom w:val="none" w:sz="0" w:space="0" w:color="auto"/>
            <w:right w:val="none" w:sz="0" w:space="0" w:color="auto"/>
          </w:divBdr>
        </w:div>
      </w:divsChild>
    </w:div>
    <w:div w:id="1010596034">
      <w:bodyDiv w:val="1"/>
      <w:marLeft w:val="0"/>
      <w:marRight w:val="0"/>
      <w:marTop w:val="0"/>
      <w:marBottom w:val="0"/>
      <w:divBdr>
        <w:top w:val="none" w:sz="0" w:space="0" w:color="auto"/>
        <w:left w:val="none" w:sz="0" w:space="0" w:color="auto"/>
        <w:bottom w:val="none" w:sz="0" w:space="0" w:color="auto"/>
        <w:right w:val="none" w:sz="0" w:space="0" w:color="auto"/>
      </w:divBdr>
      <w:divsChild>
        <w:div w:id="80414654">
          <w:marLeft w:val="0"/>
          <w:marRight w:val="0"/>
          <w:marTop w:val="0"/>
          <w:marBottom w:val="0"/>
          <w:divBdr>
            <w:top w:val="none" w:sz="0" w:space="0" w:color="auto"/>
            <w:left w:val="none" w:sz="0" w:space="0" w:color="auto"/>
            <w:bottom w:val="none" w:sz="0" w:space="0" w:color="auto"/>
            <w:right w:val="none" w:sz="0" w:space="0" w:color="auto"/>
          </w:divBdr>
        </w:div>
        <w:div w:id="197162541">
          <w:marLeft w:val="0"/>
          <w:marRight w:val="0"/>
          <w:marTop w:val="0"/>
          <w:marBottom w:val="0"/>
          <w:divBdr>
            <w:top w:val="none" w:sz="0" w:space="0" w:color="auto"/>
            <w:left w:val="none" w:sz="0" w:space="0" w:color="auto"/>
            <w:bottom w:val="none" w:sz="0" w:space="0" w:color="auto"/>
            <w:right w:val="none" w:sz="0" w:space="0" w:color="auto"/>
          </w:divBdr>
        </w:div>
        <w:div w:id="496502621">
          <w:marLeft w:val="0"/>
          <w:marRight w:val="0"/>
          <w:marTop w:val="0"/>
          <w:marBottom w:val="0"/>
          <w:divBdr>
            <w:top w:val="none" w:sz="0" w:space="0" w:color="auto"/>
            <w:left w:val="none" w:sz="0" w:space="0" w:color="auto"/>
            <w:bottom w:val="none" w:sz="0" w:space="0" w:color="auto"/>
            <w:right w:val="none" w:sz="0" w:space="0" w:color="auto"/>
          </w:divBdr>
        </w:div>
        <w:div w:id="508954148">
          <w:marLeft w:val="0"/>
          <w:marRight w:val="0"/>
          <w:marTop w:val="0"/>
          <w:marBottom w:val="0"/>
          <w:divBdr>
            <w:top w:val="none" w:sz="0" w:space="0" w:color="auto"/>
            <w:left w:val="none" w:sz="0" w:space="0" w:color="auto"/>
            <w:bottom w:val="none" w:sz="0" w:space="0" w:color="auto"/>
            <w:right w:val="none" w:sz="0" w:space="0" w:color="auto"/>
          </w:divBdr>
        </w:div>
        <w:div w:id="963270481">
          <w:marLeft w:val="0"/>
          <w:marRight w:val="0"/>
          <w:marTop w:val="0"/>
          <w:marBottom w:val="0"/>
          <w:divBdr>
            <w:top w:val="none" w:sz="0" w:space="0" w:color="auto"/>
            <w:left w:val="none" w:sz="0" w:space="0" w:color="auto"/>
            <w:bottom w:val="none" w:sz="0" w:space="0" w:color="auto"/>
            <w:right w:val="none" w:sz="0" w:space="0" w:color="auto"/>
          </w:divBdr>
        </w:div>
        <w:div w:id="1106920846">
          <w:marLeft w:val="0"/>
          <w:marRight w:val="0"/>
          <w:marTop w:val="0"/>
          <w:marBottom w:val="0"/>
          <w:divBdr>
            <w:top w:val="none" w:sz="0" w:space="0" w:color="auto"/>
            <w:left w:val="none" w:sz="0" w:space="0" w:color="auto"/>
            <w:bottom w:val="none" w:sz="0" w:space="0" w:color="auto"/>
            <w:right w:val="none" w:sz="0" w:space="0" w:color="auto"/>
          </w:divBdr>
        </w:div>
        <w:div w:id="1802574718">
          <w:marLeft w:val="0"/>
          <w:marRight w:val="0"/>
          <w:marTop w:val="0"/>
          <w:marBottom w:val="0"/>
          <w:divBdr>
            <w:top w:val="none" w:sz="0" w:space="0" w:color="auto"/>
            <w:left w:val="none" w:sz="0" w:space="0" w:color="auto"/>
            <w:bottom w:val="none" w:sz="0" w:space="0" w:color="auto"/>
            <w:right w:val="none" w:sz="0" w:space="0" w:color="auto"/>
          </w:divBdr>
        </w:div>
        <w:div w:id="1828327019">
          <w:marLeft w:val="0"/>
          <w:marRight w:val="0"/>
          <w:marTop w:val="0"/>
          <w:marBottom w:val="0"/>
          <w:divBdr>
            <w:top w:val="none" w:sz="0" w:space="0" w:color="auto"/>
            <w:left w:val="none" w:sz="0" w:space="0" w:color="auto"/>
            <w:bottom w:val="none" w:sz="0" w:space="0" w:color="auto"/>
            <w:right w:val="none" w:sz="0" w:space="0" w:color="auto"/>
          </w:divBdr>
        </w:div>
        <w:div w:id="2092118558">
          <w:marLeft w:val="0"/>
          <w:marRight w:val="0"/>
          <w:marTop w:val="0"/>
          <w:marBottom w:val="0"/>
          <w:divBdr>
            <w:top w:val="none" w:sz="0" w:space="0" w:color="auto"/>
            <w:left w:val="none" w:sz="0" w:space="0" w:color="auto"/>
            <w:bottom w:val="none" w:sz="0" w:space="0" w:color="auto"/>
            <w:right w:val="none" w:sz="0" w:space="0" w:color="auto"/>
          </w:divBdr>
        </w:div>
      </w:divsChild>
    </w:div>
    <w:div w:id="1016346037">
      <w:bodyDiv w:val="1"/>
      <w:marLeft w:val="0"/>
      <w:marRight w:val="0"/>
      <w:marTop w:val="0"/>
      <w:marBottom w:val="0"/>
      <w:divBdr>
        <w:top w:val="none" w:sz="0" w:space="0" w:color="auto"/>
        <w:left w:val="none" w:sz="0" w:space="0" w:color="auto"/>
        <w:bottom w:val="none" w:sz="0" w:space="0" w:color="auto"/>
        <w:right w:val="none" w:sz="0" w:space="0" w:color="auto"/>
      </w:divBdr>
      <w:divsChild>
        <w:div w:id="82452887">
          <w:marLeft w:val="0"/>
          <w:marRight w:val="0"/>
          <w:marTop w:val="0"/>
          <w:marBottom w:val="0"/>
          <w:divBdr>
            <w:top w:val="none" w:sz="0" w:space="0" w:color="auto"/>
            <w:left w:val="none" w:sz="0" w:space="0" w:color="auto"/>
            <w:bottom w:val="none" w:sz="0" w:space="0" w:color="auto"/>
            <w:right w:val="none" w:sz="0" w:space="0" w:color="auto"/>
          </w:divBdr>
        </w:div>
        <w:div w:id="320013606">
          <w:marLeft w:val="0"/>
          <w:marRight w:val="0"/>
          <w:marTop w:val="0"/>
          <w:marBottom w:val="0"/>
          <w:divBdr>
            <w:top w:val="none" w:sz="0" w:space="0" w:color="auto"/>
            <w:left w:val="none" w:sz="0" w:space="0" w:color="auto"/>
            <w:bottom w:val="none" w:sz="0" w:space="0" w:color="auto"/>
            <w:right w:val="none" w:sz="0" w:space="0" w:color="auto"/>
          </w:divBdr>
        </w:div>
        <w:div w:id="394742142">
          <w:marLeft w:val="0"/>
          <w:marRight w:val="0"/>
          <w:marTop w:val="0"/>
          <w:marBottom w:val="0"/>
          <w:divBdr>
            <w:top w:val="none" w:sz="0" w:space="0" w:color="auto"/>
            <w:left w:val="none" w:sz="0" w:space="0" w:color="auto"/>
            <w:bottom w:val="none" w:sz="0" w:space="0" w:color="auto"/>
            <w:right w:val="none" w:sz="0" w:space="0" w:color="auto"/>
          </w:divBdr>
        </w:div>
        <w:div w:id="472336874">
          <w:marLeft w:val="0"/>
          <w:marRight w:val="0"/>
          <w:marTop w:val="0"/>
          <w:marBottom w:val="0"/>
          <w:divBdr>
            <w:top w:val="none" w:sz="0" w:space="0" w:color="auto"/>
            <w:left w:val="none" w:sz="0" w:space="0" w:color="auto"/>
            <w:bottom w:val="none" w:sz="0" w:space="0" w:color="auto"/>
            <w:right w:val="none" w:sz="0" w:space="0" w:color="auto"/>
          </w:divBdr>
        </w:div>
        <w:div w:id="475758531">
          <w:marLeft w:val="0"/>
          <w:marRight w:val="0"/>
          <w:marTop w:val="0"/>
          <w:marBottom w:val="0"/>
          <w:divBdr>
            <w:top w:val="none" w:sz="0" w:space="0" w:color="auto"/>
            <w:left w:val="none" w:sz="0" w:space="0" w:color="auto"/>
            <w:bottom w:val="none" w:sz="0" w:space="0" w:color="auto"/>
            <w:right w:val="none" w:sz="0" w:space="0" w:color="auto"/>
          </w:divBdr>
        </w:div>
        <w:div w:id="773210653">
          <w:marLeft w:val="0"/>
          <w:marRight w:val="0"/>
          <w:marTop w:val="0"/>
          <w:marBottom w:val="0"/>
          <w:divBdr>
            <w:top w:val="none" w:sz="0" w:space="0" w:color="auto"/>
            <w:left w:val="none" w:sz="0" w:space="0" w:color="auto"/>
            <w:bottom w:val="none" w:sz="0" w:space="0" w:color="auto"/>
            <w:right w:val="none" w:sz="0" w:space="0" w:color="auto"/>
          </w:divBdr>
        </w:div>
        <w:div w:id="807552500">
          <w:marLeft w:val="0"/>
          <w:marRight w:val="0"/>
          <w:marTop w:val="0"/>
          <w:marBottom w:val="0"/>
          <w:divBdr>
            <w:top w:val="none" w:sz="0" w:space="0" w:color="auto"/>
            <w:left w:val="none" w:sz="0" w:space="0" w:color="auto"/>
            <w:bottom w:val="none" w:sz="0" w:space="0" w:color="auto"/>
            <w:right w:val="none" w:sz="0" w:space="0" w:color="auto"/>
          </w:divBdr>
        </w:div>
        <w:div w:id="1543328140">
          <w:marLeft w:val="0"/>
          <w:marRight w:val="0"/>
          <w:marTop w:val="0"/>
          <w:marBottom w:val="0"/>
          <w:divBdr>
            <w:top w:val="none" w:sz="0" w:space="0" w:color="auto"/>
            <w:left w:val="none" w:sz="0" w:space="0" w:color="auto"/>
            <w:bottom w:val="none" w:sz="0" w:space="0" w:color="auto"/>
            <w:right w:val="none" w:sz="0" w:space="0" w:color="auto"/>
          </w:divBdr>
        </w:div>
        <w:div w:id="1639993502">
          <w:marLeft w:val="0"/>
          <w:marRight w:val="0"/>
          <w:marTop w:val="0"/>
          <w:marBottom w:val="0"/>
          <w:divBdr>
            <w:top w:val="none" w:sz="0" w:space="0" w:color="auto"/>
            <w:left w:val="none" w:sz="0" w:space="0" w:color="auto"/>
            <w:bottom w:val="none" w:sz="0" w:space="0" w:color="auto"/>
            <w:right w:val="none" w:sz="0" w:space="0" w:color="auto"/>
          </w:divBdr>
        </w:div>
        <w:div w:id="1652784311">
          <w:marLeft w:val="0"/>
          <w:marRight w:val="0"/>
          <w:marTop w:val="0"/>
          <w:marBottom w:val="0"/>
          <w:divBdr>
            <w:top w:val="none" w:sz="0" w:space="0" w:color="auto"/>
            <w:left w:val="none" w:sz="0" w:space="0" w:color="auto"/>
            <w:bottom w:val="none" w:sz="0" w:space="0" w:color="auto"/>
            <w:right w:val="none" w:sz="0" w:space="0" w:color="auto"/>
          </w:divBdr>
        </w:div>
        <w:div w:id="1974677404">
          <w:marLeft w:val="0"/>
          <w:marRight w:val="0"/>
          <w:marTop w:val="0"/>
          <w:marBottom w:val="0"/>
          <w:divBdr>
            <w:top w:val="none" w:sz="0" w:space="0" w:color="auto"/>
            <w:left w:val="none" w:sz="0" w:space="0" w:color="auto"/>
            <w:bottom w:val="none" w:sz="0" w:space="0" w:color="auto"/>
            <w:right w:val="none" w:sz="0" w:space="0" w:color="auto"/>
          </w:divBdr>
          <w:divsChild>
            <w:div w:id="519510428">
              <w:marLeft w:val="0"/>
              <w:marRight w:val="0"/>
              <w:marTop w:val="0"/>
              <w:marBottom w:val="0"/>
              <w:divBdr>
                <w:top w:val="none" w:sz="0" w:space="0" w:color="auto"/>
                <w:left w:val="none" w:sz="0" w:space="0" w:color="auto"/>
                <w:bottom w:val="none" w:sz="0" w:space="0" w:color="auto"/>
                <w:right w:val="none" w:sz="0" w:space="0" w:color="auto"/>
              </w:divBdr>
            </w:div>
            <w:div w:id="1601256225">
              <w:marLeft w:val="0"/>
              <w:marRight w:val="0"/>
              <w:marTop w:val="0"/>
              <w:marBottom w:val="0"/>
              <w:divBdr>
                <w:top w:val="none" w:sz="0" w:space="0" w:color="auto"/>
                <w:left w:val="none" w:sz="0" w:space="0" w:color="auto"/>
                <w:bottom w:val="none" w:sz="0" w:space="0" w:color="auto"/>
                <w:right w:val="none" w:sz="0" w:space="0" w:color="auto"/>
              </w:divBdr>
            </w:div>
            <w:div w:id="1631981018">
              <w:marLeft w:val="0"/>
              <w:marRight w:val="0"/>
              <w:marTop w:val="0"/>
              <w:marBottom w:val="0"/>
              <w:divBdr>
                <w:top w:val="none" w:sz="0" w:space="0" w:color="auto"/>
                <w:left w:val="none" w:sz="0" w:space="0" w:color="auto"/>
                <w:bottom w:val="none" w:sz="0" w:space="0" w:color="auto"/>
                <w:right w:val="none" w:sz="0" w:space="0" w:color="auto"/>
              </w:divBdr>
            </w:div>
            <w:div w:id="1828476060">
              <w:marLeft w:val="0"/>
              <w:marRight w:val="0"/>
              <w:marTop w:val="0"/>
              <w:marBottom w:val="0"/>
              <w:divBdr>
                <w:top w:val="none" w:sz="0" w:space="0" w:color="auto"/>
                <w:left w:val="none" w:sz="0" w:space="0" w:color="auto"/>
                <w:bottom w:val="none" w:sz="0" w:space="0" w:color="auto"/>
                <w:right w:val="none" w:sz="0" w:space="0" w:color="auto"/>
              </w:divBdr>
            </w:div>
            <w:div w:id="1876692954">
              <w:marLeft w:val="0"/>
              <w:marRight w:val="0"/>
              <w:marTop w:val="0"/>
              <w:marBottom w:val="0"/>
              <w:divBdr>
                <w:top w:val="none" w:sz="0" w:space="0" w:color="auto"/>
                <w:left w:val="none" w:sz="0" w:space="0" w:color="auto"/>
                <w:bottom w:val="none" w:sz="0" w:space="0" w:color="auto"/>
                <w:right w:val="none" w:sz="0" w:space="0" w:color="auto"/>
              </w:divBdr>
            </w:div>
          </w:divsChild>
        </w:div>
        <w:div w:id="2016375320">
          <w:marLeft w:val="0"/>
          <w:marRight w:val="0"/>
          <w:marTop w:val="0"/>
          <w:marBottom w:val="0"/>
          <w:divBdr>
            <w:top w:val="none" w:sz="0" w:space="0" w:color="auto"/>
            <w:left w:val="none" w:sz="0" w:space="0" w:color="auto"/>
            <w:bottom w:val="none" w:sz="0" w:space="0" w:color="auto"/>
            <w:right w:val="none" w:sz="0" w:space="0" w:color="auto"/>
          </w:divBdr>
        </w:div>
        <w:div w:id="2093502095">
          <w:marLeft w:val="0"/>
          <w:marRight w:val="0"/>
          <w:marTop w:val="0"/>
          <w:marBottom w:val="0"/>
          <w:divBdr>
            <w:top w:val="none" w:sz="0" w:space="0" w:color="auto"/>
            <w:left w:val="none" w:sz="0" w:space="0" w:color="auto"/>
            <w:bottom w:val="none" w:sz="0" w:space="0" w:color="auto"/>
            <w:right w:val="none" w:sz="0" w:space="0" w:color="auto"/>
          </w:divBdr>
        </w:div>
      </w:divsChild>
    </w:div>
    <w:div w:id="1018198337">
      <w:bodyDiv w:val="1"/>
      <w:marLeft w:val="0"/>
      <w:marRight w:val="0"/>
      <w:marTop w:val="0"/>
      <w:marBottom w:val="0"/>
      <w:divBdr>
        <w:top w:val="none" w:sz="0" w:space="0" w:color="auto"/>
        <w:left w:val="none" w:sz="0" w:space="0" w:color="auto"/>
        <w:bottom w:val="none" w:sz="0" w:space="0" w:color="auto"/>
        <w:right w:val="none" w:sz="0" w:space="0" w:color="auto"/>
      </w:divBdr>
      <w:divsChild>
        <w:div w:id="185169590">
          <w:marLeft w:val="0"/>
          <w:marRight w:val="0"/>
          <w:marTop w:val="0"/>
          <w:marBottom w:val="0"/>
          <w:divBdr>
            <w:top w:val="none" w:sz="0" w:space="0" w:color="auto"/>
            <w:left w:val="none" w:sz="0" w:space="0" w:color="auto"/>
            <w:bottom w:val="none" w:sz="0" w:space="0" w:color="auto"/>
            <w:right w:val="none" w:sz="0" w:space="0" w:color="auto"/>
          </w:divBdr>
        </w:div>
        <w:div w:id="444690767">
          <w:marLeft w:val="0"/>
          <w:marRight w:val="0"/>
          <w:marTop w:val="0"/>
          <w:marBottom w:val="0"/>
          <w:divBdr>
            <w:top w:val="none" w:sz="0" w:space="0" w:color="auto"/>
            <w:left w:val="none" w:sz="0" w:space="0" w:color="auto"/>
            <w:bottom w:val="none" w:sz="0" w:space="0" w:color="auto"/>
            <w:right w:val="none" w:sz="0" w:space="0" w:color="auto"/>
          </w:divBdr>
          <w:divsChild>
            <w:div w:id="276835359">
              <w:marLeft w:val="0"/>
              <w:marRight w:val="0"/>
              <w:marTop w:val="0"/>
              <w:marBottom w:val="0"/>
              <w:divBdr>
                <w:top w:val="none" w:sz="0" w:space="0" w:color="auto"/>
                <w:left w:val="none" w:sz="0" w:space="0" w:color="auto"/>
                <w:bottom w:val="none" w:sz="0" w:space="0" w:color="auto"/>
                <w:right w:val="none" w:sz="0" w:space="0" w:color="auto"/>
              </w:divBdr>
            </w:div>
            <w:div w:id="290062975">
              <w:marLeft w:val="0"/>
              <w:marRight w:val="0"/>
              <w:marTop w:val="0"/>
              <w:marBottom w:val="0"/>
              <w:divBdr>
                <w:top w:val="none" w:sz="0" w:space="0" w:color="auto"/>
                <w:left w:val="none" w:sz="0" w:space="0" w:color="auto"/>
                <w:bottom w:val="none" w:sz="0" w:space="0" w:color="auto"/>
                <w:right w:val="none" w:sz="0" w:space="0" w:color="auto"/>
              </w:divBdr>
            </w:div>
            <w:div w:id="667563960">
              <w:marLeft w:val="0"/>
              <w:marRight w:val="0"/>
              <w:marTop w:val="0"/>
              <w:marBottom w:val="0"/>
              <w:divBdr>
                <w:top w:val="none" w:sz="0" w:space="0" w:color="auto"/>
                <w:left w:val="none" w:sz="0" w:space="0" w:color="auto"/>
                <w:bottom w:val="none" w:sz="0" w:space="0" w:color="auto"/>
                <w:right w:val="none" w:sz="0" w:space="0" w:color="auto"/>
              </w:divBdr>
            </w:div>
            <w:div w:id="1175339388">
              <w:marLeft w:val="0"/>
              <w:marRight w:val="0"/>
              <w:marTop w:val="0"/>
              <w:marBottom w:val="0"/>
              <w:divBdr>
                <w:top w:val="none" w:sz="0" w:space="0" w:color="auto"/>
                <w:left w:val="none" w:sz="0" w:space="0" w:color="auto"/>
                <w:bottom w:val="none" w:sz="0" w:space="0" w:color="auto"/>
                <w:right w:val="none" w:sz="0" w:space="0" w:color="auto"/>
              </w:divBdr>
            </w:div>
            <w:div w:id="1484395295">
              <w:marLeft w:val="0"/>
              <w:marRight w:val="0"/>
              <w:marTop w:val="0"/>
              <w:marBottom w:val="0"/>
              <w:divBdr>
                <w:top w:val="none" w:sz="0" w:space="0" w:color="auto"/>
                <w:left w:val="none" w:sz="0" w:space="0" w:color="auto"/>
                <w:bottom w:val="none" w:sz="0" w:space="0" w:color="auto"/>
                <w:right w:val="none" w:sz="0" w:space="0" w:color="auto"/>
              </w:divBdr>
            </w:div>
          </w:divsChild>
        </w:div>
        <w:div w:id="533732337">
          <w:marLeft w:val="0"/>
          <w:marRight w:val="0"/>
          <w:marTop w:val="0"/>
          <w:marBottom w:val="0"/>
          <w:divBdr>
            <w:top w:val="none" w:sz="0" w:space="0" w:color="auto"/>
            <w:left w:val="none" w:sz="0" w:space="0" w:color="auto"/>
            <w:bottom w:val="none" w:sz="0" w:space="0" w:color="auto"/>
            <w:right w:val="none" w:sz="0" w:space="0" w:color="auto"/>
          </w:divBdr>
        </w:div>
        <w:div w:id="932005887">
          <w:marLeft w:val="0"/>
          <w:marRight w:val="0"/>
          <w:marTop w:val="0"/>
          <w:marBottom w:val="0"/>
          <w:divBdr>
            <w:top w:val="none" w:sz="0" w:space="0" w:color="auto"/>
            <w:left w:val="none" w:sz="0" w:space="0" w:color="auto"/>
            <w:bottom w:val="none" w:sz="0" w:space="0" w:color="auto"/>
            <w:right w:val="none" w:sz="0" w:space="0" w:color="auto"/>
          </w:divBdr>
          <w:divsChild>
            <w:div w:id="505680552">
              <w:marLeft w:val="0"/>
              <w:marRight w:val="0"/>
              <w:marTop w:val="0"/>
              <w:marBottom w:val="0"/>
              <w:divBdr>
                <w:top w:val="none" w:sz="0" w:space="0" w:color="auto"/>
                <w:left w:val="none" w:sz="0" w:space="0" w:color="auto"/>
                <w:bottom w:val="none" w:sz="0" w:space="0" w:color="auto"/>
                <w:right w:val="none" w:sz="0" w:space="0" w:color="auto"/>
              </w:divBdr>
            </w:div>
            <w:div w:id="844395270">
              <w:marLeft w:val="0"/>
              <w:marRight w:val="0"/>
              <w:marTop w:val="0"/>
              <w:marBottom w:val="0"/>
              <w:divBdr>
                <w:top w:val="none" w:sz="0" w:space="0" w:color="auto"/>
                <w:left w:val="none" w:sz="0" w:space="0" w:color="auto"/>
                <w:bottom w:val="none" w:sz="0" w:space="0" w:color="auto"/>
                <w:right w:val="none" w:sz="0" w:space="0" w:color="auto"/>
              </w:divBdr>
            </w:div>
            <w:div w:id="1501238495">
              <w:marLeft w:val="0"/>
              <w:marRight w:val="0"/>
              <w:marTop w:val="0"/>
              <w:marBottom w:val="0"/>
              <w:divBdr>
                <w:top w:val="none" w:sz="0" w:space="0" w:color="auto"/>
                <w:left w:val="none" w:sz="0" w:space="0" w:color="auto"/>
                <w:bottom w:val="none" w:sz="0" w:space="0" w:color="auto"/>
                <w:right w:val="none" w:sz="0" w:space="0" w:color="auto"/>
              </w:divBdr>
            </w:div>
            <w:div w:id="17459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69882">
      <w:bodyDiv w:val="1"/>
      <w:marLeft w:val="0"/>
      <w:marRight w:val="0"/>
      <w:marTop w:val="0"/>
      <w:marBottom w:val="0"/>
      <w:divBdr>
        <w:top w:val="none" w:sz="0" w:space="0" w:color="auto"/>
        <w:left w:val="none" w:sz="0" w:space="0" w:color="auto"/>
        <w:bottom w:val="none" w:sz="0" w:space="0" w:color="auto"/>
        <w:right w:val="none" w:sz="0" w:space="0" w:color="auto"/>
      </w:divBdr>
      <w:divsChild>
        <w:div w:id="352220942">
          <w:marLeft w:val="0"/>
          <w:marRight w:val="0"/>
          <w:marTop w:val="0"/>
          <w:marBottom w:val="0"/>
          <w:divBdr>
            <w:top w:val="none" w:sz="0" w:space="0" w:color="auto"/>
            <w:left w:val="none" w:sz="0" w:space="0" w:color="auto"/>
            <w:bottom w:val="none" w:sz="0" w:space="0" w:color="auto"/>
            <w:right w:val="none" w:sz="0" w:space="0" w:color="auto"/>
          </w:divBdr>
        </w:div>
        <w:div w:id="368605191">
          <w:marLeft w:val="0"/>
          <w:marRight w:val="0"/>
          <w:marTop w:val="0"/>
          <w:marBottom w:val="0"/>
          <w:divBdr>
            <w:top w:val="none" w:sz="0" w:space="0" w:color="auto"/>
            <w:left w:val="none" w:sz="0" w:space="0" w:color="auto"/>
            <w:bottom w:val="none" w:sz="0" w:space="0" w:color="auto"/>
            <w:right w:val="none" w:sz="0" w:space="0" w:color="auto"/>
          </w:divBdr>
        </w:div>
        <w:div w:id="481194523">
          <w:marLeft w:val="0"/>
          <w:marRight w:val="0"/>
          <w:marTop w:val="0"/>
          <w:marBottom w:val="0"/>
          <w:divBdr>
            <w:top w:val="none" w:sz="0" w:space="0" w:color="auto"/>
            <w:left w:val="none" w:sz="0" w:space="0" w:color="auto"/>
            <w:bottom w:val="none" w:sz="0" w:space="0" w:color="auto"/>
            <w:right w:val="none" w:sz="0" w:space="0" w:color="auto"/>
          </w:divBdr>
        </w:div>
        <w:div w:id="797065881">
          <w:marLeft w:val="0"/>
          <w:marRight w:val="0"/>
          <w:marTop w:val="0"/>
          <w:marBottom w:val="0"/>
          <w:divBdr>
            <w:top w:val="none" w:sz="0" w:space="0" w:color="auto"/>
            <w:left w:val="none" w:sz="0" w:space="0" w:color="auto"/>
            <w:bottom w:val="none" w:sz="0" w:space="0" w:color="auto"/>
            <w:right w:val="none" w:sz="0" w:space="0" w:color="auto"/>
          </w:divBdr>
        </w:div>
        <w:div w:id="1634166903">
          <w:marLeft w:val="0"/>
          <w:marRight w:val="0"/>
          <w:marTop w:val="0"/>
          <w:marBottom w:val="0"/>
          <w:divBdr>
            <w:top w:val="none" w:sz="0" w:space="0" w:color="auto"/>
            <w:left w:val="none" w:sz="0" w:space="0" w:color="auto"/>
            <w:bottom w:val="none" w:sz="0" w:space="0" w:color="auto"/>
            <w:right w:val="none" w:sz="0" w:space="0" w:color="auto"/>
          </w:divBdr>
        </w:div>
        <w:div w:id="1888301437">
          <w:marLeft w:val="0"/>
          <w:marRight w:val="0"/>
          <w:marTop w:val="0"/>
          <w:marBottom w:val="0"/>
          <w:divBdr>
            <w:top w:val="none" w:sz="0" w:space="0" w:color="auto"/>
            <w:left w:val="none" w:sz="0" w:space="0" w:color="auto"/>
            <w:bottom w:val="none" w:sz="0" w:space="0" w:color="auto"/>
            <w:right w:val="none" w:sz="0" w:space="0" w:color="auto"/>
          </w:divBdr>
        </w:div>
      </w:divsChild>
    </w:div>
    <w:div w:id="1057365276">
      <w:bodyDiv w:val="1"/>
      <w:marLeft w:val="0"/>
      <w:marRight w:val="0"/>
      <w:marTop w:val="0"/>
      <w:marBottom w:val="0"/>
      <w:divBdr>
        <w:top w:val="none" w:sz="0" w:space="0" w:color="auto"/>
        <w:left w:val="none" w:sz="0" w:space="0" w:color="auto"/>
        <w:bottom w:val="none" w:sz="0" w:space="0" w:color="auto"/>
        <w:right w:val="none" w:sz="0" w:space="0" w:color="auto"/>
      </w:divBdr>
      <w:divsChild>
        <w:div w:id="123349080">
          <w:marLeft w:val="0"/>
          <w:marRight w:val="0"/>
          <w:marTop w:val="0"/>
          <w:marBottom w:val="0"/>
          <w:divBdr>
            <w:top w:val="none" w:sz="0" w:space="0" w:color="auto"/>
            <w:left w:val="none" w:sz="0" w:space="0" w:color="auto"/>
            <w:bottom w:val="none" w:sz="0" w:space="0" w:color="auto"/>
            <w:right w:val="none" w:sz="0" w:space="0" w:color="auto"/>
          </w:divBdr>
          <w:divsChild>
            <w:div w:id="320238709">
              <w:marLeft w:val="0"/>
              <w:marRight w:val="0"/>
              <w:marTop w:val="0"/>
              <w:marBottom w:val="0"/>
              <w:divBdr>
                <w:top w:val="none" w:sz="0" w:space="0" w:color="auto"/>
                <w:left w:val="none" w:sz="0" w:space="0" w:color="auto"/>
                <w:bottom w:val="none" w:sz="0" w:space="0" w:color="auto"/>
                <w:right w:val="none" w:sz="0" w:space="0" w:color="auto"/>
              </w:divBdr>
            </w:div>
            <w:div w:id="1094596357">
              <w:marLeft w:val="0"/>
              <w:marRight w:val="0"/>
              <w:marTop w:val="0"/>
              <w:marBottom w:val="0"/>
              <w:divBdr>
                <w:top w:val="none" w:sz="0" w:space="0" w:color="auto"/>
                <w:left w:val="none" w:sz="0" w:space="0" w:color="auto"/>
                <w:bottom w:val="none" w:sz="0" w:space="0" w:color="auto"/>
                <w:right w:val="none" w:sz="0" w:space="0" w:color="auto"/>
              </w:divBdr>
            </w:div>
            <w:div w:id="1344864600">
              <w:marLeft w:val="0"/>
              <w:marRight w:val="0"/>
              <w:marTop w:val="0"/>
              <w:marBottom w:val="0"/>
              <w:divBdr>
                <w:top w:val="none" w:sz="0" w:space="0" w:color="auto"/>
                <w:left w:val="none" w:sz="0" w:space="0" w:color="auto"/>
                <w:bottom w:val="none" w:sz="0" w:space="0" w:color="auto"/>
                <w:right w:val="none" w:sz="0" w:space="0" w:color="auto"/>
              </w:divBdr>
            </w:div>
            <w:div w:id="1458139536">
              <w:marLeft w:val="0"/>
              <w:marRight w:val="0"/>
              <w:marTop w:val="0"/>
              <w:marBottom w:val="0"/>
              <w:divBdr>
                <w:top w:val="none" w:sz="0" w:space="0" w:color="auto"/>
                <w:left w:val="none" w:sz="0" w:space="0" w:color="auto"/>
                <w:bottom w:val="none" w:sz="0" w:space="0" w:color="auto"/>
                <w:right w:val="none" w:sz="0" w:space="0" w:color="auto"/>
              </w:divBdr>
            </w:div>
          </w:divsChild>
        </w:div>
        <w:div w:id="179198138">
          <w:marLeft w:val="0"/>
          <w:marRight w:val="0"/>
          <w:marTop w:val="0"/>
          <w:marBottom w:val="0"/>
          <w:divBdr>
            <w:top w:val="none" w:sz="0" w:space="0" w:color="auto"/>
            <w:left w:val="none" w:sz="0" w:space="0" w:color="auto"/>
            <w:bottom w:val="none" w:sz="0" w:space="0" w:color="auto"/>
            <w:right w:val="none" w:sz="0" w:space="0" w:color="auto"/>
          </w:divBdr>
          <w:divsChild>
            <w:div w:id="182326610">
              <w:marLeft w:val="0"/>
              <w:marRight w:val="0"/>
              <w:marTop w:val="0"/>
              <w:marBottom w:val="0"/>
              <w:divBdr>
                <w:top w:val="none" w:sz="0" w:space="0" w:color="auto"/>
                <w:left w:val="none" w:sz="0" w:space="0" w:color="auto"/>
                <w:bottom w:val="none" w:sz="0" w:space="0" w:color="auto"/>
                <w:right w:val="none" w:sz="0" w:space="0" w:color="auto"/>
              </w:divBdr>
            </w:div>
            <w:div w:id="1469515676">
              <w:marLeft w:val="0"/>
              <w:marRight w:val="0"/>
              <w:marTop w:val="0"/>
              <w:marBottom w:val="0"/>
              <w:divBdr>
                <w:top w:val="none" w:sz="0" w:space="0" w:color="auto"/>
                <w:left w:val="none" w:sz="0" w:space="0" w:color="auto"/>
                <w:bottom w:val="none" w:sz="0" w:space="0" w:color="auto"/>
                <w:right w:val="none" w:sz="0" w:space="0" w:color="auto"/>
              </w:divBdr>
            </w:div>
            <w:div w:id="1532574965">
              <w:marLeft w:val="0"/>
              <w:marRight w:val="0"/>
              <w:marTop w:val="0"/>
              <w:marBottom w:val="0"/>
              <w:divBdr>
                <w:top w:val="none" w:sz="0" w:space="0" w:color="auto"/>
                <w:left w:val="none" w:sz="0" w:space="0" w:color="auto"/>
                <w:bottom w:val="none" w:sz="0" w:space="0" w:color="auto"/>
                <w:right w:val="none" w:sz="0" w:space="0" w:color="auto"/>
              </w:divBdr>
            </w:div>
            <w:div w:id="2133934473">
              <w:marLeft w:val="0"/>
              <w:marRight w:val="0"/>
              <w:marTop w:val="0"/>
              <w:marBottom w:val="0"/>
              <w:divBdr>
                <w:top w:val="none" w:sz="0" w:space="0" w:color="auto"/>
                <w:left w:val="none" w:sz="0" w:space="0" w:color="auto"/>
                <w:bottom w:val="none" w:sz="0" w:space="0" w:color="auto"/>
                <w:right w:val="none" w:sz="0" w:space="0" w:color="auto"/>
              </w:divBdr>
            </w:div>
          </w:divsChild>
        </w:div>
        <w:div w:id="197281212">
          <w:marLeft w:val="0"/>
          <w:marRight w:val="0"/>
          <w:marTop w:val="0"/>
          <w:marBottom w:val="0"/>
          <w:divBdr>
            <w:top w:val="none" w:sz="0" w:space="0" w:color="auto"/>
            <w:left w:val="none" w:sz="0" w:space="0" w:color="auto"/>
            <w:bottom w:val="none" w:sz="0" w:space="0" w:color="auto"/>
            <w:right w:val="none" w:sz="0" w:space="0" w:color="auto"/>
          </w:divBdr>
          <w:divsChild>
            <w:div w:id="209342813">
              <w:marLeft w:val="-75"/>
              <w:marRight w:val="0"/>
              <w:marTop w:val="30"/>
              <w:marBottom w:val="30"/>
              <w:divBdr>
                <w:top w:val="none" w:sz="0" w:space="0" w:color="auto"/>
                <w:left w:val="none" w:sz="0" w:space="0" w:color="auto"/>
                <w:bottom w:val="none" w:sz="0" w:space="0" w:color="auto"/>
                <w:right w:val="none" w:sz="0" w:space="0" w:color="auto"/>
              </w:divBdr>
              <w:divsChild>
                <w:div w:id="199515500">
                  <w:marLeft w:val="0"/>
                  <w:marRight w:val="0"/>
                  <w:marTop w:val="0"/>
                  <w:marBottom w:val="0"/>
                  <w:divBdr>
                    <w:top w:val="none" w:sz="0" w:space="0" w:color="auto"/>
                    <w:left w:val="none" w:sz="0" w:space="0" w:color="auto"/>
                    <w:bottom w:val="none" w:sz="0" w:space="0" w:color="auto"/>
                    <w:right w:val="none" w:sz="0" w:space="0" w:color="auto"/>
                  </w:divBdr>
                  <w:divsChild>
                    <w:div w:id="1300844743">
                      <w:marLeft w:val="0"/>
                      <w:marRight w:val="0"/>
                      <w:marTop w:val="0"/>
                      <w:marBottom w:val="0"/>
                      <w:divBdr>
                        <w:top w:val="none" w:sz="0" w:space="0" w:color="auto"/>
                        <w:left w:val="none" w:sz="0" w:space="0" w:color="auto"/>
                        <w:bottom w:val="none" w:sz="0" w:space="0" w:color="auto"/>
                        <w:right w:val="none" w:sz="0" w:space="0" w:color="auto"/>
                      </w:divBdr>
                    </w:div>
                  </w:divsChild>
                </w:div>
                <w:div w:id="1056398675">
                  <w:marLeft w:val="0"/>
                  <w:marRight w:val="0"/>
                  <w:marTop w:val="0"/>
                  <w:marBottom w:val="0"/>
                  <w:divBdr>
                    <w:top w:val="none" w:sz="0" w:space="0" w:color="auto"/>
                    <w:left w:val="none" w:sz="0" w:space="0" w:color="auto"/>
                    <w:bottom w:val="none" w:sz="0" w:space="0" w:color="auto"/>
                    <w:right w:val="none" w:sz="0" w:space="0" w:color="auto"/>
                  </w:divBdr>
                  <w:divsChild>
                    <w:div w:id="1598171414">
                      <w:marLeft w:val="0"/>
                      <w:marRight w:val="0"/>
                      <w:marTop w:val="0"/>
                      <w:marBottom w:val="0"/>
                      <w:divBdr>
                        <w:top w:val="none" w:sz="0" w:space="0" w:color="auto"/>
                        <w:left w:val="none" w:sz="0" w:space="0" w:color="auto"/>
                        <w:bottom w:val="none" w:sz="0" w:space="0" w:color="auto"/>
                        <w:right w:val="none" w:sz="0" w:space="0" w:color="auto"/>
                      </w:divBdr>
                    </w:div>
                  </w:divsChild>
                </w:div>
                <w:div w:id="1594391203">
                  <w:marLeft w:val="0"/>
                  <w:marRight w:val="0"/>
                  <w:marTop w:val="0"/>
                  <w:marBottom w:val="0"/>
                  <w:divBdr>
                    <w:top w:val="none" w:sz="0" w:space="0" w:color="auto"/>
                    <w:left w:val="none" w:sz="0" w:space="0" w:color="auto"/>
                    <w:bottom w:val="none" w:sz="0" w:space="0" w:color="auto"/>
                    <w:right w:val="none" w:sz="0" w:space="0" w:color="auto"/>
                  </w:divBdr>
                  <w:divsChild>
                    <w:div w:id="430665054">
                      <w:marLeft w:val="0"/>
                      <w:marRight w:val="0"/>
                      <w:marTop w:val="0"/>
                      <w:marBottom w:val="0"/>
                      <w:divBdr>
                        <w:top w:val="none" w:sz="0" w:space="0" w:color="auto"/>
                        <w:left w:val="none" w:sz="0" w:space="0" w:color="auto"/>
                        <w:bottom w:val="none" w:sz="0" w:space="0" w:color="auto"/>
                        <w:right w:val="none" w:sz="0" w:space="0" w:color="auto"/>
                      </w:divBdr>
                    </w:div>
                  </w:divsChild>
                </w:div>
                <w:div w:id="1674139225">
                  <w:marLeft w:val="0"/>
                  <w:marRight w:val="0"/>
                  <w:marTop w:val="0"/>
                  <w:marBottom w:val="0"/>
                  <w:divBdr>
                    <w:top w:val="none" w:sz="0" w:space="0" w:color="auto"/>
                    <w:left w:val="none" w:sz="0" w:space="0" w:color="auto"/>
                    <w:bottom w:val="none" w:sz="0" w:space="0" w:color="auto"/>
                    <w:right w:val="none" w:sz="0" w:space="0" w:color="auto"/>
                  </w:divBdr>
                  <w:divsChild>
                    <w:div w:id="840700558">
                      <w:marLeft w:val="0"/>
                      <w:marRight w:val="0"/>
                      <w:marTop w:val="0"/>
                      <w:marBottom w:val="0"/>
                      <w:divBdr>
                        <w:top w:val="none" w:sz="0" w:space="0" w:color="auto"/>
                        <w:left w:val="none" w:sz="0" w:space="0" w:color="auto"/>
                        <w:bottom w:val="none" w:sz="0" w:space="0" w:color="auto"/>
                        <w:right w:val="none" w:sz="0" w:space="0" w:color="auto"/>
                      </w:divBdr>
                    </w:div>
                  </w:divsChild>
                </w:div>
                <w:div w:id="1725790494">
                  <w:marLeft w:val="0"/>
                  <w:marRight w:val="0"/>
                  <w:marTop w:val="0"/>
                  <w:marBottom w:val="0"/>
                  <w:divBdr>
                    <w:top w:val="none" w:sz="0" w:space="0" w:color="auto"/>
                    <w:left w:val="none" w:sz="0" w:space="0" w:color="auto"/>
                    <w:bottom w:val="none" w:sz="0" w:space="0" w:color="auto"/>
                    <w:right w:val="none" w:sz="0" w:space="0" w:color="auto"/>
                  </w:divBdr>
                  <w:divsChild>
                    <w:div w:id="1843004078">
                      <w:marLeft w:val="0"/>
                      <w:marRight w:val="0"/>
                      <w:marTop w:val="0"/>
                      <w:marBottom w:val="0"/>
                      <w:divBdr>
                        <w:top w:val="none" w:sz="0" w:space="0" w:color="auto"/>
                        <w:left w:val="none" w:sz="0" w:space="0" w:color="auto"/>
                        <w:bottom w:val="none" w:sz="0" w:space="0" w:color="auto"/>
                        <w:right w:val="none" w:sz="0" w:space="0" w:color="auto"/>
                      </w:divBdr>
                    </w:div>
                  </w:divsChild>
                </w:div>
                <w:div w:id="2124811097">
                  <w:marLeft w:val="0"/>
                  <w:marRight w:val="0"/>
                  <w:marTop w:val="0"/>
                  <w:marBottom w:val="0"/>
                  <w:divBdr>
                    <w:top w:val="none" w:sz="0" w:space="0" w:color="auto"/>
                    <w:left w:val="none" w:sz="0" w:space="0" w:color="auto"/>
                    <w:bottom w:val="none" w:sz="0" w:space="0" w:color="auto"/>
                    <w:right w:val="none" w:sz="0" w:space="0" w:color="auto"/>
                  </w:divBdr>
                  <w:divsChild>
                    <w:div w:id="106268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44704">
          <w:marLeft w:val="0"/>
          <w:marRight w:val="0"/>
          <w:marTop w:val="0"/>
          <w:marBottom w:val="0"/>
          <w:divBdr>
            <w:top w:val="none" w:sz="0" w:space="0" w:color="auto"/>
            <w:left w:val="none" w:sz="0" w:space="0" w:color="auto"/>
            <w:bottom w:val="none" w:sz="0" w:space="0" w:color="auto"/>
            <w:right w:val="none" w:sz="0" w:space="0" w:color="auto"/>
          </w:divBdr>
        </w:div>
        <w:div w:id="484200685">
          <w:marLeft w:val="0"/>
          <w:marRight w:val="0"/>
          <w:marTop w:val="0"/>
          <w:marBottom w:val="0"/>
          <w:divBdr>
            <w:top w:val="none" w:sz="0" w:space="0" w:color="auto"/>
            <w:left w:val="none" w:sz="0" w:space="0" w:color="auto"/>
            <w:bottom w:val="none" w:sz="0" w:space="0" w:color="auto"/>
            <w:right w:val="none" w:sz="0" w:space="0" w:color="auto"/>
          </w:divBdr>
        </w:div>
        <w:div w:id="653799363">
          <w:marLeft w:val="0"/>
          <w:marRight w:val="0"/>
          <w:marTop w:val="0"/>
          <w:marBottom w:val="0"/>
          <w:divBdr>
            <w:top w:val="none" w:sz="0" w:space="0" w:color="auto"/>
            <w:left w:val="none" w:sz="0" w:space="0" w:color="auto"/>
            <w:bottom w:val="none" w:sz="0" w:space="0" w:color="auto"/>
            <w:right w:val="none" w:sz="0" w:space="0" w:color="auto"/>
          </w:divBdr>
        </w:div>
        <w:div w:id="857960865">
          <w:marLeft w:val="0"/>
          <w:marRight w:val="0"/>
          <w:marTop w:val="0"/>
          <w:marBottom w:val="0"/>
          <w:divBdr>
            <w:top w:val="none" w:sz="0" w:space="0" w:color="auto"/>
            <w:left w:val="none" w:sz="0" w:space="0" w:color="auto"/>
            <w:bottom w:val="none" w:sz="0" w:space="0" w:color="auto"/>
            <w:right w:val="none" w:sz="0" w:space="0" w:color="auto"/>
          </w:divBdr>
        </w:div>
        <w:div w:id="923877925">
          <w:marLeft w:val="0"/>
          <w:marRight w:val="0"/>
          <w:marTop w:val="0"/>
          <w:marBottom w:val="0"/>
          <w:divBdr>
            <w:top w:val="none" w:sz="0" w:space="0" w:color="auto"/>
            <w:left w:val="none" w:sz="0" w:space="0" w:color="auto"/>
            <w:bottom w:val="none" w:sz="0" w:space="0" w:color="auto"/>
            <w:right w:val="none" w:sz="0" w:space="0" w:color="auto"/>
          </w:divBdr>
        </w:div>
        <w:div w:id="1061291597">
          <w:marLeft w:val="0"/>
          <w:marRight w:val="0"/>
          <w:marTop w:val="0"/>
          <w:marBottom w:val="0"/>
          <w:divBdr>
            <w:top w:val="none" w:sz="0" w:space="0" w:color="auto"/>
            <w:left w:val="none" w:sz="0" w:space="0" w:color="auto"/>
            <w:bottom w:val="none" w:sz="0" w:space="0" w:color="auto"/>
            <w:right w:val="none" w:sz="0" w:space="0" w:color="auto"/>
          </w:divBdr>
        </w:div>
        <w:div w:id="1279146048">
          <w:marLeft w:val="0"/>
          <w:marRight w:val="0"/>
          <w:marTop w:val="0"/>
          <w:marBottom w:val="0"/>
          <w:divBdr>
            <w:top w:val="none" w:sz="0" w:space="0" w:color="auto"/>
            <w:left w:val="none" w:sz="0" w:space="0" w:color="auto"/>
            <w:bottom w:val="none" w:sz="0" w:space="0" w:color="auto"/>
            <w:right w:val="none" w:sz="0" w:space="0" w:color="auto"/>
          </w:divBdr>
        </w:div>
        <w:div w:id="1419524990">
          <w:marLeft w:val="0"/>
          <w:marRight w:val="0"/>
          <w:marTop w:val="0"/>
          <w:marBottom w:val="0"/>
          <w:divBdr>
            <w:top w:val="none" w:sz="0" w:space="0" w:color="auto"/>
            <w:left w:val="none" w:sz="0" w:space="0" w:color="auto"/>
            <w:bottom w:val="none" w:sz="0" w:space="0" w:color="auto"/>
            <w:right w:val="none" w:sz="0" w:space="0" w:color="auto"/>
          </w:divBdr>
        </w:div>
        <w:div w:id="1450320599">
          <w:marLeft w:val="0"/>
          <w:marRight w:val="0"/>
          <w:marTop w:val="0"/>
          <w:marBottom w:val="0"/>
          <w:divBdr>
            <w:top w:val="none" w:sz="0" w:space="0" w:color="auto"/>
            <w:left w:val="none" w:sz="0" w:space="0" w:color="auto"/>
            <w:bottom w:val="none" w:sz="0" w:space="0" w:color="auto"/>
            <w:right w:val="none" w:sz="0" w:space="0" w:color="auto"/>
          </w:divBdr>
        </w:div>
        <w:div w:id="1679186828">
          <w:marLeft w:val="0"/>
          <w:marRight w:val="0"/>
          <w:marTop w:val="0"/>
          <w:marBottom w:val="0"/>
          <w:divBdr>
            <w:top w:val="none" w:sz="0" w:space="0" w:color="auto"/>
            <w:left w:val="none" w:sz="0" w:space="0" w:color="auto"/>
            <w:bottom w:val="none" w:sz="0" w:space="0" w:color="auto"/>
            <w:right w:val="none" w:sz="0" w:space="0" w:color="auto"/>
          </w:divBdr>
        </w:div>
        <w:div w:id="1882865872">
          <w:marLeft w:val="0"/>
          <w:marRight w:val="0"/>
          <w:marTop w:val="0"/>
          <w:marBottom w:val="0"/>
          <w:divBdr>
            <w:top w:val="none" w:sz="0" w:space="0" w:color="auto"/>
            <w:left w:val="none" w:sz="0" w:space="0" w:color="auto"/>
            <w:bottom w:val="none" w:sz="0" w:space="0" w:color="auto"/>
            <w:right w:val="none" w:sz="0" w:space="0" w:color="auto"/>
          </w:divBdr>
        </w:div>
        <w:div w:id="2099329371">
          <w:marLeft w:val="0"/>
          <w:marRight w:val="0"/>
          <w:marTop w:val="0"/>
          <w:marBottom w:val="0"/>
          <w:divBdr>
            <w:top w:val="none" w:sz="0" w:space="0" w:color="auto"/>
            <w:left w:val="none" w:sz="0" w:space="0" w:color="auto"/>
            <w:bottom w:val="none" w:sz="0" w:space="0" w:color="auto"/>
            <w:right w:val="none" w:sz="0" w:space="0" w:color="auto"/>
          </w:divBdr>
        </w:div>
      </w:divsChild>
    </w:div>
    <w:div w:id="1081364776">
      <w:bodyDiv w:val="1"/>
      <w:marLeft w:val="0"/>
      <w:marRight w:val="0"/>
      <w:marTop w:val="0"/>
      <w:marBottom w:val="0"/>
      <w:divBdr>
        <w:top w:val="none" w:sz="0" w:space="0" w:color="auto"/>
        <w:left w:val="none" w:sz="0" w:space="0" w:color="auto"/>
        <w:bottom w:val="none" w:sz="0" w:space="0" w:color="auto"/>
        <w:right w:val="none" w:sz="0" w:space="0" w:color="auto"/>
      </w:divBdr>
      <w:divsChild>
        <w:div w:id="17200502">
          <w:marLeft w:val="0"/>
          <w:marRight w:val="0"/>
          <w:marTop w:val="0"/>
          <w:marBottom w:val="0"/>
          <w:divBdr>
            <w:top w:val="none" w:sz="0" w:space="0" w:color="auto"/>
            <w:left w:val="none" w:sz="0" w:space="0" w:color="auto"/>
            <w:bottom w:val="none" w:sz="0" w:space="0" w:color="auto"/>
            <w:right w:val="none" w:sz="0" w:space="0" w:color="auto"/>
          </w:divBdr>
        </w:div>
        <w:div w:id="106584121">
          <w:marLeft w:val="0"/>
          <w:marRight w:val="0"/>
          <w:marTop w:val="0"/>
          <w:marBottom w:val="0"/>
          <w:divBdr>
            <w:top w:val="none" w:sz="0" w:space="0" w:color="auto"/>
            <w:left w:val="none" w:sz="0" w:space="0" w:color="auto"/>
            <w:bottom w:val="none" w:sz="0" w:space="0" w:color="auto"/>
            <w:right w:val="none" w:sz="0" w:space="0" w:color="auto"/>
          </w:divBdr>
        </w:div>
        <w:div w:id="211582011">
          <w:marLeft w:val="0"/>
          <w:marRight w:val="0"/>
          <w:marTop w:val="0"/>
          <w:marBottom w:val="0"/>
          <w:divBdr>
            <w:top w:val="none" w:sz="0" w:space="0" w:color="auto"/>
            <w:left w:val="none" w:sz="0" w:space="0" w:color="auto"/>
            <w:bottom w:val="none" w:sz="0" w:space="0" w:color="auto"/>
            <w:right w:val="none" w:sz="0" w:space="0" w:color="auto"/>
          </w:divBdr>
        </w:div>
        <w:div w:id="383985065">
          <w:marLeft w:val="0"/>
          <w:marRight w:val="0"/>
          <w:marTop w:val="0"/>
          <w:marBottom w:val="0"/>
          <w:divBdr>
            <w:top w:val="none" w:sz="0" w:space="0" w:color="auto"/>
            <w:left w:val="none" w:sz="0" w:space="0" w:color="auto"/>
            <w:bottom w:val="none" w:sz="0" w:space="0" w:color="auto"/>
            <w:right w:val="none" w:sz="0" w:space="0" w:color="auto"/>
          </w:divBdr>
        </w:div>
        <w:div w:id="517156904">
          <w:marLeft w:val="0"/>
          <w:marRight w:val="0"/>
          <w:marTop w:val="0"/>
          <w:marBottom w:val="0"/>
          <w:divBdr>
            <w:top w:val="none" w:sz="0" w:space="0" w:color="auto"/>
            <w:left w:val="none" w:sz="0" w:space="0" w:color="auto"/>
            <w:bottom w:val="none" w:sz="0" w:space="0" w:color="auto"/>
            <w:right w:val="none" w:sz="0" w:space="0" w:color="auto"/>
          </w:divBdr>
        </w:div>
        <w:div w:id="581179732">
          <w:marLeft w:val="0"/>
          <w:marRight w:val="0"/>
          <w:marTop w:val="0"/>
          <w:marBottom w:val="0"/>
          <w:divBdr>
            <w:top w:val="none" w:sz="0" w:space="0" w:color="auto"/>
            <w:left w:val="none" w:sz="0" w:space="0" w:color="auto"/>
            <w:bottom w:val="none" w:sz="0" w:space="0" w:color="auto"/>
            <w:right w:val="none" w:sz="0" w:space="0" w:color="auto"/>
          </w:divBdr>
        </w:div>
        <w:div w:id="638730575">
          <w:marLeft w:val="0"/>
          <w:marRight w:val="0"/>
          <w:marTop w:val="0"/>
          <w:marBottom w:val="0"/>
          <w:divBdr>
            <w:top w:val="none" w:sz="0" w:space="0" w:color="auto"/>
            <w:left w:val="none" w:sz="0" w:space="0" w:color="auto"/>
            <w:bottom w:val="none" w:sz="0" w:space="0" w:color="auto"/>
            <w:right w:val="none" w:sz="0" w:space="0" w:color="auto"/>
          </w:divBdr>
        </w:div>
        <w:div w:id="1026447678">
          <w:marLeft w:val="0"/>
          <w:marRight w:val="0"/>
          <w:marTop w:val="0"/>
          <w:marBottom w:val="0"/>
          <w:divBdr>
            <w:top w:val="none" w:sz="0" w:space="0" w:color="auto"/>
            <w:left w:val="none" w:sz="0" w:space="0" w:color="auto"/>
            <w:bottom w:val="none" w:sz="0" w:space="0" w:color="auto"/>
            <w:right w:val="none" w:sz="0" w:space="0" w:color="auto"/>
          </w:divBdr>
        </w:div>
        <w:div w:id="1179001625">
          <w:marLeft w:val="0"/>
          <w:marRight w:val="0"/>
          <w:marTop w:val="0"/>
          <w:marBottom w:val="0"/>
          <w:divBdr>
            <w:top w:val="none" w:sz="0" w:space="0" w:color="auto"/>
            <w:left w:val="none" w:sz="0" w:space="0" w:color="auto"/>
            <w:bottom w:val="none" w:sz="0" w:space="0" w:color="auto"/>
            <w:right w:val="none" w:sz="0" w:space="0" w:color="auto"/>
          </w:divBdr>
        </w:div>
        <w:div w:id="1481144997">
          <w:marLeft w:val="0"/>
          <w:marRight w:val="0"/>
          <w:marTop w:val="0"/>
          <w:marBottom w:val="0"/>
          <w:divBdr>
            <w:top w:val="none" w:sz="0" w:space="0" w:color="auto"/>
            <w:left w:val="none" w:sz="0" w:space="0" w:color="auto"/>
            <w:bottom w:val="none" w:sz="0" w:space="0" w:color="auto"/>
            <w:right w:val="none" w:sz="0" w:space="0" w:color="auto"/>
          </w:divBdr>
        </w:div>
        <w:div w:id="1588612836">
          <w:marLeft w:val="0"/>
          <w:marRight w:val="0"/>
          <w:marTop w:val="0"/>
          <w:marBottom w:val="0"/>
          <w:divBdr>
            <w:top w:val="none" w:sz="0" w:space="0" w:color="auto"/>
            <w:left w:val="none" w:sz="0" w:space="0" w:color="auto"/>
            <w:bottom w:val="none" w:sz="0" w:space="0" w:color="auto"/>
            <w:right w:val="none" w:sz="0" w:space="0" w:color="auto"/>
          </w:divBdr>
        </w:div>
      </w:divsChild>
    </w:div>
    <w:div w:id="1103839667">
      <w:bodyDiv w:val="1"/>
      <w:marLeft w:val="0"/>
      <w:marRight w:val="0"/>
      <w:marTop w:val="0"/>
      <w:marBottom w:val="0"/>
      <w:divBdr>
        <w:top w:val="none" w:sz="0" w:space="0" w:color="auto"/>
        <w:left w:val="none" w:sz="0" w:space="0" w:color="auto"/>
        <w:bottom w:val="none" w:sz="0" w:space="0" w:color="auto"/>
        <w:right w:val="none" w:sz="0" w:space="0" w:color="auto"/>
      </w:divBdr>
      <w:divsChild>
        <w:div w:id="843782255">
          <w:marLeft w:val="0"/>
          <w:marRight w:val="0"/>
          <w:marTop w:val="0"/>
          <w:marBottom w:val="0"/>
          <w:divBdr>
            <w:top w:val="none" w:sz="0" w:space="0" w:color="auto"/>
            <w:left w:val="none" w:sz="0" w:space="0" w:color="auto"/>
            <w:bottom w:val="none" w:sz="0" w:space="0" w:color="auto"/>
            <w:right w:val="none" w:sz="0" w:space="0" w:color="auto"/>
          </w:divBdr>
          <w:divsChild>
            <w:div w:id="507184758">
              <w:marLeft w:val="0"/>
              <w:marRight w:val="0"/>
              <w:marTop w:val="0"/>
              <w:marBottom w:val="0"/>
              <w:divBdr>
                <w:top w:val="none" w:sz="0" w:space="0" w:color="auto"/>
                <w:left w:val="none" w:sz="0" w:space="0" w:color="auto"/>
                <w:bottom w:val="none" w:sz="0" w:space="0" w:color="auto"/>
                <w:right w:val="none" w:sz="0" w:space="0" w:color="auto"/>
              </w:divBdr>
            </w:div>
            <w:div w:id="1265579211">
              <w:marLeft w:val="0"/>
              <w:marRight w:val="0"/>
              <w:marTop w:val="0"/>
              <w:marBottom w:val="0"/>
              <w:divBdr>
                <w:top w:val="none" w:sz="0" w:space="0" w:color="auto"/>
                <w:left w:val="none" w:sz="0" w:space="0" w:color="auto"/>
                <w:bottom w:val="none" w:sz="0" w:space="0" w:color="auto"/>
                <w:right w:val="none" w:sz="0" w:space="0" w:color="auto"/>
              </w:divBdr>
            </w:div>
            <w:div w:id="1781561918">
              <w:marLeft w:val="0"/>
              <w:marRight w:val="0"/>
              <w:marTop w:val="0"/>
              <w:marBottom w:val="0"/>
              <w:divBdr>
                <w:top w:val="none" w:sz="0" w:space="0" w:color="auto"/>
                <w:left w:val="none" w:sz="0" w:space="0" w:color="auto"/>
                <w:bottom w:val="none" w:sz="0" w:space="0" w:color="auto"/>
                <w:right w:val="none" w:sz="0" w:space="0" w:color="auto"/>
              </w:divBdr>
            </w:div>
            <w:div w:id="2052875846">
              <w:marLeft w:val="0"/>
              <w:marRight w:val="0"/>
              <w:marTop w:val="0"/>
              <w:marBottom w:val="0"/>
              <w:divBdr>
                <w:top w:val="none" w:sz="0" w:space="0" w:color="auto"/>
                <w:left w:val="none" w:sz="0" w:space="0" w:color="auto"/>
                <w:bottom w:val="none" w:sz="0" w:space="0" w:color="auto"/>
                <w:right w:val="none" w:sz="0" w:space="0" w:color="auto"/>
              </w:divBdr>
            </w:div>
          </w:divsChild>
        </w:div>
        <w:div w:id="993920491">
          <w:marLeft w:val="0"/>
          <w:marRight w:val="0"/>
          <w:marTop w:val="0"/>
          <w:marBottom w:val="0"/>
          <w:divBdr>
            <w:top w:val="none" w:sz="0" w:space="0" w:color="auto"/>
            <w:left w:val="none" w:sz="0" w:space="0" w:color="auto"/>
            <w:bottom w:val="none" w:sz="0" w:space="0" w:color="auto"/>
            <w:right w:val="none" w:sz="0" w:space="0" w:color="auto"/>
          </w:divBdr>
        </w:div>
        <w:div w:id="1231380508">
          <w:marLeft w:val="0"/>
          <w:marRight w:val="0"/>
          <w:marTop w:val="0"/>
          <w:marBottom w:val="0"/>
          <w:divBdr>
            <w:top w:val="none" w:sz="0" w:space="0" w:color="auto"/>
            <w:left w:val="none" w:sz="0" w:space="0" w:color="auto"/>
            <w:bottom w:val="none" w:sz="0" w:space="0" w:color="auto"/>
            <w:right w:val="none" w:sz="0" w:space="0" w:color="auto"/>
          </w:divBdr>
          <w:divsChild>
            <w:div w:id="873345616">
              <w:marLeft w:val="0"/>
              <w:marRight w:val="0"/>
              <w:marTop w:val="0"/>
              <w:marBottom w:val="0"/>
              <w:divBdr>
                <w:top w:val="none" w:sz="0" w:space="0" w:color="auto"/>
                <w:left w:val="none" w:sz="0" w:space="0" w:color="auto"/>
                <w:bottom w:val="none" w:sz="0" w:space="0" w:color="auto"/>
                <w:right w:val="none" w:sz="0" w:space="0" w:color="auto"/>
              </w:divBdr>
            </w:div>
            <w:div w:id="876158712">
              <w:marLeft w:val="0"/>
              <w:marRight w:val="0"/>
              <w:marTop w:val="0"/>
              <w:marBottom w:val="0"/>
              <w:divBdr>
                <w:top w:val="none" w:sz="0" w:space="0" w:color="auto"/>
                <w:left w:val="none" w:sz="0" w:space="0" w:color="auto"/>
                <w:bottom w:val="none" w:sz="0" w:space="0" w:color="auto"/>
                <w:right w:val="none" w:sz="0" w:space="0" w:color="auto"/>
              </w:divBdr>
            </w:div>
            <w:div w:id="2041853430">
              <w:marLeft w:val="0"/>
              <w:marRight w:val="0"/>
              <w:marTop w:val="0"/>
              <w:marBottom w:val="0"/>
              <w:divBdr>
                <w:top w:val="none" w:sz="0" w:space="0" w:color="auto"/>
                <w:left w:val="none" w:sz="0" w:space="0" w:color="auto"/>
                <w:bottom w:val="none" w:sz="0" w:space="0" w:color="auto"/>
                <w:right w:val="none" w:sz="0" w:space="0" w:color="auto"/>
              </w:divBdr>
            </w:div>
          </w:divsChild>
        </w:div>
        <w:div w:id="1939361879">
          <w:marLeft w:val="0"/>
          <w:marRight w:val="0"/>
          <w:marTop w:val="0"/>
          <w:marBottom w:val="0"/>
          <w:divBdr>
            <w:top w:val="none" w:sz="0" w:space="0" w:color="auto"/>
            <w:left w:val="none" w:sz="0" w:space="0" w:color="auto"/>
            <w:bottom w:val="none" w:sz="0" w:space="0" w:color="auto"/>
            <w:right w:val="none" w:sz="0" w:space="0" w:color="auto"/>
          </w:divBdr>
        </w:div>
      </w:divsChild>
    </w:div>
    <w:div w:id="1149588983">
      <w:bodyDiv w:val="1"/>
      <w:marLeft w:val="0"/>
      <w:marRight w:val="0"/>
      <w:marTop w:val="0"/>
      <w:marBottom w:val="0"/>
      <w:divBdr>
        <w:top w:val="none" w:sz="0" w:space="0" w:color="auto"/>
        <w:left w:val="none" w:sz="0" w:space="0" w:color="auto"/>
        <w:bottom w:val="none" w:sz="0" w:space="0" w:color="auto"/>
        <w:right w:val="none" w:sz="0" w:space="0" w:color="auto"/>
      </w:divBdr>
      <w:divsChild>
        <w:div w:id="127820074">
          <w:marLeft w:val="0"/>
          <w:marRight w:val="0"/>
          <w:marTop w:val="0"/>
          <w:marBottom w:val="0"/>
          <w:divBdr>
            <w:top w:val="none" w:sz="0" w:space="0" w:color="auto"/>
            <w:left w:val="none" w:sz="0" w:space="0" w:color="auto"/>
            <w:bottom w:val="none" w:sz="0" w:space="0" w:color="auto"/>
            <w:right w:val="none" w:sz="0" w:space="0" w:color="auto"/>
          </w:divBdr>
        </w:div>
        <w:div w:id="619606426">
          <w:marLeft w:val="0"/>
          <w:marRight w:val="0"/>
          <w:marTop w:val="0"/>
          <w:marBottom w:val="0"/>
          <w:divBdr>
            <w:top w:val="none" w:sz="0" w:space="0" w:color="auto"/>
            <w:left w:val="none" w:sz="0" w:space="0" w:color="auto"/>
            <w:bottom w:val="none" w:sz="0" w:space="0" w:color="auto"/>
            <w:right w:val="none" w:sz="0" w:space="0" w:color="auto"/>
          </w:divBdr>
        </w:div>
        <w:div w:id="962073934">
          <w:marLeft w:val="0"/>
          <w:marRight w:val="0"/>
          <w:marTop w:val="0"/>
          <w:marBottom w:val="0"/>
          <w:divBdr>
            <w:top w:val="none" w:sz="0" w:space="0" w:color="auto"/>
            <w:left w:val="none" w:sz="0" w:space="0" w:color="auto"/>
            <w:bottom w:val="none" w:sz="0" w:space="0" w:color="auto"/>
            <w:right w:val="none" w:sz="0" w:space="0" w:color="auto"/>
          </w:divBdr>
        </w:div>
        <w:div w:id="1040857901">
          <w:marLeft w:val="0"/>
          <w:marRight w:val="0"/>
          <w:marTop w:val="0"/>
          <w:marBottom w:val="0"/>
          <w:divBdr>
            <w:top w:val="none" w:sz="0" w:space="0" w:color="auto"/>
            <w:left w:val="none" w:sz="0" w:space="0" w:color="auto"/>
            <w:bottom w:val="none" w:sz="0" w:space="0" w:color="auto"/>
            <w:right w:val="none" w:sz="0" w:space="0" w:color="auto"/>
          </w:divBdr>
        </w:div>
        <w:div w:id="1414087788">
          <w:marLeft w:val="0"/>
          <w:marRight w:val="0"/>
          <w:marTop w:val="0"/>
          <w:marBottom w:val="0"/>
          <w:divBdr>
            <w:top w:val="none" w:sz="0" w:space="0" w:color="auto"/>
            <w:left w:val="none" w:sz="0" w:space="0" w:color="auto"/>
            <w:bottom w:val="none" w:sz="0" w:space="0" w:color="auto"/>
            <w:right w:val="none" w:sz="0" w:space="0" w:color="auto"/>
          </w:divBdr>
        </w:div>
        <w:div w:id="1489324638">
          <w:marLeft w:val="0"/>
          <w:marRight w:val="0"/>
          <w:marTop w:val="0"/>
          <w:marBottom w:val="0"/>
          <w:divBdr>
            <w:top w:val="none" w:sz="0" w:space="0" w:color="auto"/>
            <w:left w:val="none" w:sz="0" w:space="0" w:color="auto"/>
            <w:bottom w:val="none" w:sz="0" w:space="0" w:color="auto"/>
            <w:right w:val="none" w:sz="0" w:space="0" w:color="auto"/>
          </w:divBdr>
        </w:div>
        <w:div w:id="1897469614">
          <w:marLeft w:val="0"/>
          <w:marRight w:val="0"/>
          <w:marTop w:val="0"/>
          <w:marBottom w:val="0"/>
          <w:divBdr>
            <w:top w:val="none" w:sz="0" w:space="0" w:color="auto"/>
            <w:left w:val="none" w:sz="0" w:space="0" w:color="auto"/>
            <w:bottom w:val="none" w:sz="0" w:space="0" w:color="auto"/>
            <w:right w:val="none" w:sz="0" w:space="0" w:color="auto"/>
          </w:divBdr>
        </w:div>
      </w:divsChild>
    </w:div>
    <w:div w:id="1150828864">
      <w:bodyDiv w:val="1"/>
      <w:marLeft w:val="0"/>
      <w:marRight w:val="0"/>
      <w:marTop w:val="0"/>
      <w:marBottom w:val="0"/>
      <w:divBdr>
        <w:top w:val="none" w:sz="0" w:space="0" w:color="auto"/>
        <w:left w:val="none" w:sz="0" w:space="0" w:color="auto"/>
        <w:bottom w:val="none" w:sz="0" w:space="0" w:color="auto"/>
        <w:right w:val="none" w:sz="0" w:space="0" w:color="auto"/>
      </w:divBdr>
      <w:divsChild>
        <w:div w:id="1124736197">
          <w:marLeft w:val="0"/>
          <w:marRight w:val="0"/>
          <w:marTop w:val="0"/>
          <w:marBottom w:val="0"/>
          <w:divBdr>
            <w:top w:val="none" w:sz="0" w:space="0" w:color="auto"/>
            <w:left w:val="none" w:sz="0" w:space="0" w:color="auto"/>
            <w:bottom w:val="none" w:sz="0" w:space="0" w:color="auto"/>
            <w:right w:val="none" w:sz="0" w:space="0" w:color="auto"/>
          </w:divBdr>
        </w:div>
        <w:div w:id="1609775748">
          <w:marLeft w:val="0"/>
          <w:marRight w:val="0"/>
          <w:marTop w:val="0"/>
          <w:marBottom w:val="0"/>
          <w:divBdr>
            <w:top w:val="none" w:sz="0" w:space="0" w:color="auto"/>
            <w:left w:val="none" w:sz="0" w:space="0" w:color="auto"/>
            <w:bottom w:val="none" w:sz="0" w:space="0" w:color="auto"/>
            <w:right w:val="none" w:sz="0" w:space="0" w:color="auto"/>
          </w:divBdr>
        </w:div>
        <w:div w:id="1732263830">
          <w:marLeft w:val="0"/>
          <w:marRight w:val="0"/>
          <w:marTop w:val="0"/>
          <w:marBottom w:val="0"/>
          <w:divBdr>
            <w:top w:val="none" w:sz="0" w:space="0" w:color="auto"/>
            <w:left w:val="none" w:sz="0" w:space="0" w:color="auto"/>
            <w:bottom w:val="none" w:sz="0" w:space="0" w:color="auto"/>
            <w:right w:val="none" w:sz="0" w:space="0" w:color="auto"/>
          </w:divBdr>
        </w:div>
        <w:div w:id="2134859494">
          <w:marLeft w:val="0"/>
          <w:marRight w:val="0"/>
          <w:marTop w:val="0"/>
          <w:marBottom w:val="0"/>
          <w:divBdr>
            <w:top w:val="none" w:sz="0" w:space="0" w:color="auto"/>
            <w:left w:val="none" w:sz="0" w:space="0" w:color="auto"/>
            <w:bottom w:val="none" w:sz="0" w:space="0" w:color="auto"/>
            <w:right w:val="none" w:sz="0" w:space="0" w:color="auto"/>
          </w:divBdr>
        </w:div>
      </w:divsChild>
    </w:div>
    <w:div w:id="1159343943">
      <w:bodyDiv w:val="1"/>
      <w:marLeft w:val="0"/>
      <w:marRight w:val="0"/>
      <w:marTop w:val="0"/>
      <w:marBottom w:val="0"/>
      <w:divBdr>
        <w:top w:val="none" w:sz="0" w:space="0" w:color="auto"/>
        <w:left w:val="none" w:sz="0" w:space="0" w:color="auto"/>
        <w:bottom w:val="none" w:sz="0" w:space="0" w:color="auto"/>
        <w:right w:val="none" w:sz="0" w:space="0" w:color="auto"/>
      </w:divBdr>
      <w:divsChild>
        <w:div w:id="73943089">
          <w:marLeft w:val="0"/>
          <w:marRight w:val="0"/>
          <w:marTop w:val="0"/>
          <w:marBottom w:val="0"/>
          <w:divBdr>
            <w:top w:val="none" w:sz="0" w:space="0" w:color="auto"/>
            <w:left w:val="none" w:sz="0" w:space="0" w:color="auto"/>
            <w:bottom w:val="none" w:sz="0" w:space="0" w:color="auto"/>
            <w:right w:val="none" w:sz="0" w:space="0" w:color="auto"/>
          </w:divBdr>
        </w:div>
        <w:div w:id="339553303">
          <w:marLeft w:val="0"/>
          <w:marRight w:val="0"/>
          <w:marTop w:val="0"/>
          <w:marBottom w:val="0"/>
          <w:divBdr>
            <w:top w:val="none" w:sz="0" w:space="0" w:color="auto"/>
            <w:left w:val="none" w:sz="0" w:space="0" w:color="auto"/>
            <w:bottom w:val="none" w:sz="0" w:space="0" w:color="auto"/>
            <w:right w:val="none" w:sz="0" w:space="0" w:color="auto"/>
          </w:divBdr>
        </w:div>
        <w:div w:id="398135330">
          <w:marLeft w:val="0"/>
          <w:marRight w:val="0"/>
          <w:marTop w:val="0"/>
          <w:marBottom w:val="0"/>
          <w:divBdr>
            <w:top w:val="none" w:sz="0" w:space="0" w:color="auto"/>
            <w:left w:val="none" w:sz="0" w:space="0" w:color="auto"/>
            <w:bottom w:val="none" w:sz="0" w:space="0" w:color="auto"/>
            <w:right w:val="none" w:sz="0" w:space="0" w:color="auto"/>
          </w:divBdr>
        </w:div>
        <w:div w:id="480082963">
          <w:marLeft w:val="0"/>
          <w:marRight w:val="0"/>
          <w:marTop w:val="0"/>
          <w:marBottom w:val="0"/>
          <w:divBdr>
            <w:top w:val="none" w:sz="0" w:space="0" w:color="auto"/>
            <w:left w:val="none" w:sz="0" w:space="0" w:color="auto"/>
            <w:bottom w:val="none" w:sz="0" w:space="0" w:color="auto"/>
            <w:right w:val="none" w:sz="0" w:space="0" w:color="auto"/>
          </w:divBdr>
        </w:div>
        <w:div w:id="2090760756">
          <w:marLeft w:val="0"/>
          <w:marRight w:val="0"/>
          <w:marTop w:val="0"/>
          <w:marBottom w:val="0"/>
          <w:divBdr>
            <w:top w:val="none" w:sz="0" w:space="0" w:color="auto"/>
            <w:left w:val="none" w:sz="0" w:space="0" w:color="auto"/>
            <w:bottom w:val="none" w:sz="0" w:space="0" w:color="auto"/>
            <w:right w:val="none" w:sz="0" w:space="0" w:color="auto"/>
          </w:divBdr>
        </w:div>
      </w:divsChild>
    </w:div>
    <w:div w:id="1213737273">
      <w:bodyDiv w:val="1"/>
      <w:marLeft w:val="0"/>
      <w:marRight w:val="0"/>
      <w:marTop w:val="0"/>
      <w:marBottom w:val="0"/>
      <w:divBdr>
        <w:top w:val="none" w:sz="0" w:space="0" w:color="auto"/>
        <w:left w:val="none" w:sz="0" w:space="0" w:color="auto"/>
        <w:bottom w:val="none" w:sz="0" w:space="0" w:color="auto"/>
        <w:right w:val="none" w:sz="0" w:space="0" w:color="auto"/>
      </w:divBdr>
      <w:divsChild>
        <w:div w:id="953245935">
          <w:marLeft w:val="0"/>
          <w:marRight w:val="0"/>
          <w:marTop w:val="0"/>
          <w:marBottom w:val="0"/>
          <w:divBdr>
            <w:top w:val="none" w:sz="0" w:space="0" w:color="auto"/>
            <w:left w:val="none" w:sz="0" w:space="0" w:color="auto"/>
            <w:bottom w:val="none" w:sz="0" w:space="0" w:color="auto"/>
            <w:right w:val="none" w:sz="0" w:space="0" w:color="auto"/>
          </w:divBdr>
        </w:div>
        <w:div w:id="2114668958">
          <w:marLeft w:val="0"/>
          <w:marRight w:val="0"/>
          <w:marTop w:val="0"/>
          <w:marBottom w:val="0"/>
          <w:divBdr>
            <w:top w:val="none" w:sz="0" w:space="0" w:color="auto"/>
            <w:left w:val="none" w:sz="0" w:space="0" w:color="auto"/>
            <w:bottom w:val="none" w:sz="0" w:space="0" w:color="auto"/>
            <w:right w:val="none" w:sz="0" w:space="0" w:color="auto"/>
          </w:divBdr>
        </w:div>
      </w:divsChild>
    </w:div>
    <w:div w:id="1221211255">
      <w:bodyDiv w:val="1"/>
      <w:marLeft w:val="0"/>
      <w:marRight w:val="0"/>
      <w:marTop w:val="0"/>
      <w:marBottom w:val="0"/>
      <w:divBdr>
        <w:top w:val="none" w:sz="0" w:space="0" w:color="auto"/>
        <w:left w:val="none" w:sz="0" w:space="0" w:color="auto"/>
        <w:bottom w:val="none" w:sz="0" w:space="0" w:color="auto"/>
        <w:right w:val="none" w:sz="0" w:space="0" w:color="auto"/>
      </w:divBdr>
      <w:divsChild>
        <w:div w:id="184826090">
          <w:marLeft w:val="0"/>
          <w:marRight w:val="0"/>
          <w:marTop w:val="0"/>
          <w:marBottom w:val="0"/>
          <w:divBdr>
            <w:top w:val="none" w:sz="0" w:space="0" w:color="auto"/>
            <w:left w:val="none" w:sz="0" w:space="0" w:color="auto"/>
            <w:bottom w:val="none" w:sz="0" w:space="0" w:color="auto"/>
            <w:right w:val="none" w:sz="0" w:space="0" w:color="auto"/>
          </w:divBdr>
        </w:div>
        <w:div w:id="364253304">
          <w:marLeft w:val="0"/>
          <w:marRight w:val="0"/>
          <w:marTop w:val="0"/>
          <w:marBottom w:val="0"/>
          <w:divBdr>
            <w:top w:val="none" w:sz="0" w:space="0" w:color="auto"/>
            <w:left w:val="none" w:sz="0" w:space="0" w:color="auto"/>
            <w:bottom w:val="none" w:sz="0" w:space="0" w:color="auto"/>
            <w:right w:val="none" w:sz="0" w:space="0" w:color="auto"/>
          </w:divBdr>
        </w:div>
        <w:div w:id="728848694">
          <w:marLeft w:val="0"/>
          <w:marRight w:val="0"/>
          <w:marTop w:val="0"/>
          <w:marBottom w:val="0"/>
          <w:divBdr>
            <w:top w:val="none" w:sz="0" w:space="0" w:color="auto"/>
            <w:left w:val="none" w:sz="0" w:space="0" w:color="auto"/>
            <w:bottom w:val="none" w:sz="0" w:space="0" w:color="auto"/>
            <w:right w:val="none" w:sz="0" w:space="0" w:color="auto"/>
          </w:divBdr>
        </w:div>
        <w:div w:id="803472891">
          <w:marLeft w:val="0"/>
          <w:marRight w:val="0"/>
          <w:marTop w:val="0"/>
          <w:marBottom w:val="0"/>
          <w:divBdr>
            <w:top w:val="none" w:sz="0" w:space="0" w:color="auto"/>
            <w:left w:val="none" w:sz="0" w:space="0" w:color="auto"/>
            <w:bottom w:val="none" w:sz="0" w:space="0" w:color="auto"/>
            <w:right w:val="none" w:sz="0" w:space="0" w:color="auto"/>
          </w:divBdr>
        </w:div>
        <w:div w:id="1330330869">
          <w:marLeft w:val="0"/>
          <w:marRight w:val="0"/>
          <w:marTop w:val="0"/>
          <w:marBottom w:val="0"/>
          <w:divBdr>
            <w:top w:val="none" w:sz="0" w:space="0" w:color="auto"/>
            <w:left w:val="none" w:sz="0" w:space="0" w:color="auto"/>
            <w:bottom w:val="none" w:sz="0" w:space="0" w:color="auto"/>
            <w:right w:val="none" w:sz="0" w:space="0" w:color="auto"/>
          </w:divBdr>
        </w:div>
        <w:div w:id="1798988929">
          <w:marLeft w:val="0"/>
          <w:marRight w:val="0"/>
          <w:marTop w:val="0"/>
          <w:marBottom w:val="0"/>
          <w:divBdr>
            <w:top w:val="none" w:sz="0" w:space="0" w:color="auto"/>
            <w:left w:val="none" w:sz="0" w:space="0" w:color="auto"/>
            <w:bottom w:val="none" w:sz="0" w:space="0" w:color="auto"/>
            <w:right w:val="none" w:sz="0" w:space="0" w:color="auto"/>
          </w:divBdr>
        </w:div>
        <w:div w:id="2051804175">
          <w:marLeft w:val="0"/>
          <w:marRight w:val="0"/>
          <w:marTop w:val="0"/>
          <w:marBottom w:val="0"/>
          <w:divBdr>
            <w:top w:val="none" w:sz="0" w:space="0" w:color="auto"/>
            <w:left w:val="none" w:sz="0" w:space="0" w:color="auto"/>
            <w:bottom w:val="none" w:sz="0" w:space="0" w:color="auto"/>
            <w:right w:val="none" w:sz="0" w:space="0" w:color="auto"/>
          </w:divBdr>
        </w:div>
      </w:divsChild>
    </w:div>
    <w:div w:id="1238131696">
      <w:bodyDiv w:val="1"/>
      <w:marLeft w:val="0"/>
      <w:marRight w:val="0"/>
      <w:marTop w:val="0"/>
      <w:marBottom w:val="0"/>
      <w:divBdr>
        <w:top w:val="none" w:sz="0" w:space="0" w:color="auto"/>
        <w:left w:val="none" w:sz="0" w:space="0" w:color="auto"/>
        <w:bottom w:val="none" w:sz="0" w:space="0" w:color="auto"/>
        <w:right w:val="none" w:sz="0" w:space="0" w:color="auto"/>
      </w:divBdr>
      <w:divsChild>
        <w:div w:id="979457759">
          <w:marLeft w:val="0"/>
          <w:marRight w:val="0"/>
          <w:marTop w:val="0"/>
          <w:marBottom w:val="0"/>
          <w:divBdr>
            <w:top w:val="none" w:sz="0" w:space="0" w:color="auto"/>
            <w:left w:val="none" w:sz="0" w:space="0" w:color="auto"/>
            <w:bottom w:val="none" w:sz="0" w:space="0" w:color="auto"/>
            <w:right w:val="none" w:sz="0" w:space="0" w:color="auto"/>
          </w:divBdr>
          <w:divsChild>
            <w:div w:id="201551386">
              <w:marLeft w:val="0"/>
              <w:marRight w:val="0"/>
              <w:marTop w:val="0"/>
              <w:marBottom w:val="0"/>
              <w:divBdr>
                <w:top w:val="none" w:sz="0" w:space="0" w:color="auto"/>
                <w:left w:val="none" w:sz="0" w:space="0" w:color="auto"/>
                <w:bottom w:val="none" w:sz="0" w:space="0" w:color="auto"/>
                <w:right w:val="none" w:sz="0" w:space="0" w:color="auto"/>
              </w:divBdr>
            </w:div>
            <w:div w:id="339821624">
              <w:marLeft w:val="0"/>
              <w:marRight w:val="0"/>
              <w:marTop w:val="0"/>
              <w:marBottom w:val="0"/>
              <w:divBdr>
                <w:top w:val="none" w:sz="0" w:space="0" w:color="auto"/>
                <w:left w:val="none" w:sz="0" w:space="0" w:color="auto"/>
                <w:bottom w:val="none" w:sz="0" w:space="0" w:color="auto"/>
                <w:right w:val="none" w:sz="0" w:space="0" w:color="auto"/>
              </w:divBdr>
            </w:div>
            <w:div w:id="919757425">
              <w:marLeft w:val="0"/>
              <w:marRight w:val="0"/>
              <w:marTop w:val="0"/>
              <w:marBottom w:val="0"/>
              <w:divBdr>
                <w:top w:val="none" w:sz="0" w:space="0" w:color="auto"/>
                <w:left w:val="none" w:sz="0" w:space="0" w:color="auto"/>
                <w:bottom w:val="none" w:sz="0" w:space="0" w:color="auto"/>
                <w:right w:val="none" w:sz="0" w:space="0" w:color="auto"/>
              </w:divBdr>
            </w:div>
            <w:div w:id="2027322702">
              <w:marLeft w:val="0"/>
              <w:marRight w:val="0"/>
              <w:marTop w:val="0"/>
              <w:marBottom w:val="0"/>
              <w:divBdr>
                <w:top w:val="none" w:sz="0" w:space="0" w:color="auto"/>
                <w:left w:val="none" w:sz="0" w:space="0" w:color="auto"/>
                <w:bottom w:val="none" w:sz="0" w:space="0" w:color="auto"/>
                <w:right w:val="none" w:sz="0" w:space="0" w:color="auto"/>
              </w:divBdr>
            </w:div>
          </w:divsChild>
        </w:div>
        <w:div w:id="1353728513">
          <w:marLeft w:val="0"/>
          <w:marRight w:val="0"/>
          <w:marTop w:val="0"/>
          <w:marBottom w:val="0"/>
          <w:divBdr>
            <w:top w:val="none" w:sz="0" w:space="0" w:color="auto"/>
            <w:left w:val="none" w:sz="0" w:space="0" w:color="auto"/>
            <w:bottom w:val="none" w:sz="0" w:space="0" w:color="auto"/>
            <w:right w:val="none" w:sz="0" w:space="0" w:color="auto"/>
          </w:divBdr>
          <w:divsChild>
            <w:div w:id="71047911">
              <w:marLeft w:val="0"/>
              <w:marRight w:val="0"/>
              <w:marTop w:val="0"/>
              <w:marBottom w:val="0"/>
              <w:divBdr>
                <w:top w:val="none" w:sz="0" w:space="0" w:color="auto"/>
                <w:left w:val="none" w:sz="0" w:space="0" w:color="auto"/>
                <w:bottom w:val="none" w:sz="0" w:space="0" w:color="auto"/>
                <w:right w:val="none" w:sz="0" w:space="0" w:color="auto"/>
              </w:divBdr>
            </w:div>
            <w:div w:id="771055291">
              <w:marLeft w:val="0"/>
              <w:marRight w:val="0"/>
              <w:marTop w:val="0"/>
              <w:marBottom w:val="0"/>
              <w:divBdr>
                <w:top w:val="none" w:sz="0" w:space="0" w:color="auto"/>
                <w:left w:val="none" w:sz="0" w:space="0" w:color="auto"/>
                <w:bottom w:val="none" w:sz="0" w:space="0" w:color="auto"/>
                <w:right w:val="none" w:sz="0" w:space="0" w:color="auto"/>
              </w:divBdr>
            </w:div>
            <w:div w:id="1000894234">
              <w:marLeft w:val="0"/>
              <w:marRight w:val="0"/>
              <w:marTop w:val="0"/>
              <w:marBottom w:val="0"/>
              <w:divBdr>
                <w:top w:val="none" w:sz="0" w:space="0" w:color="auto"/>
                <w:left w:val="none" w:sz="0" w:space="0" w:color="auto"/>
                <w:bottom w:val="none" w:sz="0" w:space="0" w:color="auto"/>
                <w:right w:val="none" w:sz="0" w:space="0" w:color="auto"/>
              </w:divBdr>
            </w:div>
            <w:div w:id="1529682130">
              <w:marLeft w:val="0"/>
              <w:marRight w:val="0"/>
              <w:marTop w:val="0"/>
              <w:marBottom w:val="0"/>
              <w:divBdr>
                <w:top w:val="none" w:sz="0" w:space="0" w:color="auto"/>
                <w:left w:val="none" w:sz="0" w:space="0" w:color="auto"/>
                <w:bottom w:val="none" w:sz="0" w:space="0" w:color="auto"/>
                <w:right w:val="none" w:sz="0" w:space="0" w:color="auto"/>
              </w:divBdr>
            </w:div>
            <w:div w:id="18329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304435">
      <w:bodyDiv w:val="1"/>
      <w:marLeft w:val="0"/>
      <w:marRight w:val="0"/>
      <w:marTop w:val="0"/>
      <w:marBottom w:val="0"/>
      <w:divBdr>
        <w:top w:val="none" w:sz="0" w:space="0" w:color="auto"/>
        <w:left w:val="none" w:sz="0" w:space="0" w:color="auto"/>
        <w:bottom w:val="none" w:sz="0" w:space="0" w:color="auto"/>
        <w:right w:val="none" w:sz="0" w:space="0" w:color="auto"/>
      </w:divBdr>
      <w:divsChild>
        <w:div w:id="915044669">
          <w:marLeft w:val="0"/>
          <w:marRight w:val="0"/>
          <w:marTop w:val="0"/>
          <w:marBottom w:val="0"/>
          <w:divBdr>
            <w:top w:val="none" w:sz="0" w:space="0" w:color="auto"/>
            <w:left w:val="none" w:sz="0" w:space="0" w:color="auto"/>
            <w:bottom w:val="none" w:sz="0" w:space="0" w:color="auto"/>
            <w:right w:val="none" w:sz="0" w:space="0" w:color="auto"/>
          </w:divBdr>
        </w:div>
        <w:div w:id="1240210904">
          <w:marLeft w:val="0"/>
          <w:marRight w:val="0"/>
          <w:marTop w:val="0"/>
          <w:marBottom w:val="0"/>
          <w:divBdr>
            <w:top w:val="none" w:sz="0" w:space="0" w:color="auto"/>
            <w:left w:val="none" w:sz="0" w:space="0" w:color="auto"/>
            <w:bottom w:val="none" w:sz="0" w:space="0" w:color="auto"/>
            <w:right w:val="none" w:sz="0" w:space="0" w:color="auto"/>
          </w:divBdr>
        </w:div>
        <w:div w:id="1570581462">
          <w:marLeft w:val="0"/>
          <w:marRight w:val="0"/>
          <w:marTop w:val="0"/>
          <w:marBottom w:val="0"/>
          <w:divBdr>
            <w:top w:val="none" w:sz="0" w:space="0" w:color="auto"/>
            <w:left w:val="none" w:sz="0" w:space="0" w:color="auto"/>
            <w:bottom w:val="none" w:sz="0" w:space="0" w:color="auto"/>
            <w:right w:val="none" w:sz="0" w:space="0" w:color="auto"/>
          </w:divBdr>
        </w:div>
        <w:div w:id="1749888592">
          <w:marLeft w:val="0"/>
          <w:marRight w:val="0"/>
          <w:marTop w:val="0"/>
          <w:marBottom w:val="0"/>
          <w:divBdr>
            <w:top w:val="none" w:sz="0" w:space="0" w:color="auto"/>
            <w:left w:val="none" w:sz="0" w:space="0" w:color="auto"/>
            <w:bottom w:val="none" w:sz="0" w:space="0" w:color="auto"/>
            <w:right w:val="none" w:sz="0" w:space="0" w:color="auto"/>
          </w:divBdr>
        </w:div>
        <w:div w:id="1844473882">
          <w:marLeft w:val="0"/>
          <w:marRight w:val="0"/>
          <w:marTop w:val="0"/>
          <w:marBottom w:val="0"/>
          <w:divBdr>
            <w:top w:val="none" w:sz="0" w:space="0" w:color="auto"/>
            <w:left w:val="none" w:sz="0" w:space="0" w:color="auto"/>
            <w:bottom w:val="none" w:sz="0" w:space="0" w:color="auto"/>
            <w:right w:val="none" w:sz="0" w:space="0" w:color="auto"/>
          </w:divBdr>
        </w:div>
        <w:div w:id="1884360768">
          <w:marLeft w:val="0"/>
          <w:marRight w:val="0"/>
          <w:marTop w:val="0"/>
          <w:marBottom w:val="0"/>
          <w:divBdr>
            <w:top w:val="none" w:sz="0" w:space="0" w:color="auto"/>
            <w:left w:val="none" w:sz="0" w:space="0" w:color="auto"/>
            <w:bottom w:val="none" w:sz="0" w:space="0" w:color="auto"/>
            <w:right w:val="none" w:sz="0" w:space="0" w:color="auto"/>
          </w:divBdr>
          <w:divsChild>
            <w:div w:id="1547140852">
              <w:marLeft w:val="0"/>
              <w:marRight w:val="0"/>
              <w:marTop w:val="0"/>
              <w:marBottom w:val="0"/>
              <w:divBdr>
                <w:top w:val="none" w:sz="0" w:space="0" w:color="auto"/>
                <w:left w:val="none" w:sz="0" w:space="0" w:color="auto"/>
                <w:bottom w:val="none" w:sz="0" w:space="0" w:color="auto"/>
                <w:right w:val="none" w:sz="0" w:space="0" w:color="auto"/>
              </w:divBdr>
            </w:div>
            <w:div w:id="1557349203">
              <w:marLeft w:val="0"/>
              <w:marRight w:val="0"/>
              <w:marTop w:val="0"/>
              <w:marBottom w:val="0"/>
              <w:divBdr>
                <w:top w:val="none" w:sz="0" w:space="0" w:color="auto"/>
                <w:left w:val="none" w:sz="0" w:space="0" w:color="auto"/>
                <w:bottom w:val="none" w:sz="0" w:space="0" w:color="auto"/>
                <w:right w:val="none" w:sz="0" w:space="0" w:color="auto"/>
              </w:divBdr>
            </w:div>
            <w:div w:id="1903906284">
              <w:marLeft w:val="0"/>
              <w:marRight w:val="0"/>
              <w:marTop w:val="0"/>
              <w:marBottom w:val="0"/>
              <w:divBdr>
                <w:top w:val="none" w:sz="0" w:space="0" w:color="auto"/>
                <w:left w:val="none" w:sz="0" w:space="0" w:color="auto"/>
                <w:bottom w:val="none" w:sz="0" w:space="0" w:color="auto"/>
                <w:right w:val="none" w:sz="0" w:space="0" w:color="auto"/>
              </w:divBdr>
            </w:div>
            <w:div w:id="212384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121102">
      <w:bodyDiv w:val="1"/>
      <w:marLeft w:val="0"/>
      <w:marRight w:val="0"/>
      <w:marTop w:val="0"/>
      <w:marBottom w:val="0"/>
      <w:divBdr>
        <w:top w:val="none" w:sz="0" w:space="0" w:color="auto"/>
        <w:left w:val="none" w:sz="0" w:space="0" w:color="auto"/>
        <w:bottom w:val="none" w:sz="0" w:space="0" w:color="auto"/>
        <w:right w:val="none" w:sz="0" w:space="0" w:color="auto"/>
      </w:divBdr>
      <w:divsChild>
        <w:div w:id="58094715">
          <w:marLeft w:val="0"/>
          <w:marRight w:val="0"/>
          <w:marTop w:val="0"/>
          <w:marBottom w:val="0"/>
          <w:divBdr>
            <w:top w:val="none" w:sz="0" w:space="0" w:color="auto"/>
            <w:left w:val="none" w:sz="0" w:space="0" w:color="auto"/>
            <w:bottom w:val="none" w:sz="0" w:space="0" w:color="auto"/>
            <w:right w:val="none" w:sz="0" w:space="0" w:color="auto"/>
          </w:divBdr>
        </w:div>
        <w:div w:id="697438198">
          <w:marLeft w:val="0"/>
          <w:marRight w:val="0"/>
          <w:marTop w:val="0"/>
          <w:marBottom w:val="0"/>
          <w:divBdr>
            <w:top w:val="none" w:sz="0" w:space="0" w:color="auto"/>
            <w:left w:val="none" w:sz="0" w:space="0" w:color="auto"/>
            <w:bottom w:val="none" w:sz="0" w:space="0" w:color="auto"/>
            <w:right w:val="none" w:sz="0" w:space="0" w:color="auto"/>
          </w:divBdr>
        </w:div>
        <w:div w:id="953900109">
          <w:marLeft w:val="0"/>
          <w:marRight w:val="0"/>
          <w:marTop w:val="0"/>
          <w:marBottom w:val="0"/>
          <w:divBdr>
            <w:top w:val="none" w:sz="0" w:space="0" w:color="auto"/>
            <w:left w:val="none" w:sz="0" w:space="0" w:color="auto"/>
            <w:bottom w:val="none" w:sz="0" w:space="0" w:color="auto"/>
            <w:right w:val="none" w:sz="0" w:space="0" w:color="auto"/>
          </w:divBdr>
        </w:div>
        <w:div w:id="1383556637">
          <w:marLeft w:val="0"/>
          <w:marRight w:val="0"/>
          <w:marTop w:val="0"/>
          <w:marBottom w:val="0"/>
          <w:divBdr>
            <w:top w:val="none" w:sz="0" w:space="0" w:color="auto"/>
            <w:left w:val="none" w:sz="0" w:space="0" w:color="auto"/>
            <w:bottom w:val="none" w:sz="0" w:space="0" w:color="auto"/>
            <w:right w:val="none" w:sz="0" w:space="0" w:color="auto"/>
          </w:divBdr>
        </w:div>
        <w:div w:id="1429354181">
          <w:marLeft w:val="0"/>
          <w:marRight w:val="0"/>
          <w:marTop w:val="0"/>
          <w:marBottom w:val="0"/>
          <w:divBdr>
            <w:top w:val="none" w:sz="0" w:space="0" w:color="auto"/>
            <w:left w:val="none" w:sz="0" w:space="0" w:color="auto"/>
            <w:bottom w:val="none" w:sz="0" w:space="0" w:color="auto"/>
            <w:right w:val="none" w:sz="0" w:space="0" w:color="auto"/>
          </w:divBdr>
        </w:div>
      </w:divsChild>
    </w:div>
    <w:div w:id="1259287344">
      <w:bodyDiv w:val="1"/>
      <w:marLeft w:val="0"/>
      <w:marRight w:val="0"/>
      <w:marTop w:val="0"/>
      <w:marBottom w:val="0"/>
      <w:divBdr>
        <w:top w:val="none" w:sz="0" w:space="0" w:color="auto"/>
        <w:left w:val="none" w:sz="0" w:space="0" w:color="auto"/>
        <w:bottom w:val="none" w:sz="0" w:space="0" w:color="auto"/>
        <w:right w:val="none" w:sz="0" w:space="0" w:color="auto"/>
      </w:divBdr>
    </w:div>
    <w:div w:id="1260018446">
      <w:bodyDiv w:val="1"/>
      <w:marLeft w:val="0"/>
      <w:marRight w:val="0"/>
      <w:marTop w:val="0"/>
      <w:marBottom w:val="0"/>
      <w:divBdr>
        <w:top w:val="none" w:sz="0" w:space="0" w:color="auto"/>
        <w:left w:val="none" w:sz="0" w:space="0" w:color="auto"/>
        <w:bottom w:val="none" w:sz="0" w:space="0" w:color="auto"/>
        <w:right w:val="none" w:sz="0" w:space="0" w:color="auto"/>
      </w:divBdr>
      <w:divsChild>
        <w:div w:id="4789808">
          <w:marLeft w:val="0"/>
          <w:marRight w:val="0"/>
          <w:marTop w:val="0"/>
          <w:marBottom w:val="0"/>
          <w:divBdr>
            <w:top w:val="none" w:sz="0" w:space="0" w:color="auto"/>
            <w:left w:val="none" w:sz="0" w:space="0" w:color="auto"/>
            <w:bottom w:val="none" w:sz="0" w:space="0" w:color="auto"/>
            <w:right w:val="none" w:sz="0" w:space="0" w:color="auto"/>
          </w:divBdr>
        </w:div>
        <w:div w:id="289627591">
          <w:marLeft w:val="0"/>
          <w:marRight w:val="0"/>
          <w:marTop w:val="0"/>
          <w:marBottom w:val="0"/>
          <w:divBdr>
            <w:top w:val="none" w:sz="0" w:space="0" w:color="auto"/>
            <w:left w:val="none" w:sz="0" w:space="0" w:color="auto"/>
            <w:bottom w:val="none" w:sz="0" w:space="0" w:color="auto"/>
            <w:right w:val="none" w:sz="0" w:space="0" w:color="auto"/>
          </w:divBdr>
        </w:div>
        <w:div w:id="520165958">
          <w:marLeft w:val="0"/>
          <w:marRight w:val="0"/>
          <w:marTop w:val="0"/>
          <w:marBottom w:val="0"/>
          <w:divBdr>
            <w:top w:val="none" w:sz="0" w:space="0" w:color="auto"/>
            <w:left w:val="none" w:sz="0" w:space="0" w:color="auto"/>
            <w:bottom w:val="none" w:sz="0" w:space="0" w:color="auto"/>
            <w:right w:val="none" w:sz="0" w:space="0" w:color="auto"/>
          </w:divBdr>
        </w:div>
        <w:div w:id="1238708801">
          <w:marLeft w:val="0"/>
          <w:marRight w:val="0"/>
          <w:marTop w:val="0"/>
          <w:marBottom w:val="0"/>
          <w:divBdr>
            <w:top w:val="none" w:sz="0" w:space="0" w:color="auto"/>
            <w:left w:val="none" w:sz="0" w:space="0" w:color="auto"/>
            <w:bottom w:val="none" w:sz="0" w:space="0" w:color="auto"/>
            <w:right w:val="none" w:sz="0" w:space="0" w:color="auto"/>
          </w:divBdr>
        </w:div>
        <w:div w:id="1326976296">
          <w:marLeft w:val="0"/>
          <w:marRight w:val="0"/>
          <w:marTop w:val="0"/>
          <w:marBottom w:val="0"/>
          <w:divBdr>
            <w:top w:val="none" w:sz="0" w:space="0" w:color="auto"/>
            <w:left w:val="none" w:sz="0" w:space="0" w:color="auto"/>
            <w:bottom w:val="none" w:sz="0" w:space="0" w:color="auto"/>
            <w:right w:val="none" w:sz="0" w:space="0" w:color="auto"/>
          </w:divBdr>
        </w:div>
        <w:div w:id="1341154383">
          <w:marLeft w:val="0"/>
          <w:marRight w:val="0"/>
          <w:marTop w:val="0"/>
          <w:marBottom w:val="0"/>
          <w:divBdr>
            <w:top w:val="none" w:sz="0" w:space="0" w:color="auto"/>
            <w:left w:val="none" w:sz="0" w:space="0" w:color="auto"/>
            <w:bottom w:val="none" w:sz="0" w:space="0" w:color="auto"/>
            <w:right w:val="none" w:sz="0" w:space="0" w:color="auto"/>
          </w:divBdr>
        </w:div>
        <w:div w:id="1960139105">
          <w:marLeft w:val="0"/>
          <w:marRight w:val="0"/>
          <w:marTop w:val="0"/>
          <w:marBottom w:val="0"/>
          <w:divBdr>
            <w:top w:val="none" w:sz="0" w:space="0" w:color="auto"/>
            <w:left w:val="none" w:sz="0" w:space="0" w:color="auto"/>
            <w:bottom w:val="none" w:sz="0" w:space="0" w:color="auto"/>
            <w:right w:val="none" w:sz="0" w:space="0" w:color="auto"/>
          </w:divBdr>
        </w:div>
      </w:divsChild>
    </w:div>
    <w:div w:id="1271819980">
      <w:bodyDiv w:val="1"/>
      <w:marLeft w:val="0"/>
      <w:marRight w:val="0"/>
      <w:marTop w:val="0"/>
      <w:marBottom w:val="0"/>
      <w:divBdr>
        <w:top w:val="none" w:sz="0" w:space="0" w:color="auto"/>
        <w:left w:val="none" w:sz="0" w:space="0" w:color="auto"/>
        <w:bottom w:val="none" w:sz="0" w:space="0" w:color="auto"/>
        <w:right w:val="none" w:sz="0" w:space="0" w:color="auto"/>
      </w:divBdr>
      <w:divsChild>
        <w:div w:id="166677904">
          <w:marLeft w:val="0"/>
          <w:marRight w:val="0"/>
          <w:marTop w:val="0"/>
          <w:marBottom w:val="0"/>
          <w:divBdr>
            <w:top w:val="none" w:sz="0" w:space="0" w:color="auto"/>
            <w:left w:val="none" w:sz="0" w:space="0" w:color="auto"/>
            <w:bottom w:val="none" w:sz="0" w:space="0" w:color="auto"/>
            <w:right w:val="none" w:sz="0" w:space="0" w:color="auto"/>
          </w:divBdr>
        </w:div>
        <w:div w:id="189227170">
          <w:marLeft w:val="0"/>
          <w:marRight w:val="0"/>
          <w:marTop w:val="0"/>
          <w:marBottom w:val="0"/>
          <w:divBdr>
            <w:top w:val="none" w:sz="0" w:space="0" w:color="auto"/>
            <w:left w:val="none" w:sz="0" w:space="0" w:color="auto"/>
            <w:bottom w:val="none" w:sz="0" w:space="0" w:color="auto"/>
            <w:right w:val="none" w:sz="0" w:space="0" w:color="auto"/>
          </w:divBdr>
        </w:div>
        <w:div w:id="814567405">
          <w:marLeft w:val="0"/>
          <w:marRight w:val="0"/>
          <w:marTop w:val="0"/>
          <w:marBottom w:val="0"/>
          <w:divBdr>
            <w:top w:val="none" w:sz="0" w:space="0" w:color="auto"/>
            <w:left w:val="none" w:sz="0" w:space="0" w:color="auto"/>
            <w:bottom w:val="none" w:sz="0" w:space="0" w:color="auto"/>
            <w:right w:val="none" w:sz="0" w:space="0" w:color="auto"/>
          </w:divBdr>
        </w:div>
        <w:div w:id="934019465">
          <w:marLeft w:val="0"/>
          <w:marRight w:val="0"/>
          <w:marTop w:val="0"/>
          <w:marBottom w:val="0"/>
          <w:divBdr>
            <w:top w:val="none" w:sz="0" w:space="0" w:color="auto"/>
            <w:left w:val="none" w:sz="0" w:space="0" w:color="auto"/>
            <w:bottom w:val="none" w:sz="0" w:space="0" w:color="auto"/>
            <w:right w:val="none" w:sz="0" w:space="0" w:color="auto"/>
          </w:divBdr>
        </w:div>
        <w:div w:id="1313755139">
          <w:marLeft w:val="0"/>
          <w:marRight w:val="0"/>
          <w:marTop w:val="0"/>
          <w:marBottom w:val="0"/>
          <w:divBdr>
            <w:top w:val="none" w:sz="0" w:space="0" w:color="auto"/>
            <w:left w:val="none" w:sz="0" w:space="0" w:color="auto"/>
            <w:bottom w:val="none" w:sz="0" w:space="0" w:color="auto"/>
            <w:right w:val="none" w:sz="0" w:space="0" w:color="auto"/>
          </w:divBdr>
        </w:div>
        <w:div w:id="1470131421">
          <w:marLeft w:val="0"/>
          <w:marRight w:val="0"/>
          <w:marTop w:val="0"/>
          <w:marBottom w:val="0"/>
          <w:divBdr>
            <w:top w:val="none" w:sz="0" w:space="0" w:color="auto"/>
            <w:left w:val="none" w:sz="0" w:space="0" w:color="auto"/>
            <w:bottom w:val="none" w:sz="0" w:space="0" w:color="auto"/>
            <w:right w:val="none" w:sz="0" w:space="0" w:color="auto"/>
          </w:divBdr>
        </w:div>
        <w:div w:id="1595893759">
          <w:marLeft w:val="0"/>
          <w:marRight w:val="0"/>
          <w:marTop w:val="0"/>
          <w:marBottom w:val="0"/>
          <w:divBdr>
            <w:top w:val="none" w:sz="0" w:space="0" w:color="auto"/>
            <w:left w:val="none" w:sz="0" w:space="0" w:color="auto"/>
            <w:bottom w:val="none" w:sz="0" w:space="0" w:color="auto"/>
            <w:right w:val="none" w:sz="0" w:space="0" w:color="auto"/>
          </w:divBdr>
        </w:div>
      </w:divsChild>
    </w:div>
    <w:div w:id="1290745219">
      <w:bodyDiv w:val="1"/>
      <w:marLeft w:val="0"/>
      <w:marRight w:val="0"/>
      <w:marTop w:val="0"/>
      <w:marBottom w:val="0"/>
      <w:divBdr>
        <w:top w:val="none" w:sz="0" w:space="0" w:color="auto"/>
        <w:left w:val="none" w:sz="0" w:space="0" w:color="auto"/>
        <w:bottom w:val="none" w:sz="0" w:space="0" w:color="auto"/>
        <w:right w:val="none" w:sz="0" w:space="0" w:color="auto"/>
      </w:divBdr>
      <w:divsChild>
        <w:div w:id="948896716">
          <w:marLeft w:val="0"/>
          <w:marRight w:val="0"/>
          <w:marTop w:val="0"/>
          <w:marBottom w:val="0"/>
          <w:divBdr>
            <w:top w:val="none" w:sz="0" w:space="0" w:color="auto"/>
            <w:left w:val="none" w:sz="0" w:space="0" w:color="auto"/>
            <w:bottom w:val="none" w:sz="0" w:space="0" w:color="auto"/>
            <w:right w:val="none" w:sz="0" w:space="0" w:color="auto"/>
          </w:divBdr>
        </w:div>
        <w:div w:id="1011953136">
          <w:marLeft w:val="0"/>
          <w:marRight w:val="0"/>
          <w:marTop w:val="0"/>
          <w:marBottom w:val="0"/>
          <w:divBdr>
            <w:top w:val="none" w:sz="0" w:space="0" w:color="auto"/>
            <w:left w:val="none" w:sz="0" w:space="0" w:color="auto"/>
            <w:bottom w:val="none" w:sz="0" w:space="0" w:color="auto"/>
            <w:right w:val="none" w:sz="0" w:space="0" w:color="auto"/>
          </w:divBdr>
        </w:div>
        <w:div w:id="1344166694">
          <w:marLeft w:val="0"/>
          <w:marRight w:val="0"/>
          <w:marTop w:val="0"/>
          <w:marBottom w:val="0"/>
          <w:divBdr>
            <w:top w:val="none" w:sz="0" w:space="0" w:color="auto"/>
            <w:left w:val="none" w:sz="0" w:space="0" w:color="auto"/>
            <w:bottom w:val="none" w:sz="0" w:space="0" w:color="auto"/>
            <w:right w:val="none" w:sz="0" w:space="0" w:color="auto"/>
          </w:divBdr>
        </w:div>
        <w:div w:id="1841584093">
          <w:marLeft w:val="0"/>
          <w:marRight w:val="0"/>
          <w:marTop w:val="0"/>
          <w:marBottom w:val="0"/>
          <w:divBdr>
            <w:top w:val="none" w:sz="0" w:space="0" w:color="auto"/>
            <w:left w:val="none" w:sz="0" w:space="0" w:color="auto"/>
            <w:bottom w:val="none" w:sz="0" w:space="0" w:color="auto"/>
            <w:right w:val="none" w:sz="0" w:space="0" w:color="auto"/>
          </w:divBdr>
        </w:div>
        <w:div w:id="1874464300">
          <w:marLeft w:val="0"/>
          <w:marRight w:val="0"/>
          <w:marTop w:val="0"/>
          <w:marBottom w:val="0"/>
          <w:divBdr>
            <w:top w:val="none" w:sz="0" w:space="0" w:color="auto"/>
            <w:left w:val="none" w:sz="0" w:space="0" w:color="auto"/>
            <w:bottom w:val="none" w:sz="0" w:space="0" w:color="auto"/>
            <w:right w:val="none" w:sz="0" w:space="0" w:color="auto"/>
          </w:divBdr>
        </w:div>
      </w:divsChild>
    </w:div>
    <w:div w:id="1291593477">
      <w:bodyDiv w:val="1"/>
      <w:marLeft w:val="0"/>
      <w:marRight w:val="0"/>
      <w:marTop w:val="0"/>
      <w:marBottom w:val="0"/>
      <w:divBdr>
        <w:top w:val="none" w:sz="0" w:space="0" w:color="auto"/>
        <w:left w:val="none" w:sz="0" w:space="0" w:color="auto"/>
        <w:bottom w:val="none" w:sz="0" w:space="0" w:color="auto"/>
        <w:right w:val="none" w:sz="0" w:space="0" w:color="auto"/>
      </w:divBdr>
      <w:divsChild>
        <w:div w:id="1277446515">
          <w:marLeft w:val="0"/>
          <w:marRight w:val="0"/>
          <w:marTop w:val="0"/>
          <w:marBottom w:val="0"/>
          <w:divBdr>
            <w:top w:val="none" w:sz="0" w:space="0" w:color="auto"/>
            <w:left w:val="none" w:sz="0" w:space="0" w:color="auto"/>
            <w:bottom w:val="none" w:sz="0" w:space="0" w:color="auto"/>
            <w:right w:val="none" w:sz="0" w:space="0" w:color="auto"/>
          </w:divBdr>
          <w:divsChild>
            <w:div w:id="852693425">
              <w:marLeft w:val="0"/>
              <w:marRight w:val="0"/>
              <w:marTop w:val="0"/>
              <w:marBottom w:val="0"/>
              <w:divBdr>
                <w:top w:val="none" w:sz="0" w:space="0" w:color="auto"/>
                <w:left w:val="none" w:sz="0" w:space="0" w:color="auto"/>
                <w:bottom w:val="none" w:sz="0" w:space="0" w:color="auto"/>
                <w:right w:val="none" w:sz="0" w:space="0" w:color="auto"/>
              </w:divBdr>
            </w:div>
            <w:div w:id="1326474810">
              <w:marLeft w:val="0"/>
              <w:marRight w:val="0"/>
              <w:marTop w:val="0"/>
              <w:marBottom w:val="0"/>
              <w:divBdr>
                <w:top w:val="none" w:sz="0" w:space="0" w:color="auto"/>
                <w:left w:val="none" w:sz="0" w:space="0" w:color="auto"/>
                <w:bottom w:val="none" w:sz="0" w:space="0" w:color="auto"/>
                <w:right w:val="none" w:sz="0" w:space="0" w:color="auto"/>
              </w:divBdr>
            </w:div>
            <w:div w:id="1650791788">
              <w:marLeft w:val="0"/>
              <w:marRight w:val="0"/>
              <w:marTop w:val="0"/>
              <w:marBottom w:val="0"/>
              <w:divBdr>
                <w:top w:val="none" w:sz="0" w:space="0" w:color="auto"/>
                <w:left w:val="none" w:sz="0" w:space="0" w:color="auto"/>
                <w:bottom w:val="none" w:sz="0" w:space="0" w:color="auto"/>
                <w:right w:val="none" w:sz="0" w:space="0" w:color="auto"/>
              </w:divBdr>
            </w:div>
            <w:div w:id="1754668179">
              <w:marLeft w:val="0"/>
              <w:marRight w:val="0"/>
              <w:marTop w:val="0"/>
              <w:marBottom w:val="0"/>
              <w:divBdr>
                <w:top w:val="none" w:sz="0" w:space="0" w:color="auto"/>
                <w:left w:val="none" w:sz="0" w:space="0" w:color="auto"/>
                <w:bottom w:val="none" w:sz="0" w:space="0" w:color="auto"/>
                <w:right w:val="none" w:sz="0" w:space="0" w:color="auto"/>
              </w:divBdr>
            </w:div>
          </w:divsChild>
        </w:div>
        <w:div w:id="1551841280">
          <w:marLeft w:val="0"/>
          <w:marRight w:val="0"/>
          <w:marTop w:val="0"/>
          <w:marBottom w:val="0"/>
          <w:divBdr>
            <w:top w:val="none" w:sz="0" w:space="0" w:color="auto"/>
            <w:left w:val="none" w:sz="0" w:space="0" w:color="auto"/>
            <w:bottom w:val="none" w:sz="0" w:space="0" w:color="auto"/>
            <w:right w:val="none" w:sz="0" w:space="0" w:color="auto"/>
          </w:divBdr>
          <w:divsChild>
            <w:div w:id="262422157">
              <w:marLeft w:val="0"/>
              <w:marRight w:val="0"/>
              <w:marTop w:val="0"/>
              <w:marBottom w:val="0"/>
              <w:divBdr>
                <w:top w:val="none" w:sz="0" w:space="0" w:color="auto"/>
                <w:left w:val="none" w:sz="0" w:space="0" w:color="auto"/>
                <w:bottom w:val="none" w:sz="0" w:space="0" w:color="auto"/>
                <w:right w:val="none" w:sz="0" w:space="0" w:color="auto"/>
              </w:divBdr>
            </w:div>
            <w:div w:id="428161244">
              <w:marLeft w:val="0"/>
              <w:marRight w:val="0"/>
              <w:marTop w:val="0"/>
              <w:marBottom w:val="0"/>
              <w:divBdr>
                <w:top w:val="none" w:sz="0" w:space="0" w:color="auto"/>
                <w:left w:val="none" w:sz="0" w:space="0" w:color="auto"/>
                <w:bottom w:val="none" w:sz="0" w:space="0" w:color="auto"/>
                <w:right w:val="none" w:sz="0" w:space="0" w:color="auto"/>
              </w:divBdr>
            </w:div>
            <w:div w:id="115672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33839">
      <w:bodyDiv w:val="1"/>
      <w:marLeft w:val="0"/>
      <w:marRight w:val="0"/>
      <w:marTop w:val="0"/>
      <w:marBottom w:val="0"/>
      <w:divBdr>
        <w:top w:val="none" w:sz="0" w:space="0" w:color="auto"/>
        <w:left w:val="none" w:sz="0" w:space="0" w:color="auto"/>
        <w:bottom w:val="none" w:sz="0" w:space="0" w:color="auto"/>
        <w:right w:val="none" w:sz="0" w:space="0" w:color="auto"/>
      </w:divBdr>
      <w:divsChild>
        <w:div w:id="215163891">
          <w:marLeft w:val="0"/>
          <w:marRight w:val="0"/>
          <w:marTop w:val="0"/>
          <w:marBottom w:val="0"/>
          <w:divBdr>
            <w:top w:val="none" w:sz="0" w:space="0" w:color="auto"/>
            <w:left w:val="none" w:sz="0" w:space="0" w:color="auto"/>
            <w:bottom w:val="none" w:sz="0" w:space="0" w:color="auto"/>
            <w:right w:val="none" w:sz="0" w:space="0" w:color="auto"/>
          </w:divBdr>
        </w:div>
        <w:div w:id="273096057">
          <w:marLeft w:val="0"/>
          <w:marRight w:val="0"/>
          <w:marTop w:val="0"/>
          <w:marBottom w:val="0"/>
          <w:divBdr>
            <w:top w:val="none" w:sz="0" w:space="0" w:color="auto"/>
            <w:left w:val="none" w:sz="0" w:space="0" w:color="auto"/>
            <w:bottom w:val="none" w:sz="0" w:space="0" w:color="auto"/>
            <w:right w:val="none" w:sz="0" w:space="0" w:color="auto"/>
          </w:divBdr>
        </w:div>
        <w:div w:id="282856909">
          <w:marLeft w:val="0"/>
          <w:marRight w:val="0"/>
          <w:marTop w:val="0"/>
          <w:marBottom w:val="0"/>
          <w:divBdr>
            <w:top w:val="none" w:sz="0" w:space="0" w:color="auto"/>
            <w:left w:val="none" w:sz="0" w:space="0" w:color="auto"/>
            <w:bottom w:val="none" w:sz="0" w:space="0" w:color="auto"/>
            <w:right w:val="none" w:sz="0" w:space="0" w:color="auto"/>
          </w:divBdr>
        </w:div>
        <w:div w:id="676618787">
          <w:marLeft w:val="0"/>
          <w:marRight w:val="0"/>
          <w:marTop w:val="0"/>
          <w:marBottom w:val="0"/>
          <w:divBdr>
            <w:top w:val="none" w:sz="0" w:space="0" w:color="auto"/>
            <w:left w:val="none" w:sz="0" w:space="0" w:color="auto"/>
            <w:bottom w:val="none" w:sz="0" w:space="0" w:color="auto"/>
            <w:right w:val="none" w:sz="0" w:space="0" w:color="auto"/>
          </w:divBdr>
        </w:div>
        <w:div w:id="682635053">
          <w:marLeft w:val="0"/>
          <w:marRight w:val="0"/>
          <w:marTop w:val="0"/>
          <w:marBottom w:val="0"/>
          <w:divBdr>
            <w:top w:val="none" w:sz="0" w:space="0" w:color="auto"/>
            <w:left w:val="none" w:sz="0" w:space="0" w:color="auto"/>
            <w:bottom w:val="none" w:sz="0" w:space="0" w:color="auto"/>
            <w:right w:val="none" w:sz="0" w:space="0" w:color="auto"/>
          </w:divBdr>
        </w:div>
        <w:div w:id="948123116">
          <w:marLeft w:val="0"/>
          <w:marRight w:val="0"/>
          <w:marTop w:val="0"/>
          <w:marBottom w:val="0"/>
          <w:divBdr>
            <w:top w:val="none" w:sz="0" w:space="0" w:color="auto"/>
            <w:left w:val="none" w:sz="0" w:space="0" w:color="auto"/>
            <w:bottom w:val="none" w:sz="0" w:space="0" w:color="auto"/>
            <w:right w:val="none" w:sz="0" w:space="0" w:color="auto"/>
          </w:divBdr>
        </w:div>
        <w:div w:id="1462725875">
          <w:marLeft w:val="0"/>
          <w:marRight w:val="0"/>
          <w:marTop w:val="0"/>
          <w:marBottom w:val="0"/>
          <w:divBdr>
            <w:top w:val="none" w:sz="0" w:space="0" w:color="auto"/>
            <w:left w:val="none" w:sz="0" w:space="0" w:color="auto"/>
            <w:bottom w:val="none" w:sz="0" w:space="0" w:color="auto"/>
            <w:right w:val="none" w:sz="0" w:space="0" w:color="auto"/>
          </w:divBdr>
        </w:div>
        <w:div w:id="1935245057">
          <w:marLeft w:val="0"/>
          <w:marRight w:val="0"/>
          <w:marTop w:val="0"/>
          <w:marBottom w:val="0"/>
          <w:divBdr>
            <w:top w:val="none" w:sz="0" w:space="0" w:color="auto"/>
            <w:left w:val="none" w:sz="0" w:space="0" w:color="auto"/>
            <w:bottom w:val="none" w:sz="0" w:space="0" w:color="auto"/>
            <w:right w:val="none" w:sz="0" w:space="0" w:color="auto"/>
          </w:divBdr>
        </w:div>
      </w:divsChild>
    </w:div>
    <w:div w:id="1298758139">
      <w:bodyDiv w:val="1"/>
      <w:marLeft w:val="0"/>
      <w:marRight w:val="0"/>
      <w:marTop w:val="0"/>
      <w:marBottom w:val="0"/>
      <w:divBdr>
        <w:top w:val="none" w:sz="0" w:space="0" w:color="auto"/>
        <w:left w:val="none" w:sz="0" w:space="0" w:color="auto"/>
        <w:bottom w:val="none" w:sz="0" w:space="0" w:color="auto"/>
        <w:right w:val="none" w:sz="0" w:space="0" w:color="auto"/>
      </w:divBdr>
      <w:divsChild>
        <w:div w:id="132606939">
          <w:marLeft w:val="0"/>
          <w:marRight w:val="0"/>
          <w:marTop w:val="0"/>
          <w:marBottom w:val="0"/>
          <w:divBdr>
            <w:top w:val="none" w:sz="0" w:space="0" w:color="auto"/>
            <w:left w:val="none" w:sz="0" w:space="0" w:color="auto"/>
            <w:bottom w:val="none" w:sz="0" w:space="0" w:color="auto"/>
            <w:right w:val="none" w:sz="0" w:space="0" w:color="auto"/>
          </w:divBdr>
        </w:div>
        <w:div w:id="546069307">
          <w:marLeft w:val="0"/>
          <w:marRight w:val="0"/>
          <w:marTop w:val="0"/>
          <w:marBottom w:val="0"/>
          <w:divBdr>
            <w:top w:val="none" w:sz="0" w:space="0" w:color="auto"/>
            <w:left w:val="none" w:sz="0" w:space="0" w:color="auto"/>
            <w:bottom w:val="none" w:sz="0" w:space="0" w:color="auto"/>
            <w:right w:val="none" w:sz="0" w:space="0" w:color="auto"/>
          </w:divBdr>
        </w:div>
        <w:div w:id="558175422">
          <w:marLeft w:val="0"/>
          <w:marRight w:val="0"/>
          <w:marTop w:val="0"/>
          <w:marBottom w:val="0"/>
          <w:divBdr>
            <w:top w:val="none" w:sz="0" w:space="0" w:color="auto"/>
            <w:left w:val="none" w:sz="0" w:space="0" w:color="auto"/>
            <w:bottom w:val="none" w:sz="0" w:space="0" w:color="auto"/>
            <w:right w:val="none" w:sz="0" w:space="0" w:color="auto"/>
          </w:divBdr>
        </w:div>
        <w:div w:id="582374545">
          <w:marLeft w:val="0"/>
          <w:marRight w:val="0"/>
          <w:marTop w:val="0"/>
          <w:marBottom w:val="0"/>
          <w:divBdr>
            <w:top w:val="none" w:sz="0" w:space="0" w:color="auto"/>
            <w:left w:val="none" w:sz="0" w:space="0" w:color="auto"/>
            <w:bottom w:val="none" w:sz="0" w:space="0" w:color="auto"/>
            <w:right w:val="none" w:sz="0" w:space="0" w:color="auto"/>
          </w:divBdr>
        </w:div>
        <w:div w:id="583416157">
          <w:marLeft w:val="0"/>
          <w:marRight w:val="0"/>
          <w:marTop w:val="0"/>
          <w:marBottom w:val="0"/>
          <w:divBdr>
            <w:top w:val="none" w:sz="0" w:space="0" w:color="auto"/>
            <w:left w:val="none" w:sz="0" w:space="0" w:color="auto"/>
            <w:bottom w:val="none" w:sz="0" w:space="0" w:color="auto"/>
            <w:right w:val="none" w:sz="0" w:space="0" w:color="auto"/>
          </w:divBdr>
        </w:div>
        <w:div w:id="601769036">
          <w:marLeft w:val="0"/>
          <w:marRight w:val="0"/>
          <w:marTop w:val="0"/>
          <w:marBottom w:val="0"/>
          <w:divBdr>
            <w:top w:val="none" w:sz="0" w:space="0" w:color="auto"/>
            <w:left w:val="none" w:sz="0" w:space="0" w:color="auto"/>
            <w:bottom w:val="none" w:sz="0" w:space="0" w:color="auto"/>
            <w:right w:val="none" w:sz="0" w:space="0" w:color="auto"/>
          </w:divBdr>
        </w:div>
        <w:div w:id="779641270">
          <w:marLeft w:val="0"/>
          <w:marRight w:val="0"/>
          <w:marTop w:val="0"/>
          <w:marBottom w:val="0"/>
          <w:divBdr>
            <w:top w:val="none" w:sz="0" w:space="0" w:color="auto"/>
            <w:left w:val="none" w:sz="0" w:space="0" w:color="auto"/>
            <w:bottom w:val="none" w:sz="0" w:space="0" w:color="auto"/>
            <w:right w:val="none" w:sz="0" w:space="0" w:color="auto"/>
          </w:divBdr>
        </w:div>
        <w:div w:id="854075709">
          <w:marLeft w:val="0"/>
          <w:marRight w:val="0"/>
          <w:marTop w:val="0"/>
          <w:marBottom w:val="0"/>
          <w:divBdr>
            <w:top w:val="none" w:sz="0" w:space="0" w:color="auto"/>
            <w:left w:val="none" w:sz="0" w:space="0" w:color="auto"/>
            <w:bottom w:val="none" w:sz="0" w:space="0" w:color="auto"/>
            <w:right w:val="none" w:sz="0" w:space="0" w:color="auto"/>
          </w:divBdr>
        </w:div>
        <w:div w:id="1052458410">
          <w:marLeft w:val="0"/>
          <w:marRight w:val="0"/>
          <w:marTop w:val="0"/>
          <w:marBottom w:val="0"/>
          <w:divBdr>
            <w:top w:val="none" w:sz="0" w:space="0" w:color="auto"/>
            <w:left w:val="none" w:sz="0" w:space="0" w:color="auto"/>
            <w:bottom w:val="none" w:sz="0" w:space="0" w:color="auto"/>
            <w:right w:val="none" w:sz="0" w:space="0" w:color="auto"/>
          </w:divBdr>
        </w:div>
        <w:div w:id="1177963112">
          <w:marLeft w:val="0"/>
          <w:marRight w:val="0"/>
          <w:marTop w:val="0"/>
          <w:marBottom w:val="0"/>
          <w:divBdr>
            <w:top w:val="none" w:sz="0" w:space="0" w:color="auto"/>
            <w:left w:val="none" w:sz="0" w:space="0" w:color="auto"/>
            <w:bottom w:val="none" w:sz="0" w:space="0" w:color="auto"/>
            <w:right w:val="none" w:sz="0" w:space="0" w:color="auto"/>
          </w:divBdr>
        </w:div>
        <w:div w:id="1273631927">
          <w:marLeft w:val="0"/>
          <w:marRight w:val="0"/>
          <w:marTop w:val="0"/>
          <w:marBottom w:val="0"/>
          <w:divBdr>
            <w:top w:val="none" w:sz="0" w:space="0" w:color="auto"/>
            <w:left w:val="none" w:sz="0" w:space="0" w:color="auto"/>
            <w:bottom w:val="none" w:sz="0" w:space="0" w:color="auto"/>
            <w:right w:val="none" w:sz="0" w:space="0" w:color="auto"/>
          </w:divBdr>
        </w:div>
        <w:div w:id="1318074353">
          <w:marLeft w:val="0"/>
          <w:marRight w:val="0"/>
          <w:marTop w:val="0"/>
          <w:marBottom w:val="0"/>
          <w:divBdr>
            <w:top w:val="none" w:sz="0" w:space="0" w:color="auto"/>
            <w:left w:val="none" w:sz="0" w:space="0" w:color="auto"/>
            <w:bottom w:val="none" w:sz="0" w:space="0" w:color="auto"/>
            <w:right w:val="none" w:sz="0" w:space="0" w:color="auto"/>
          </w:divBdr>
        </w:div>
      </w:divsChild>
    </w:div>
    <w:div w:id="1300307650">
      <w:bodyDiv w:val="1"/>
      <w:marLeft w:val="0"/>
      <w:marRight w:val="0"/>
      <w:marTop w:val="0"/>
      <w:marBottom w:val="0"/>
      <w:divBdr>
        <w:top w:val="none" w:sz="0" w:space="0" w:color="auto"/>
        <w:left w:val="none" w:sz="0" w:space="0" w:color="auto"/>
        <w:bottom w:val="none" w:sz="0" w:space="0" w:color="auto"/>
        <w:right w:val="none" w:sz="0" w:space="0" w:color="auto"/>
      </w:divBdr>
      <w:divsChild>
        <w:div w:id="1423648890">
          <w:marLeft w:val="0"/>
          <w:marRight w:val="0"/>
          <w:marTop w:val="0"/>
          <w:marBottom w:val="0"/>
          <w:divBdr>
            <w:top w:val="none" w:sz="0" w:space="0" w:color="auto"/>
            <w:left w:val="none" w:sz="0" w:space="0" w:color="auto"/>
            <w:bottom w:val="none" w:sz="0" w:space="0" w:color="auto"/>
            <w:right w:val="none" w:sz="0" w:space="0" w:color="auto"/>
          </w:divBdr>
          <w:divsChild>
            <w:div w:id="43870006">
              <w:marLeft w:val="0"/>
              <w:marRight w:val="0"/>
              <w:marTop w:val="0"/>
              <w:marBottom w:val="0"/>
              <w:divBdr>
                <w:top w:val="none" w:sz="0" w:space="0" w:color="auto"/>
                <w:left w:val="none" w:sz="0" w:space="0" w:color="auto"/>
                <w:bottom w:val="none" w:sz="0" w:space="0" w:color="auto"/>
                <w:right w:val="none" w:sz="0" w:space="0" w:color="auto"/>
              </w:divBdr>
            </w:div>
            <w:div w:id="162941595">
              <w:marLeft w:val="0"/>
              <w:marRight w:val="0"/>
              <w:marTop w:val="0"/>
              <w:marBottom w:val="0"/>
              <w:divBdr>
                <w:top w:val="none" w:sz="0" w:space="0" w:color="auto"/>
                <w:left w:val="none" w:sz="0" w:space="0" w:color="auto"/>
                <w:bottom w:val="none" w:sz="0" w:space="0" w:color="auto"/>
                <w:right w:val="none" w:sz="0" w:space="0" w:color="auto"/>
              </w:divBdr>
            </w:div>
            <w:div w:id="665060457">
              <w:marLeft w:val="0"/>
              <w:marRight w:val="0"/>
              <w:marTop w:val="0"/>
              <w:marBottom w:val="0"/>
              <w:divBdr>
                <w:top w:val="none" w:sz="0" w:space="0" w:color="auto"/>
                <w:left w:val="none" w:sz="0" w:space="0" w:color="auto"/>
                <w:bottom w:val="none" w:sz="0" w:space="0" w:color="auto"/>
                <w:right w:val="none" w:sz="0" w:space="0" w:color="auto"/>
              </w:divBdr>
            </w:div>
            <w:div w:id="698774066">
              <w:marLeft w:val="0"/>
              <w:marRight w:val="0"/>
              <w:marTop w:val="0"/>
              <w:marBottom w:val="0"/>
              <w:divBdr>
                <w:top w:val="none" w:sz="0" w:space="0" w:color="auto"/>
                <w:left w:val="none" w:sz="0" w:space="0" w:color="auto"/>
                <w:bottom w:val="none" w:sz="0" w:space="0" w:color="auto"/>
                <w:right w:val="none" w:sz="0" w:space="0" w:color="auto"/>
              </w:divBdr>
            </w:div>
            <w:div w:id="869492060">
              <w:marLeft w:val="0"/>
              <w:marRight w:val="0"/>
              <w:marTop w:val="0"/>
              <w:marBottom w:val="0"/>
              <w:divBdr>
                <w:top w:val="none" w:sz="0" w:space="0" w:color="auto"/>
                <w:left w:val="none" w:sz="0" w:space="0" w:color="auto"/>
                <w:bottom w:val="none" w:sz="0" w:space="0" w:color="auto"/>
                <w:right w:val="none" w:sz="0" w:space="0" w:color="auto"/>
              </w:divBdr>
            </w:div>
            <w:div w:id="906721129">
              <w:marLeft w:val="0"/>
              <w:marRight w:val="0"/>
              <w:marTop w:val="0"/>
              <w:marBottom w:val="0"/>
              <w:divBdr>
                <w:top w:val="none" w:sz="0" w:space="0" w:color="auto"/>
                <w:left w:val="none" w:sz="0" w:space="0" w:color="auto"/>
                <w:bottom w:val="none" w:sz="0" w:space="0" w:color="auto"/>
                <w:right w:val="none" w:sz="0" w:space="0" w:color="auto"/>
              </w:divBdr>
            </w:div>
            <w:div w:id="1178933207">
              <w:marLeft w:val="0"/>
              <w:marRight w:val="0"/>
              <w:marTop w:val="0"/>
              <w:marBottom w:val="0"/>
              <w:divBdr>
                <w:top w:val="none" w:sz="0" w:space="0" w:color="auto"/>
                <w:left w:val="none" w:sz="0" w:space="0" w:color="auto"/>
                <w:bottom w:val="none" w:sz="0" w:space="0" w:color="auto"/>
                <w:right w:val="none" w:sz="0" w:space="0" w:color="auto"/>
              </w:divBdr>
            </w:div>
            <w:div w:id="1262294666">
              <w:marLeft w:val="0"/>
              <w:marRight w:val="0"/>
              <w:marTop w:val="0"/>
              <w:marBottom w:val="0"/>
              <w:divBdr>
                <w:top w:val="none" w:sz="0" w:space="0" w:color="auto"/>
                <w:left w:val="none" w:sz="0" w:space="0" w:color="auto"/>
                <w:bottom w:val="none" w:sz="0" w:space="0" w:color="auto"/>
                <w:right w:val="none" w:sz="0" w:space="0" w:color="auto"/>
              </w:divBdr>
            </w:div>
            <w:div w:id="1626546998">
              <w:marLeft w:val="0"/>
              <w:marRight w:val="0"/>
              <w:marTop w:val="0"/>
              <w:marBottom w:val="0"/>
              <w:divBdr>
                <w:top w:val="none" w:sz="0" w:space="0" w:color="auto"/>
                <w:left w:val="none" w:sz="0" w:space="0" w:color="auto"/>
                <w:bottom w:val="none" w:sz="0" w:space="0" w:color="auto"/>
                <w:right w:val="none" w:sz="0" w:space="0" w:color="auto"/>
              </w:divBdr>
            </w:div>
          </w:divsChild>
        </w:div>
        <w:div w:id="1448966324">
          <w:marLeft w:val="0"/>
          <w:marRight w:val="0"/>
          <w:marTop w:val="0"/>
          <w:marBottom w:val="0"/>
          <w:divBdr>
            <w:top w:val="none" w:sz="0" w:space="0" w:color="auto"/>
            <w:left w:val="none" w:sz="0" w:space="0" w:color="auto"/>
            <w:bottom w:val="none" w:sz="0" w:space="0" w:color="auto"/>
            <w:right w:val="none" w:sz="0" w:space="0" w:color="auto"/>
          </w:divBdr>
        </w:div>
      </w:divsChild>
    </w:div>
    <w:div w:id="1303849997">
      <w:bodyDiv w:val="1"/>
      <w:marLeft w:val="0"/>
      <w:marRight w:val="0"/>
      <w:marTop w:val="0"/>
      <w:marBottom w:val="0"/>
      <w:divBdr>
        <w:top w:val="none" w:sz="0" w:space="0" w:color="auto"/>
        <w:left w:val="none" w:sz="0" w:space="0" w:color="auto"/>
        <w:bottom w:val="none" w:sz="0" w:space="0" w:color="auto"/>
        <w:right w:val="none" w:sz="0" w:space="0" w:color="auto"/>
      </w:divBdr>
      <w:divsChild>
        <w:div w:id="486822156">
          <w:marLeft w:val="0"/>
          <w:marRight w:val="0"/>
          <w:marTop w:val="0"/>
          <w:marBottom w:val="0"/>
          <w:divBdr>
            <w:top w:val="none" w:sz="0" w:space="0" w:color="auto"/>
            <w:left w:val="none" w:sz="0" w:space="0" w:color="auto"/>
            <w:bottom w:val="none" w:sz="0" w:space="0" w:color="auto"/>
            <w:right w:val="none" w:sz="0" w:space="0" w:color="auto"/>
          </w:divBdr>
        </w:div>
        <w:div w:id="671295020">
          <w:marLeft w:val="0"/>
          <w:marRight w:val="0"/>
          <w:marTop w:val="0"/>
          <w:marBottom w:val="0"/>
          <w:divBdr>
            <w:top w:val="none" w:sz="0" w:space="0" w:color="auto"/>
            <w:left w:val="none" w:sz="0" w:space="0" w:color="auto"/>
            <w:bottom w:val="none" w:sz="0" w:space="0" w:color="auto"/>
            <w:right w:val="none" w:sz="0" w:space="0" w:color="auto"/>
          </w:divBdr>
        </w:div>
        <w:div w:id="1424298171">
          <w:marLeft w:val="0"/>
          <w:marRight w:val="0"/>
          <w:marTop w:val="0"/>
          <w:marBottom w:val="0"/>
          <w:divBdr>
            <w:top w:val="none" w:sz="0" w:space="0" w:color="auto"/>
            <w:left w:val="none" w:sz="0" w:space="0" w:color="auto"/>
            <w:bottom w:val="none" w:sz="0" w:space="0" w:color="auto"/>
            <w:right w:val="none" w:sz="0" w:space="0" w:color="auto"/>
          </w:divBdr>
        </w:div>
        <w:div w:id="1488278551">
          <w:marLeft w:val="0"/>
          <w:marRight w:val="0"/>
          <w:marTop w:val="0"/>
          <w:marBottom w:val="0"/>
          <w:divBdr>
            <w:top w:val="none" w:sz="0" w:space="0" w:color="auto"/>
            <w:left w:val="none" w:sz="0" w:space="0" w:color="auto"/>
            <w:bottom w:val="none" w:sz="0" w:space="0" w:color="auto"/>
            <w:right w:val="none" w:sz="0" w:space="0" w:color="auto"/>
          </w:divBdr>
        </w:div>
        <w:div w:id="1789659366">
          <w:marLeft w:val="0"/>
          <w:marRight w:val="0"/>
          <w:marTop w:val="0"/>
          <w:marBottom w:val="0"/>
          <w:divBdr>
            <w:top w:val="none" w:sz="0" w:space="0" w:color="auto"/>
            <w:left w:val="none" w:sz="0" w:space="0" w:color="auto"/>
            <w:bottom w:val="none" w:sz="0" w:space="0" w:color="auto"/>
            <w:right w:val="none" w:sz="0" w:space="0" w:color="auto"/>
          </w:divBdr>
        </w:div>
        <w:div w:id="1813478753">
          <w:marLeft w:val="0"/>
          <w:marRight w:val="0"/>
          <w:marTop w:val="0"/>
          <w:marBottom w:val="0"/>
          <w:divBdr>
            <w:top w:val="none" w:sz="0" w:space="0" w:color="auto"/>
            <w:left w:val="none" w:sz="0" w:space="0" w:color="auto"/>
            <w:bottom w:val="none" w:sz="0" w:space="0" w:color="auto"/>
            <w:right w:val="none" w:sz="0" w:space="0" w:color="auto"/>
          </w:divBdr>
        </w:div>
        <w:div w:id="2073383644">
          <w:marLeft w:val="0"/>
          <w:marRight w:val="0"/>
          <w:marTop w:val="0"/>
          <w:marBottom w:val="0"/>
          <w:divBdr>
            <w:top w:val="none" w:sz="0" w:space="0" w:color="auto"/>
            <w:left w:val="none" w:sz="0" w:space="0" w:color="auto"/>
            <w:bottom w:val="none" w:sz="0" w:space="0" w:color="auto"/>
            <w:right w:val="none" w:sz="0" w:space="0" w:color="auto"/>
          </w:divBdr>
        </w:div>
      </w:divsChild>
    </w:div>
    <w:div w:id="1324505987">
      <w:bodyDiv w:val="1"/>
      <w:marLeft w:val="0"/>
      <w:marRight w:val="0"/>
      <w:marTop w:val="0"/>
      <w:marBottom w:val="0"/>
      <w:divBdr>
        <w:top w:val="none" w:sz="0" w:space="0" w:color="auto"/>
        <w:left w:val="none" w:sz="0" w:space="0" w:color="auto"/>
        <w:bottom w:val="none" w:sz="0" w:space="0" w:color="auto"/>
        <w:right w:val="none" w:sz="0" w:space="0" w:color="auto"/>
      </w:divBdr>
      <w:divsChild>
        <w:div w:id="289476556">
          <w:marLeft w:val="0"/>
          <w:marRight w:val="0"/>
          <w:marTop w:val="0"/>
          <w:marBottom w:val="0"/>
          <w:divBdr>
            <w:top w:val="none" w:sz="0" w:space="0" w:color="auto"/>
            <w:left w:val="none" w:sz="0" w:space="0" w:color="auto"/>
            <w:bottom w:val="none" w:sz="0" w:space="0" w:color="auto"/>
            <w:right w:val="none" w:sz="0" w:space="0" w:color="auto"/>
          </w:divBdr>
          <w:divsChild>
            <w:div w:id="1000960908">
              <w:marLeft w:val="0"/>
              <w:marRight w:val="0"/>
              <w:marTop w:val="0"/>
              <w:marBottom w:val="0"/>
              <w:divBdr>
                <w:top w:val="none" w:sz="0" w:space="0" w:color="auto"/>
                <w:left w:val="none" w:sz="0" w:space="0" w:color="auto"/>
                <w:bottom w:val="none" w:sz="0" w:space="0" w:color="auto"/>
                <w:right w:val="none" w:sz="0" w:space="0" w:color="auto"/>
              </w:divBdr>
            </w:div>
            <w:div w:id="1286810791">
              <w:marLeft w:val="0"/>
              <w:marRight w:val="0"/>
              <w:marTop w:val="0"/>
              <w:marBottom w:val="0"/>
              <w:divBdr>
                <w:top w:val="none" w:sz="0" w:space="0" w:color="auto"/>
                <w:left w:val="none" w:sz="0" w:space="0" w:color="auto"/>
                <w:bottom w:val="none" w:sz="0" w:space="0" w:color="auto"/>
                <w:right w:val="none" w:sz="0" w:space="0" w:color="auto"/>
              </w:divBdr>
            </w:div>
            <w:div w:id="1720664417">
              <w:marLeft w:val="0"/>
              <w:marRight w:val="0"/>
              <w:marTop w:val="0"/>
              <w:marBottom w:val="0"/>
              <w:divBdr>
                <w:top w:val="none" w:sz="0" w:space="0" w:color="auto"/>
                <w:left w:val="none" w:sz="0" w:space="0" w:color="auto"/>
                <w:bottom w:val="none" w:sz="0" w:space="0" w:color="auto"/>
                <w:right w:val="none" w:sz="0" w:space="0" w:color="auto"/>
              </w:divBdr>
            </w:div>
            <w:div w:id="1922638049">
              <w:marLeft w:val="0"/>
              <w:marRight w:val="0"/>
              <w:marTop w:val="0"/>
              <w:marBottom w:val="0"/>
              <w:divBdr>
                <w:top w:val="none" w:sz="0" w:space="0" w:color="auto"/>
                <w:left w:val="none" w:sz="0" w:space="0" w:color="auto"/>
                <w:bottom w:val="none" w:sz="0" w:space="0" w:color="auto"/>
                <w:right w:val="none" w:sz="0" w:space="0" w:color="auto"/>
              </w:divBdr>
            </w:div>
          </w:divsChild>
        </w:div>
        <w:div w:id="416051737">
          <w:marLeft w:val="0"/>
          <w:marRight w:val="0"/>
          <w:marTop w:val="0"/>
          <w:marBottom w:val="0"/>
          <w:divBdr>
            <w:top w:val="none" w:sz="0" w:space="0" w:color="auto"/>
            <w:left w:val="none" w:sz="0" w:space="0" w:color="auto"/>
            <w:bottom w:val="none" w:sz="0" w:space="0" w:color="auto"/>
            <w:right w:val="none" w:sz="0" w:space="0" w:color="auto"/>
          </w:divBdr>
        </w:div>
        <w:div w:id="452601236">
          <w:marLeft w:val="0"/>
          <w:marRight w:val="0"/>
          <w:marTop w:val="0"/>
          <w:marBottom w:val="0"/>
          <w:divBdr>
            <w:top w:val="none" w:sz="0" w:space="0" w:color="auto"/>
            <w:left w:val="none" w:sz="0" w:space="0" w:color="auto"/>
            <w:bottom w:val="none" w:sz="0" w:space="0" w:color="auto"/>
            <w:right w:val="none" w:sz="0" w:space="0" w:color="auto"/>
          </w:divBdr>
        </w:div>
        <w:div w:id="1742171004">
          <w:marLeft w:val="0"/>
          <w:marRight w:val="0"/>
          <w:marTop w:val="0"/>
          <w:marBottom w:val="0"/>
          <w:divBdr>
            <w:top w:val="none" w:sz="0" w:space="0" w:color="auto"/>
            <w:left w:val="none" w:sz="0" w:space="0" w:color="auto"/>
            <w:bottom w:val="none" w:sz="0" w:space="0" w:color="auto"/>
            <w:right w:val="none" w:sz="0" w:space="0" w:color="auto"/>
          </w:divBdr>
        </w:div>
      </w:divsChild>
    </w:div>
    <w:div w:id="1336807500">
      <w:bodyDiv w:val="1"/>
      <w:marLeft w:val="0"/>
      <w:marRight w:val="0"/>
      <w:marTop w:val="0"/>
      <w:marBottom w:val="0"/>
      <w:divBdr>
        <w:top w:val="none" w:sz="0" w:space="0" w:color="auto"/>
        <w:left w:val="none" w:sz="0" w:space="0" w:color="auto"/>
        <w:bottom w:val="none" w:sz="0" w:space="0" w:color="auto"/>
        <w:right w:val="none" w:sz="0" w:space="0" w:color="auto"/>
      </w:divBdr>
      <w:divsChild>
        <w:div w:id="201408219">
          <w:marLeft w:val="0"/>
          <w:marRight w:val="0"/>
          <w:marTop w:val="0"/>
          <w:marBottom w:val="0"/>
          <w:divBdr>
            <w:top w:val="none" w:sz="0" w:space="0" w:color="auto"/>
            <w:left w:val="none" w:sz="0" w:space="0" w:color="auto"/>
            <w:bottom w:val="none" w:sz="0" w:space="0" w:color="auto"/>
            <w:right w:val="none" w:sz="0" w:space="0" w:color="auto"/>
          </w:divBdr>
        </w:div>
        <w:div w:id="232547552">
          <w:marLeft w:val="0"/>
          <w:marRight w:val="0"/>
          <w:marTop w:val="0"/>
          <w:marBottom w:val="0"/>
          <w:divBdr>
            <w:top w:val="none" w:sz="0" w:space="0" w:color="auto"/>
            <w:left w:val="none" w:sz="0" w:space="0" w:color="auto"/>
            <w:bottom w:val="none" w:sz="0" w:space="0" w:color="auto"/>
            <w:right w:val="none" w:sz="0" w:space="0" w:color="auto"/>
          </w:divBdr>
        </w:div>
        <w:div w:id="868491425">
          <w:marLeft w:val="0"/>
          <w:marRight w:val="0"/>
          <w:marTop w:val="0"/>
          <w:marBottom w:val="0"/>
          <w:divBdr>
            <w:top w:val="none" w:sz="0" w:space="0" w:color="auto"/>
            <w:left w:val="none" w:sz="0" w:space="0" w:color="auto"/>
            <w:bottom w:val="none" w:sz="0" w:space="0" w:color="auto"/>
            <w:right w:val="none" w:sz="0" w:space="0" w:color="auto"/>
          </w:divBdr>
        </w:div>
        <w:div w:id="873005145">
          <w:marLeft w:val="0"/>
          <w:marRight w:val="0"/>
          <w:marTop w:val="0"/>
          <w:marBottom w:val="0"/>
          <w:divBdr>
            <w:top w:val="none" w:sz="0" w:space="0" w:color="auto"/>
            <w:left w:val="none" w:sz="0" w:space="0" w:color="auto"/>
            <w:bottom w:val="none" w:sz="0" w:space="0" w:color="auto"/>
            <w:right w:val="none" w:sz="0" w:space="0" w:color="auto"/>
          </w:divBdr>
        </w:div>
        <w:div w:id="919216949">
          <w:marLeft w:val="0"/>
          <w:marRight w:val="0"/>
          <w:marTop w:val="0"/>
          <w:marBottom w:val="0"/>
          <w:divBdr>
            <w:top w:val="none" w:sz="0" w:space="0" w:color="auto"/>
            <w:left w:val="none" w:sz="0" w:space="0" w:color="auto"/>
            <w:bottom w:val="none" w:sz="0" w:space="0" w:color="auto"/>
            <w:right w:val="none" w:sz="0" w:space="0" w:color="auto"/>
          </w:divBdr>
        </w:div>
        <w:div w:id="995571749">
          <w:marLeft w:val="0"/>
          <w:marRight w:val="0"/>
          <w:marTop w:val="0"/>
          <w:marBottom w:val="0"/>
          <w:divBdr>
            <w:top w:val="none" w:sz="0" w:space="0" w:color="auto"/>
            <w:left w:val="none" w:sz="0" w:space="0" w:color="auto"/>
            <w:bottom w:val="none" w:sz="0" w:space="0" w:color="auto"/>
            <w:right w:val="none" w:sz="0" w:space="0" w:color="auto"/>
          </w:divBdr>
        </w:div>
        <w:div w:id="1522010788">
          <w:marLeft w:val="0"/>
          <w:marRight w:val="0"/>
          <w:marTop w:val="0"/>
          <w:marBottom w:val="0"/>
          <w:divBdr>
            <w:top w:val="none" w:sz="0" w:space="0" w:color="auto"/>
            <w:left w:val="none" w:sz="0" w:space="0" w:color="auto"/>
            <w:bottom w:val="none" w:sz="0" w:space="0" w:color="auto"/>
            <w:right w:val="none" w:sz="0" w:space="0" w:color="auto"/>
          </w:divBdr>
        </w:div>
        <w:div w:id="1603537592">
          <w:marLeft w:val="0"/>
          <w:marRight w:val="0"/>
          <w:marTop w:val="0"/>
          <w:marBottom w:val="0"/>
          <w:divBdr>
            <w:top w:val="none" w:sz="0" w:space="0" w:color="auto"/>
            <w:left w:val="none" w:sz="0" w:space="0" w:color="auto"/>
            <w:bottom w:val="none" w:sz="0" w:space="0" w:color="auto"/>
            <w:right w:val="none" w:sz="0" w:space="0" w:color="auto"/>
          </w:divBdr>
        </w:div>
        <w:div w:id="1605727555">
          <w:marLeft w:val="0"/>
          <w:marRight w:val="0"/>
          <w:marTop w:val="0"/>
          <w:marBottom w:val="0"/>
          <w:divBdr>
            <w:top w:val="none" w:sz="0" w:space="0" w:color="auto"/>
            <w:left w:val="none" w:sz="0" w:space="0" w:color="auto"/>
            <w:bottom w:val="none" w:sz="0" w:space="0" w:color="auto"/>
            <w:right w:val="none" w:sz="0" w:space="0" w:color="auto"/>
          </w:divBdr>
        </w:div>
        <w:div w:id="1658656361">
          <w:marLeft w:val="0"/>
          <w:marRight w:val="0"/>
          <w:marTop w:val="0"/>
          <w:marBottom w:val="0"/>
          <w:divBdr>
            <w:top w:val="none" w:sz="0" w:space="0" w:color="auto"/>
            <w:left w:val="none" w:sz="0" w:space="0" w:color="auto"/>
            <w:bottom w:val="none" w:sz="0" w:space="0" w:color="auto"/>
            <w:right w:val="none" w:sz="0" w:space="0" w:color="auto"/>
          </w:divBdr>
        </w:div>
        <w:div w:id="1662006058">
          <w:marLeft w:val="0"/>
          <w:marRight w:val="0"/>
          <w:marTop w:val="0"/>
          <w:marBottom w:val="0"/>
          <w:divBdr>
            <w:top w:val="none" w:sz="0" w:space="0" w:color="auto"/>
            <w:left w:val="none" w:sz="0" w:space="0" w:color="auto"/>
            <w:bottom w:val="none" w:sz="0" w:space="0" w:color="auto"/>
            <w:right w:val="none" w:sz="0" w:space="0" w:color="auto"/>
          </w:divBdr>
        </w:div>
        <w:div w:id="1847594819">
          <w:marLeft w:val="0"/>
          <w:marRight w:val="0"/>
          <w:marTop w:val="0"/>
          <w:marBottom w:val="0"/>
          <w:divBdr>
            <w:top w:val="none" w:sz="0" w:space="0" w:color="auto"/>
            <w:left w:val="none" w:sz="0" w:space="0" w:color="auto"/>
            <w:bottom w:val="none" w:sz="0" w:space="0" w:color="auto"/>
            <w:right w:val="none" w:sz="0" w:space="0" w:color="auto"/>
          </w:divBdr>
        </w:div>
        <w:div w:id="2012567347">
          <w:marLeft w:val="0"/>
          <w:marRight w:val="0"/>
          <w:marTop w:val="0"/>
          <w:marBottom w:val="0"/>
          <w:divBdr>
            <w:top w:val="none" w:sz="0" w:space="0" w:color="auto"/>
            <w:left w:val="none" w:sz="0" w:space="0" w:color="auto"/>
            <w:bottom w:val="none" w:sz="0" w:space="0" w:color="auto"/>
            <w:right w:val="none" w:sz="0" w:space="0" w:color="auto"/>
          </w:divBdr>
        </w:div>
        <w:div w:id="2131362487">
          <w:marLeft w:val="0"/>
          <w:marRight w:val="0"/>
          <w:marTop w:val="0"/>
          <w:marBottom w:val="0"/>
          <w:divBdr>
            <w:top w:val="none" w:sz="0" w:space="0" w:color="auto"/>
            <w:left w:val="none" w:sz="0" w:space="0" w:color="auto"/>
            <w:bottom w:val="none" w:sz="0" w:space="0" w:color="auto"/>
            <w:right w:val="none" w:sz="0" w:space="0" w:color="auto"/>
          </w:divBdr>
          <w:divsChild>
            <w:div w:id="115878431">
              <w:marLeft w:val="-75"/>
              <w:marRight w:val="0"/>
              <w:marTop w:val="30"/>
              <w:marBottom w:val="30"/>
              <w:divBdr>
                <w:top w:val="none" w:sz="0" w:space="0" w:color="auto"/>
                <w:left w:val="none" w:sz="0" w:space="0" w:color="auto"/>
                <w:bottom w:val="none" w:sz="0" w:space="0" w:color="auto"/>
                <w:right w:val="none" w:sz="0" w:space="0" w:color="auto"/>
              </w:divBdr>
              <w:divsChild>
                <w:div w:id="181550576">
                  <w:marLeft w:val="0"/>
                  <w:marRight w:val="0"/>
                  <w:marTop w:val="0"/>
                  <w:marBottom w:val="0"/>
                  <w:divBdr>
                    <w:top w:val="none" w:sz="0" w:space="0" w:color="auto"/>
                    <w:left w:val="none" w:sz="0" w:space="0" w:color="auto"/>
                    <w:bottom w:val="none" w:sz="0" w:space="0" w:color="auto"/>
                    <w:right w:val="none" w:sz="0" w:space="0" w:color="auto"/>
                  </w:divBdr>
                  <w:divsChild>
                    <w:div w:id="369383853">
                      <w:marLeft w:val="0"/>
                      <w:marRight w:val="0"/>
                      <w:marTop w:val="0"/>
                      <w:marBottom w:val="0"/>
                      <w:divBdr>
                        <w:top w:val="none" w:sz="0" w:space="0" w:color="auto"/>
                        <w:left w:val="none" w:sz="0" w:space="0" w:color="auto"/>
                        <w:bottom w:val="none" w:sz="0" w:space="0" w:color="auto"/>
                        <w:right w:val="none" w:sz="0" w:space="0" w:color="auto"/>
                      </w:divBdr>
                    </w:div>
                    <w:div w:id="1916668155">
                      <w:marLeft w:val="0"/>
                      <w:marRight w:val="0"/>
                      <w:marTop w:val="0"/>
                      <w:marBottom w:val="0"/>
                      <w:divBdr>
                        <w:top w:val="none" w:sz="0" w:space="0" w:color="auto"/>
                        <w:left w:val="none" w:sz="0" w:space="0" w:color="auto"/>
                        <w:bottom w:val="none" w:sz="0" w:space="0" w:color="auto"/>
                        <w:right w:val="none" w:sz="0" w:space="0" w:color="auto"/>
                      </w:divBdr>
                    </w:div>
                  </w:divsChild>
                </w:div>
                <w:div w:id="389422039">
                  <w:marLeft w:val="0"/>
                  <w:marRight w:val="0"/>
                  <w:marTop w:val="0"/>
                  <w:marBottom w:val="0"/>
                  <w:divBdr>
                    <w:top w:val="none" w:sz="0" w:space="0" w:color="auto"/>
                    <w:left w:val="none" w:sz="0" w:space="0" w:color="auto"/>
                    <w:bottom w:val="none" w:sz="0" w:space="0" w:color="auto"/>
                    <w:right w:val="none" w:sz="0" w:space="0" w:color="auto"/>
                  </w:divBdr>
                  <w:divsChild>
                    <w:div w:id="1078985235">
                      <w:marLeft w:val="0"/>
                      <w:marRight w:val="0"/>
                      <w:marTop w:val="0"/>
                      <w:marBottom w:val="0"/>
                      <w:divBdr>
                        <w:top w:val="none" w:sz="0" w:space="0" w:color="auto"/>
                        <w:left w:val="none" w:sz="0" w:space="0" w:color="auto"/>
                        <w:bottom w:val="none" w:sz="0" w:space="0" w:color="auto"/>
                        <w:right w:val="none" w:sz="0" w:space="0" w:color="auto"/>
                      </w:divBdr>
                    </w:div>
                  </w:divsChild>
                </w:div>
                <w:div w:id="1009216163">
                  <w:marLeft w:val="0"/>
                  <w:marRight w:val="0"/>
                  <w:marTop w:val="0"/>
                  <w:marBottom w:val="0"/>
                  <w:divBdr>
                    <w:top w:val="none" w:sz="0" w:space="0" w:color="auto"/>
                    <w:left w:val="none" w:sz="0" w:space="0" w:color="auto"/>
                    <w:bottom w:val="none" w:sz="0" w:space="0" w:color="auto"/>
                    <w:right w:val="none" w:sz="0" w:space="0" w:color="auto"/>
                  </w:divBdr>
                  <w:divsChild>
                    <w:div w:id="271396852">
                      <w:marLeft w:val="0"/>
                      <w:marRight w:val="0"/>
                      <w:marTop w:val="0"/>
                      <w:marBottom w:val="0"/>
                      <w:divBdr>
                        <w:top w:val="none" w:sz="0" w:space="0" w:color="auto"/>
                        <w:left w:val="none" w:sz="0" w:space="0" w:color="auto"/>
                        <w:bottom w:val="none" w:sz="0" w:space="0" w:color="auto"/>
                        <w:right w:val="none" w:sz="0" w:space="0" w:color="auto"/>
                      </w:divBdr>
                    </w:div>
                    <w:div w:id="952517494">
                      <w:marLeft w:val="0"/>
                      <w:marRight w:val="0"/>
                      <w:marTop w:val="0"/>
                      <w:marBottom w:val="0"/>
                      <w:divBdr>
                        <w:top w:val="none" w:sz="0" w:space="0" w:color="auto"/>
                        <w:left w:val="none" w:sz="0" w:space="0" w:color="auto"/>
                        <w:bottom w:val="none" w:sz="0" w:space="0" w:color="auto"/>
                        <w:right w:val="none" w:sz="0" w:space="0" w:color="auto"/>
                      </w:divBdr>
                    </w:div>
                  </w:divsChild>
                </w:div>
                <w:div w:id="1803890013">
                  <w:marLeft w:val="0"/>
                  <w:marRight w:val="0"/>
                  <w:marTop w:val="0"/>
                  <w:marBottom w:val="0"/>
                  <w:divBdr>
                    <w:top w:val="none" w:sz="0" w:space="0" w:color="auto"/>
                    <w:left w:val="none" w:sz="0" w:space="0" w:color="auto"/>
                    <w:bottom w:val="none" w:sz="0" w:space="0" w:color="auto"/>
                    <w:right w:val="none" w:sz="0" w:space="0" w:color="auto"/>
                  </w:divBdr>
                  <w:divsChild>
                    <w:div w:id="7112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528182">
      <w:bodyDiv w:val="1"/>
      <w:marLeft w:val="0"/>
      <w:marRight w:val="0"/>
      <w:marTop w:val="0"/>
      <w:marBottom w:val="0"/>
      <w:divBdr>
        <w:top w:val="none" w:sz="0" w:space="0" w:color="auto"/>
        <w:left w:val="none" w:sz="0" w:space="0" w:color="auto"/>
        <w:bottom w:val="none" w:sz="0" w:space="0" w:color="auto"/>
        <w:right w:val="none" w:sz="0" w:space="0" w:color="auto"/>
      </w:divBdr>
      <w:divsChild>
        <w:div w:id="141242216">
          <w:marLeft w:val="0"/>
          <w:marRight w:val="0"/>
          <w:marTop w:val="0"/>
          <w:marBottom w:val="0"/>
          <w:divBdr>
            <w:top w:val="none" w:sz="0" w:space="0" w:color="auto"/>
            <w:left w:val="none" w:sz="0" w:space="0" w:color="auto"/>
            <w:bottom w:val="none" w:sz="0" w:space="0" w:color="auto"/>
            <w:right w:val="none" w:sz="0" w:space="0" w:color="auto"/>
          </w:divBdr>
        </w:div>
        <w:div w:id="981082981">
          <w:marLeft w:val="0"/>
          <w:marRight w:val="0"/>
          <w:marTop w:val="0"/>
          <w:marBottom w:val="0"/>
          <w:divBdr>
            <w:top w:val="none" w:sz="0" w:space="0" w:color="auto"/>
            <w:left w:val="none" w:sz="0" w:space="0" w:color="auto"/>
            <w:bottom w:val="none" w:sz="0" w:space="0" w:color="auto"/>
            <w:right w:val="none" w:sz="0" w:space="0" w:color="auto"/>
          </w:divBdr>
        </w:div>
        <w:div w:id="999574071">
          <w:marLeft w:val="0"/>
          <w:marRight w:val="0"/>
          <w:marTop w:val="0"/>
          <w:marBottom w:val="0"/>
          <w:divBdr>
            <w:top w:val="none" w:sz="0" w:space="0" w:color="auto"/>
            <w:left w:val="none" w:sz="0" w:space="0" w:color="auto"/>
            <w:bottom w:val="none" w:sz="0" w:space="0" w:color="auto"/>
            <w:right w:val="none" w:sz="0" w:space="0" w:color="auto"/>
          </w:divBdr>
        </w:div>
        <w:div w:id="2124955045">
          <w:marLeft w:val="0"/>
          <w:marRight w:val="0"/>
          <w:marTop w:val="0"/>
          <w:marBottom w:val="0"/>
          <w:divBdr>
            <w:top w:val="none" w:sz="0" w:space="0" w:color="auto"/>
            <w:left w:val="none" w:sz="0" w:space="0" w:color="auto"/>
            <w:bottom w:val="none" w:sz="0" w:space="0" w:color="auto"/>
            <w:right w:val="none" w:sz="0" w:space="0" w:color="auto"/>
          </w:divBdr>
        </w:div>
      </w:divsChild>
    </w:div>
    <w:div w:id="1373455200">
      <w:bodyDiv w:val="1"/>
      <w:marLeft w:val="0"/>
      <w:marRight w:val="0"/>
      <w:marTop w:val="0"/>
      <w:marBottom w:val="0"/>
      <w:divBdr>
        <w:top w:val="none" w:sz="0" w:space="0" w:color="auto"/>
        <w:left w:val="none" w:sz="0" w:space="0" w:color="auto"/>
        <w:bottom w:val="none" w:sz="0" w:space="0" w:color="auto"/>
        <w:right w:val="none" w:sz="0" w:space="0" w:color="auto"/>
      </w:divBdr>
      <w:divsChild>
        <w:div w:id="189228557">
          <w:marLeft w:val="0"/>
          <w:marRight w:val="0"/>
          <w:marTop w:val="0"/>
          <w:marBottom w:val="0"/>
          <w:divBdr>
            <w:top w:val="none" w:sz="0" w:space="0" w:color="auto"/>
            <w:left w:val="none" w:sz="0" w:space="0" w:color="auto"/>
            <w:bottom w:val="none" w:sz="0" w:space="0" w:color="auto"/>
            <w:right w:val="none" w:sz="0" w:space="0" w:color="auto"/>
          </w:divBdr>
        </w:div>
        <w:div w:id="447352585">
          <w:marLeft w:val="0"/>
          <w:marRight w:val="0"/>
          <w:marTop w:val="0"/>
          <w:marBottom w:val="0"/>
          <w:divBdr>
            <w:top w:val="none" w:sz="0" w:space="0" w:color="auto"/>
            <w:left w:val="none" w:sz="0" w:space="0" w:color="auto"/>
            <w:bottom w:val="none" w:sz="0" w:space="0" w:color="auto"/>
            <w:right w:val="none" w:sz="0" w:space="0" w:color="auto"/>
          </w:divBdr>
        </w:div>
        <w:div w:id="544148575">
          <w:marLeft w:val="0"/>
          <w:marRight w:val="0"/>
          <w:marTop w:val="0"/>
          <w:marBottom w:val="0"/>
          <w:divBdr>
            <w:top w:val="none" w:sz="0" w:space="0" w:color="auto"/>
            <w:left w:val="none" w:sz="0" w:space="0" w:color="auto"/>
            <w:bottom w:val="none" w:sz="0" w:space="0" w:color="auto"/>
            <w:right w:val="none" w:sz="0" w:space="0" w:color="auto"/>
          </w:divBdr>
        </w:div>
        <w:div w:id="829980301">
          <w:marLeft w:val="0"/>
          <w:marRight w:val="0"/>
          <w:marTop w:val="0"/>
          <w:marBottom w:val="0"/>
          <w:divBdr>
            <w:top w:val="none" w:sz="0" w:space="0" w:color="auto"/>
            <w:left w:val="none" w:sz="0" w:space="0" w:color="auto"/>
            <w:bottom w:val="none" w:sz="0" w:space="0" w:color="auto"/>
            <w:right w:val="none" w:sz="0" w:space="0" w:color="auto"/>
          </w:divBdr>
        </w:div>
        <w:div w:id="975179477">
          <w:marLeft w:val="0"/>
          <w:marRight w:val="0"/>
          <w:marTop w:val="0"/>
          <w:marBottom w:val="0"/>
          <w:divBdr>
            <w:top w:val="none" w:sz="0" w:space="0" w:color="auto"/>
            <w:left w:val="none" w:sz="0" w:space="0" w:color="auto"/>
            <w:bottom w:val="none" w:sz="0" w:space="0" w:color="auto"/>
            <w:right w:val="none" w:sz="0" w:space="0" w:color="auto"/>
          </w:divBdr>
        </w:div>
        <w:div w:id="1271667524">
          <w:marLeft w:val="0"/>
          <w:marRight w:val="0"/>
          <w:marTop w:val="0"/>
          <w:marBottom w:val="0"/>
          <w:divBdr>
            <w:top w:val="none" w:sz="0" w:space="0" w:color="auto"/>
            <w:left w:val="none" w:sz="0" w:space="0" w:color="auto"/>
            <w:bottom w:val="none" w:sz="0" w:space="0" w:color="auto"/>
            <w:right w:val="none" w:sz="0" w:space="0" w:color="auto"/>
          </w:divBdr>
        </w:div>
        <w:div w:id="1439569672">
          <w:marLeft w:val="0"/>
          <w:marRight w:val="0"/>
          <w:marTop w:val="0"/>
          <w:marBottom w:val="0"/>
          <w:divBdr>
            <w:top w:val="none" w:sz="0" w:space="0" w:color="auto"/>
            <w:left w:val="none" w:sz="0" w:space="0" w:color="auto"/>
            <w:bottom w:val="none" w:sz="0" w:space="0" w:color="auto"/>
            <w:right w:val="none" w:sz="0" w:space="0" w:color="auto"/>
          </w:divBdr>
        </w:div>
        <w:div w:id="1851672977">
          <w:marLeft w:val="0"/>
          <w:marRight w:val="0"/>
          <w:marTop w:val="0"/>
          <w:marBottom w:val="0"/>
          <w:divBdr>
            <w:top w:val="none" w:sz="0" w:space="0" w:color="auto"/>
            <w:left w:val="none" w:sz="0" w:space="0" w:color="auto"/>
            <w:bottom w:val="none" w:sz="0" w:space="0" w:color="auto"/>
            <w:right w:val="none" w:sz="0" w:space="0" w:color="auto"/>
          </w:divBdr>
          <w:divsChild>
            <w:div w:id="753890862">
              <w:marLeft w:val="0"/>
              <w:marRight w:val="0"/>
              <w:marTop w:val="0"/>
              <w:marBottom w:val="0"/>
              <w:divBdr>
                <w:top w:val="none" w:sz="0" w:space="0" w:color="auto"/>
                <w:left w:val="none" w:sz="0" w:space="0" w:color="auto"/>
                <w:bottom w:val="none" w:sz="0" w:space="0" w:color="auto"/>
                <w:right w:val="none" w:sz="0" w:space="0" w:color="auto"/>
              </w:divBdr>
            </w:div>
            <w:div w:id="761413163">
              <w:marLeft w:val="0"/>
              <w:marRight w:val="0"/>
              <w:marTop w:val="0"/>
              <w:marBottom w:val="0"/>
              <w:divBdr>
                <w:top w:val="none" w:sz="0" w:space="0" w:color="auto"/>
                <w:left w:val="none" w:sz="0" w:space="0" w:color="auto"/>
                <w:bottom w:val="none" w:sz="0" w:space="0" w:color="auto"/>
                <w:right w:val="none" w:sz="0" w:space="0" w:color="auto"/>
              </w:divBdr>
            </w:div>
            <w:div w:id="1803115391">
              <w:marLeft w:val="0"/>
              <w:marRight w:val="0"/>
              <w:marTop w:val="0"/>
              <w:marBottom w:val="0"/>
              <w:divBdr>
                <w:top w:val="none" w:sz="0" w:space="0" w:color="auto"/>
                <w:left w:val="none" w:sz="0" w:space="0" w:color="auto"/>
                <w:bottom w:val="none" w:sz="0" w:space="0" w:color="auto"/>
                <w:right w:val="none" w:sz="0" w:space="0" w:color="auto"/>
              </w:divBdr>
            </w:div>
            <w:div w:id="1966694276">
              <w:marLeft w:val="0"/>
              <w:marRight w:val="0"/>
              <w:marTop w:val="0"/>
              <w:marBottom w:val="0"/>
              <w:divBdr>
                <w:top w:val="none" w:sz="0" w:space="0" w:color="auto"/>
                <w:left w:val="none" w:sz="0" w:space="0" w:color="auto"/>
                <w:bottom w:val="none" w:sz="0" w:space="0" w:color="auto"/>
                <w:right w:val="none" w:sz="0" w:space="0" w:color="auto"/>
              </w:divBdr>
            </w:div>
          </w:divsChild>
        </w:div>
        <w:div w:id="1926065892">
          <w:marLeft w:val="0"/>
          <w:marRight w:val="0"/>
          <w:marTop w:val="0"/>
          <w:marBottom w:val="0"/>
          <w:divBdr>
            <w:top w:val="none" w:sz="0" w:space="0" w:color="auto"/>
            <w:left w:val="none" w:sz="0" w:space="0" w:color="auto"/>
            <w:bottom w:val="none" w:sz="0" w:space="0" w:color="auto"/>
            <w:right w:val="none" w:sz="0" w:space="0" w:color="auto"/>
          </w:divBdr>
        </w:div>
        <w:div w:id="2146508957">
          <w:marLeft w:val="0"/>
          <w:marRight w:val="0"/>
          <w:marTop w:val="0"/>
          <w:marBottom w:val="0"/>
          <w:divBdr>
            <w:top w:val="none" w:sz="0" w:space="0" w:color="auto"/>
            <w:left w:val="none" w:sz="0" w:space="0" w:color="auto"/>
            <w:bottom w:val="none" w:sz="0" w:space="0" w:color="auto"/>
            <w:right w:val="none" w:sz="0" w:space="0" w:color="auto"/>
          </w:divBdr>
        </w:div>
      </w:divsChild>
    </w:div>
    <w:div w:id="1374692855">
      <w:bodyDiv w:val="1"/>
      <w:marLeft w:val="0"/>
      <w:marRight w:val="0"/>
      <w:marTop w:val="0"/>
      <w:marBottom w:val="0"/>
      <w:divBdr>
        <w:top w:val="none" w:sz="0" w:space="0" w:color="auto"/>
        <w:left w:val="none" w:sz="0" w:space="0" w:color="auto"/>
        <w:bottom w:val="none" w:sz="0" w:space="0" w:color="auto"/>
        <w:right w:val="none" w:sz="0" w:space="0" w:color="auto"/>
      </w:divBdr>
    </w:div>
    <w:div w:id="1384479316">
      <w:bodyDiv w:val="1"/>
      <w:marLeft w:val="0"/>
      <w:marRight w:val="0"/>
      <w:marTop w:val="0"/>
      <w:marBottom w:val="0"/>
      <w:divBdr>
        <w:top w:val="none" w:sz="0" w:space="0" w:color="auto"/>
        <w:left w:val="none" w:sz="0" w:space="0" w:color="auto"/>
        <w:bottom w:val="none" w:sz="0" w:space="0" w:color="auto"/>
        <w:right w:val="none" w:sz="0" w:space="0" w:color="auto"/>
      </w:divBdr>
      <w:divsChild>
        <w:div w:id="27265601">
          <w:marLeft w:val="0"/>
          <w:marRight w:val="0"/>
          <w:marTop w:val="0"/>
          <w:marBottom w:val="0"/>
          <w:divBdr>
            <w:top w:val="none" w:sz="0" w:space="0" w:color="auto"/>
            <w:left w:val="none" w:sz="0" w:space="0" w:color="auto"/>
            <w:bottom w:val="none" w:sz="0" w:space="0" w:color="auto"/>
            <w:right w:val="none" w:sz="0" w:space="0" w:color="auto"/>
          </w:divBdr>
        </w:div>
        <w:div w:id="321782639">
          <w:marLeft w:val="0"/>
          <w:marRight w:val="0"/>
          <w:marTop w:val="0"/>
          <w:marBottom w:val="0"/>
          <w:divBdr>
            <w:top w:val="none" w:sz="0" w:space="0" w:color="auto"/>
            <w:left w:val="none" w:sz="0" w:space="0" w:color="auto"/>
            <w:bottom w:val="none" w:sz="0" w:space="0" w:color="auto"/>
            <w:right w:val="none" w:sz="0" w:space="0" w:color="auto"/>
          </w:divBdr>
        </w:div>
        <w:div w:id="857474205">
          <w:marLeft w:val="0"/>
          <w:marRight w:val="0"/>
          <w:marTop w:val="0"/>
          <w:marBottom w:val="0"/>
          <w:divBdr>
            <w:top w:val="none" w:sz="0" w:space="0" w:color="auto"/>
            <w:left w:val="none" w:sz="0" w:space="0" w:color="auto"/>
            <w:bottom w:val="none" w:sz="0" w:space="0" w:color="auto"/>
            <w:right w:val="none" w:sz="0" w:space="0" w:color="auto"/>
          </w:divBdr>
        </w:div>
        <w:div w:id="1171136995">
          <w:marLeft w:val="0"/>
          <w:marRight w:val="0"/>
          <w:marTop w:val="0"/>
          <w:marBottom w:val="0"/>
          <w:divBdr>
            <w:top w:val="none" w:sz="0" w:space="0" w:color="auto"/>
            <w:left w:val="none" w:sz="0" w:space="0" w:color="auto"/>
            <w:bottom w:val="none" w:sz="0" w:space="0" w:color="auto"/>
            <w:right w:val="none" w:sz="0" w:space="0" w:color="auto"/>
          </w:divBdr>
        </w:div>
        <w:div w:id="1958637677">
          <w:marLeft w:val="0"/>
          <w:marRight w:val="0"/>
          <w:marTop w:val="0"/>
          <w:marBottom w:val="0"/>
          <w:divBdr>
            <w:top w:val="none" w:sz="0" w:space="0" w:color="auto"/>
            <w:left w:val="none" w:sz="0" w:space="0" w:color="auto"/>
            <w:bottom w:val="none" w:sz="0" w:space="0" w:color="auto"/>
            <w:right w:val="none" w:sz="0" w:space="0" w:color="auto"/>
          </w:divBdr>
        </w:div>
        <w:div w:id="1984849166">
          <w:marLeft w:val="0"/>
          <w:marRight w:val="0"/>
          <w:marTop w:val="0"/>
          <w:marBottom w:val="0"/>
          <w:divBdr>
            <w:top w:val="none" w:sz="0" w:space="0" w:color="auto"/>
            <w:left w:val="none" w:sz="0" w:space="0" w:color="auto"/>
            <w:bottom w:val="none" w:sz="0" w:space="0" w:color="auto"/>
            <w:right w:val="none" w:sz="0" w:space="0" w:color="auto"/>
          </w:divBdr>
        </w:div>
        <w:div w:id="2120371220">
          <w:marLeft w:val="0"/>
          <w:marRight w:val="0"/>
          <w:marTop w:val="0"/>
          <w:marBottom w:val="0"/>
          <w:divBdr>
            <w:top w:val="none" w:sz="0" w:space="0" w:color="auto"/>
            <w:left w:val="none" w:sz="0" w:space="0" w:color="auto"/>
            <w:bottom w:val="none" w:sz="0" w:space="0" w:color="auto"/>
            <w:right w:val="none" w:sz="0" w:space="0" w:color="auto"/>
          </w:divBdr>
        </w:div>
      </w:divsChild>
    </w:div>
    <w:div w:id="1387796873">
      <w:bodyDiv w:val="1"/>
      <w:marLeft w:val="0"/>
      <w:marRight w:val="0"/>
      <w:marTop w:val="0"/>
      <w:marBottom w:val="0"/>
      <w:divBdr>
        <w:top w:val="none" w:sz="0" w:space="0" w:color="auto"/>
        <w:left w:val="none" w:sz="0" w:space="0" w:color="auto"/>
        <w:bottom w:val="none" w:sz="0" w:space="0" w:color="auto"/>
        <w:right w:val="none" w:sz="0" w:space="0" w:color="auto"/>
      </w:divBdr>
      <w:divsChild>
        <w:div w:id="255526244">
          <w:marLeft w:val="0"/>
          <w:marRight w:val="0"/>
          <w:marTop w:val="0"/>
          <w:marBottom w:val="0"/>
          <w:divBdr>
            <w:top w:val="none" w:sz="0" w:space="0" w:color="auto"/>
            <w:left w:val="none" w:sz="0" w:space="0" w:color="auto"/>
            <w:bottom w:val="none" w:sz="0" w:space="0" w:color="auto"/>
            <w:right w:val="none" w:sz="0" w:space="0" w:color="auto"/>
          </w:divBdr>
        </w:div>
        <w:div w:id="319771835">
          <w:marLeft w:val="0"/>
          <w:marRight w:val="0"/>
          <w:marTop w:val="0"/>
          <w:marBottom w:val="0"/>
          <w:divBdr>
            <w:top w:val="none" w:sz="0" w:space="0" w:color="auto"/>
            <w:left w:val="none" w:sz="0" w:space="0" w:color="auto"/>
            <w:bottom w:val="none" w:sz="0" w:space="0" w:color="auto"/>
            <w:right w:val="none" w:sz="0" w:space="0" w:color="auto"/>
          </w:divBdr>
        </w:div>
        <w:div w:id="528567350">
          <w:marLeft w:val="0"/>
          <w:marRight w:val="0"/>
          <w:marTop w:val="0"/>
          <w:marBottom w:val="0"/>
          <w:divBdr>
            <w:top w:val="none" w:sz="0" w:space="0" w:color="auto"/>
            <w:left w:val="none" w:sz="0" w:space="0" w:color="auto"/>
            <w:bottom w:val="none" w:sz="0" w:space="0" w:color="auto"/>
            <w:right w:val="none" w:sz="0" w:space="0" w:color="auto"/>
          </w:divBdr>
        </w:div>
        <w:div w:id="676730120">
          <w:marLeft w:val="0"/>
          <w:marRight w:val="0"/>
          <w:marTop w:val="0"/>
          <w:marBottom w:val="0"/>
          <w:divBdr>
            <w:top w:val="none" w:sz="0" w:space="0" w:color="auto"/>
            <w:left w:val="none" w:sz="0" w:space="0" w:color="auto"/>
            <w:bottom w:val="none" w:sz="0" w:space="0" w:color="auto"/>
            <w:right w:val="none" w:sz="0" w:space="0" w:color="auto"/>
          </w:divBdr>
        </w:div>
        <w:div w:id="986515163">
          <w:marLeft w:val="0"/>
          <w:marRight w:val="0"/>
          <w:marTop w:val="0"/>
          <w:marBottom w:val="0"/>
          <w:divBdr>
            <w:top w:val="none" w:sz="0" w:space="0" w:color="auto"/>
            <w:left w:val="none" w:sz="0" w:space="0" w:color="auto"/>
            <w:bottom w:val="none" w:sz="0" w:space="0" w:color="auto"/>
            <w:right w:val="none" w:sz="0" w:space="0" w:color="auto"/>
          </w:divBdr>
        </w:div>
        <w:div w:id="1349454653">
          <w:marLeft w:val="0"/>
          <w:marRight w:val="0"/>
          <w:marTop w:val="0"/>
          <w:marBottom w:val="0"/>
          <w:divBdr>
            <w:top w:val="none" w:sz="0" w:space="0" w:color="auto"/>
            <w:left w:val="none" w:sz="0" w:space="0" w:color="auto"/>
            <w:bottom w:val="none" w:sz="0" w:space="0" w:color="auto"/>
            <w:right w:val="none" w:sz="0" w:space="0" w:color="auto"/>
          </w:divBdr>
        </w:div>
        <w:div w:id="1401948025">
          <w:marLeft w:val="0"/>
          <w:marRight w:val="0"/>
          <w:marTop w:val="0"/>
          <w:marBottom w:val="0"/>
          <w:divBdr>
            <w:top w:val="none" w:sz="0" w:space="0" w:color="auto"/>
            <w:left w:val="none" w:sz="0" w:space="0" w:color="auto"/>
            <w:bottom w:val="none" w:sz="0" w:space="0" w:color="auto"/>
            <w:right w:val="none" w:sz="0" w:space="0" w:color="auto"/>
          </w:divBdr>
        </w:div>
        <w:div w:id="1591354694">
          <w:marLeft w:val="0"/>
          <w:marRight w:val="0"/>
          <w:marTop w:val="0"/>
          <w:marBottom w:val="0"/>
          <w:divBdr>
            <w:top w:val="none" w:sz="0" w:space="0" w:color="auto"/>
            <w:left w:val="none" w:sz="0" w:space="0" w:color="auto"/>
            <w:bottom w:val="none" w:sz="0" w:space="0" w:color="auto"/>
            <w:right w:val="none" w:sz="0" w:space="0" w:color="auto"/>
          </w:divBdr>
        </w:div>
        <w:div w:id="1876654541">
          <w:marLeft w:val="0"/>
          <w:marRight w:val="0"/>
          <w:marTop w:val="0"/>
          <w:marBottom w:val="0"/>
          <w:divBdr>
            <w:top w:val="none" w:sz="0" w:space="0" w:color="auto"/>
            <w:left w:val="none" w:sz="0" w:space="0" w:color="auto"/>
            <w:bottom w:val="none" w:sz="0" w:space="0" w:color="auto"/>
            <w:right w:val="none" w:sz="0" w:space="0" w:color="auto"/>
          </w:divBdr>
        </w:div>
      </w:divsChild>
    </w:div>
    <w:div w:id="1405638389">
      <w:bodyDiv w:val="1"/>
      <w:marLeft w:val="0"/>
      <w:marRight w:val="0"/>
      <w:marTop w:val="0"/>
      <w:marBottom w:val="0"/>
      <w:divBdr>
        <w:top w:val="none" w:sz="0" w:space="0" w:color="auto"/>
        <w:left w:val="none" w:sz="0" w:space="0" w:color="auto"/>
        <w:bottom w:val="none" w:sz="0" w:space="0" w:color="auto"/>
        <w:right w:val="none" w:sz="0" w:space="0" w:color="auto"/>
      </w:divBdr>
      <w:divsChild>
        <w:div w:id="680081464">
          <w:marLeft w:val="0"/>
          <w:marRight w:val="0"/>
          <w:marTop w:val="0"/>
          <w:marBottom w:val="0"/>
          <w:divBdr>
            <w:top w:val="none" w:sz="0" w:space="0" w:color="auto"/>
            <w:left w:val="none" w:sz="0" w:space="0" w:color="auto"/>
            <w:bottom w:val="none" w:sz="0" w:space="0" w:color="auto"/>
            <w:right w:val="none" w:sz="0" w:space="0" w:color="auto"/>
          </w:divBdr>
        </w:div>
        <w:div w:id="1698770621">
          <w:marLeft w:val="0"/>
          <w:marRight w:val="0"/>
          <w:marTop w:val="0"/>
          <w:marBottom w:val="0"/>
          <w:divBdr>
            <w:top w:val="none" w:sz="0" w:space="0" w:color="auto"/>
            <w:left w:val="none" w:sz="0" w:space="0" w:color="auto"/>
            <w:bottom w:val="none" w:sz="0" w:space="0" w:color="auto"/>
            <w:right w:val="none" w:sz="0" w:space="0" w:color="auto"/>
          </w:divBdr>
        </w:div>
      </w:divsChild>
    </w:div>
    <w:div w:id="1426417044">
      <w:bodyDiv w:val="1"/>
      <w:marLeft w:val="0"/>
      <w:marRight w:val="0"/>
      <w:marTop w:val="0"/>
      <w:marBottom w:val="0"/>
      <w:divBdr>
        <w:top w:val="none" w:sz="0" w:space="0" w:color="auto"/>
        <w:left w:val="none" w:sz="0" w:space="0" w:color="auto"/>
        <w:bottom w:val="none" w:sz="0" w:space="0" w:color="auto"/>
        <w:right w:val="none" w:sz="0" w:space="0" w:color="auto"/>
      </w:divBdr>
      <w:divsChild>
        <w:div w:id="106700882">
          <w:marLeft w:val="0"/>
          <w:marRight w:val="0"/>
          <w:marTop w:val="0"/>
          <w:marBottom w:val="0"/>
          <w:divBdr>
            <w:top w:val="none" w:sz="0" w:space="0" w:color="auto"/>
            <w:left w:val="none" w:sz="0" w:space="0" w:color="auto"/>
            <w:bottom w:val="none" w:sz="0" w:space="0" w:color="auto"/>
            <w:right w:val="none" w:sz="0" w:space="0" w:color="auto"/>
          </w:divBdr>
        </w:div>
        <w:div w:id="198666678">
          <w:marLeft w:val="0"/>
          <w:marRight w:val="0"/>
          <w:marTop w:val="0"/>
          <w:marBottom w:val="0"/>
          <w:divBdr>
            <w:top w:val="none" w:sz="0" w:space="0" w:color="auto"/>
            <w:left w:val="none" w:sz="0" w:space="0" w:color="auto"/>
            <w:bottom w:val="none" w:sz="0" w:space="0" w:color="auto"/>
            <w:right w:val="none" w:sz="0" w:space="0" w:color="auto"/>
          </w:divBdr>
        </w:div>
        <w:div w:id="473062652">
          <w:marLeft w:val="0"/>
          <w:marRight w:val="0"/>
          <w:marTop w:val="0"/>
          <w:marBottom w:val="0"/>
          <w:divBdr>
            <w:top w:val="none" w:sz="0" w:space="0" w:color="auto"/>
            <w:left w:val="none" w:sz="0" w:space="0" w:color="auto"/>
            <w:bottom w:val="none" w:sz="0" w:space="0" w:color="auto"/>
            <w:right w:val="none" w:sz="0" w:space="0" w:color="auto"/>
          </w:divBdr>
        </w:div>
        <w:div w:id="544755877">
          <w:marLeft w:val="0"/>
          <w:marRight w:val="0"/>
          <w:marTop w:val="0"/>
          <w:marBottom w:val="0"/>
          <w:divBdr>
            <w:top w:val="none" w:sz="0" w:space="0" w:color="auto"/>
            <w:left w:val="none" w:sz="0" w:space="0" w:color="auto"/>
            <w:bottom w:val="none" w:sz="0" w:space="0" w:color="auto"/>
            <w:right w:val="none" w:sz="0" w:space="0" w:color="auto"/>
          </w:divBdr>
        </w:div>
        <w:div w:id="887379849">
          <w:marLeft w:val="0"/>
          <w:marRight w:val="0"/>
          <w:marTop w:val="0"/>
          <w:marBottom w:val="0"/>
          <w:divBdr>
            <w:top w:val="none" w:sz="0" w:space="0" w:color="auto"/>
            <w:left w:val="none" w:sz="0" w:space="0" w:color="auto"/>
            <w:bottom w:val="none" w:sz="0" w:space="0" w:color="auto"/>
            <w:right w:val="none" w:sz="0" w:space="0" w:color="auto"/>
          </w:divBdr>
        </w:div>
        <w:div w:id="1019165675">
          <w:marLeft w:val="0"/>
          <w:marRight w:val="0"/>
          <w:marTop w:val="0"/>
          <w:marBottom w:val="0"/>
          <w:divBdr>
            <w:top w:val="none" w:sz="0" w:space="0" w:color="auto"/>
            <w:left w:val="none" w:sz="0" w:space="0" w:color="auto"/>
            <w:bottom w:val="none" w:sz="0" w:space="0" w:color="auto"/>
            <w:right w:val="none" w:sz="0" w:space="0" w:color="auto"/>
          </w:divBdr>
        </w:div>
        <w:div w:id="1065377852">
          <w:marLeft w:val="0"/>
          <w:marRight w:val="0"/>
          <w:marTop w:val="0"/>
          <w:marBottom w:val="0"/>
          <w:divBdr>
            <w:top w:val="none" w:sz="0" w:space="0" w:color="auto"/>
            <w:left w:val="none" w:sz="0" w:space="0" w:color="auto"/>
            <w:bottom w:val="none" w:sz="0" w:space="0" w:color="auto"/>
            <w:right w:val="none" w:sz="0" w:space="0" w:color="auto"/>
          </w:divBdr>
        </w:div>
        <w:div w:id="1145010705">
          <w:marLeft w:val="0"/>
          <w:marRight w:val="0"/>
          <w:marTop w:val="0"/>
          <w:marBottom w:val="0"/>
          <w:divBdr>
            <w:top w:val="none" w:sz="0" w:space="0" w:color="auto"/>
            <w:left w:val="none" w:sz="0" w:space="0" w:color="auto"/>
            <w:bottom w:val="none" w:sz="0" w:space="0" w:color="auto"/>
            <w:right w:val="none" w:sz="0" w:space="0" w:color="auto"/>
          </w:divBdr>
        </w:div>
        <w:div w:id="1195927095">
          <w:marLeft w:val="0"/>
          <w:marRight w:val="0"/>
          <w:marTop w:val="0"/>
          <w:marBottom w:val="0"/>
          <w:divBdr>
            <w:top w:val="none" w:sz="0" w:space="0" w:color="auto"/>
            <w:left w:val="none" w:sz="0" w:space="0" w:color="auto"/>
            <w:bottom w:val="none" w:sz="0" w:space="0" w:color="auto"/>
            <w:right w:val="none" w:sz="0" w:space="0" w:color="auto"/>
          </w:divBdr>
        </w:div>
        <w:div w:id="1656760915">
          <w:marLeft w:val="0"/>
          <w:marRight w:val="0"/>
          <w:marTop w:val="0"/>
          <w:marBottom w:val="0"/>
          <w:divBdr>
            <w:top w:val="none" w:sz="0" w:space="0" w:color="auto"/>
            <w:left w:val="none" w:sz="0" w:space="0" w:color="auto"/>
            <w:bottom w:val="none" w:sz="0" w:space="0" w:color="auto"/>
            <w:right w:val="none" w:sz="0" w:space="0" w:color="auto"/>
          </w:divBdr>
        </w:div>
        <w:div w:id="1840584433">
          <w:marLeft w:val="0"/>
          <w:marRight w:val="0"/>
          <w:marTop w:val="0"/>
          <w:marBottom w:val="0"/>
          <w:divBdr>
            <w:top w:val="none" w:sz="0" w:space="0" w:color="auto"/>
            <w:left w:val="none" w:sz="0" w:space="0" w:color="auto"/>
            <w:bottom w:val="none" w:sz="0" w:space="0" w:color="auto"/>
            <w:right w:val="none" w:sz="0" w:space="0" w:color="auto"/>
          </w:divBdr>
        </w:div>
        <w:div w:id="1874729787">
          <w:marLeft w:val="0"/>
          <w:marRight w:val="0"/>
          <w:marTop w:val="0"/>
          <w:marBottom w:val="0"/>
          <w:divBdr>
            <w:top w:val="none" w:sz="0" w:space="0" w:color="auto"/>
            <w:left w:val="none" w:sz="0" w:space="0" w:color="auto"/>
            <w:bottom w:val="none" w:sz="0" w:space="0" w:color="auto"/>
            <w:right w:val="none" w:sz="0" w:space="0" w:color="auto"/>
          </w:divBdr>
        </w:div>
        <w:div w:id="2099474108">
          <w:marLeft w:val="0"/>
          <w:marRight w:val="0"/>
          <w:marTop w:val="0"/>
          <w:marBottom w:val="0"/>
          <w:divBdr>
            <w:top w:val="none" w:sz="0" w:space="0" w:color="auto"/>
            <w:left w:val="none" w:sz="0" w:space="0" w:color="auto"/>
            <w:bottom w:val="none" w:sz="0" w:space="0" w:color="auto"/>
            <w:right w:val="none" w:sz="0" w:space="0" w:color="auto"/>
          </w:divBdr>
        </w:div>
      </w:divsChild>
    </w:div>
    <w:div w:id="1433280157">
      <w:bodyDiv w:val="1"/>
      <w:marLeft w:val="0"/>
      <w:marRight w:val="0"/>
      <w:marTop w:val="0"/>
      <w:marBottom w:val="0"/>
      <w:divBdr>
        <w:top w:val="none" w:sz="0" w:space="0" w:color="auto"/>
        <w:left w:val="none" w:sz="0" w:space="0" w:color="auto"/>
        <w:bottom w:val="none" w:sz="0" w:space="0" w:color="auto"/>
        <w:right w:val="none" w:sz="0" w:space="0" w:color="auto"/>
      </w:divBdr>
      <w:divsChild>
        <w:div w:id="45692222">
          <w:marLeft w:val="0"/>
          <w:marRight w:val="0"/>
          <w:marTop w:val="0"/>
          <w:marBottom w:val="0"/>
          <w:divBdr>
            <w:top w:val="none" w:sz="0" w:space="0" w:color="auto"/>
            <w:left w:val="none" w:sz="0" w:space="0" w:color="auto"/>
            <w:bottom w:val="none" w:sz="0" w:space="0" w:color="auto"/>
            <w:right w:val="none" w:sz="0" w:space="0" w:color="auto"/>
          </w:divBdr>
        </w:div>
        <w:div w:id="280957964">
          <w:marLeft w:val="0"/>
          <w:marRight w:val="0"/>
          <w:marTop w:val="0"/>
          <w:marBottom w:val="0"/>
          <w:divBdr>
            <w:top w:val="none" w:sz="0" w:space="0" w:color="auto"/>
            <w:left w:val="none" w:sz="0" w:space="0" w:color="auto"/>
            <w:bottom w:val="none" w:sz="0" w:space="0" w:color="auto"/>
            <w:right w:val="none" w:sz="0" w:space="0" w:color="auto"/>
          </w:divBdr>
        </w:div>
        <w:div w:id="291176861">
          <w:marLeft w:val="0"/>
          <w:marRight w:val="0"/>
          <w:marTop w:val="0"/>
          <w:marBottom w:val="0"/>
          <w:divBdr>
            <w:top w:val="none" w:sz="0" w:space="0" w:color="auto"/>
            <w:left w:val="none" w:sz="0" w:space="0" w:color="auto"/>
            <w:bottom w:val="none" w:sz="0" w:space="0" w:color="auto"/>
            <w:right w:val="none" w:sz="0" w:space="0" w:color="auto"/>
          </w:divBdr>
        </w:div>
        <w:div w:id="577446901">
          <w:marLeft w:val="0"/>
          <w:marRight w:val="0"/>
          <w:marTop w:val="0"/>
          <w:marBottom w:val="0"/>
          <w:divBdr>
            <w:top w:val="none" w:sz="0" w:space="0" w:color="auto"/>
            <w:left w:val="none" w:sz="0" w:space="0" w:color="auto"/>
            <w:bottom w:val="none" w:sz="0" w:space="0" w:color="auto"/>
            <w:right w:val="none" w:sz="0" w:space="0" w:color="auto"/>
          </w:divBdr>
        </w:div>
        <w:div w:id="1205557438">
          <w:marLeft w:val="0"/>
          <w:marRight w:val="0"/>
          <w:marTop w:val="0"/>
          <w:marBottom w:val="0"/>
          <w:divBdr>
            <w:top w:val="none" w:sz="0" w:space="0" w:color="auto"/>
            <w:left w:val="none" w:sz="0" w:space="0" w:color="auto"/>
            <w:bottom w:val="none" w:sz="0" w:space="0" w:color="auto"/>
            <w:right w:val="none" w:sz="0" w:space="0" w:color="auto"/>
          </w:divBdr>
        </w:div>
        <w:div w:id="1289625647">
          <w:marLeft w:val="0"/>
          <w:marRight w:val="0"/>
          <w:marTop w:val="0"/>
          <w:marBottom w:val="0"/>
          <w:divBdr>
            <w:top w:val="none" w:sz="0" w:space="0" w:color="auto"/>
            <w:left w:val="none" w:sz="0" w:space="0" w:color="auto"/>
            <w:bottom w:val="none" w:sz="0" w:space="0" w:color="auto"/>
            <w:right w:val="none" w:sz="0" w:space="0" w:color="auto"/>
          </w:divBdr>
        </w:div>
        <w:div w:id="1722905223">
          <w:marLeft w:val="0"/>
          <w:marRight w:val="0"/>
          <w:marTop w:val="0"/>
          <w:marBottom w:val="0"/>
          <w:divBdr>
            <w:top w:val="none" w:sz="0" w:space="0" w:color="auto"/>
            <w:left w:val="none" w:sz="0" w:space="0" w:color="auto"/>
            <w:bottom w:val="none" w:sz="0" w:space="0" w:color="auto"/>
            <w:right w:val="none" w:sz="0" w:space="0" w:color="auto"/>
          </w:divBdr>
        </w:div>
      </w:divsChild>
    </w:div>
    <w:div w:id="1439108355">
      <w:bodyDiv w:val="1"/>
      <w:marLeft w:val="0"/>
      <w:marRight w:val="0"/>
      <w:marTop w:val="0"/>
      <w:marBottom w:val="0"/>
      <w:divBdr>
        <w:top w:val="none" w:sz="0" w:space="0" w:color="auto"/>
        <w:left w:val="none" w:sz="0" w:space="0" w:color="auto"/>
        <w:bottom w:val="none" w:sz="0" w:space="0" w:color="auto"/>
        <w:right w:val="none" w:sz="0" w:space="0" w:color="auto"/>
      </w:divBdr>
      <w:divsChild>
        <w:div w:id="244658060">
          <w:marLeft w:val="0"/>
          <w:marRight w:val="0"/>
          <w:marTop w:val="0"/>
          <w:marBottom w:val="0"/>
          <w:divBdr>
            <w:top w:val="none" w:sz="0" w:space="0" w:color="auto"/>
            <w:left w:val="none" w:sz="0" w:space="0" w:color="auto"/>
            <w:bottom w:val="none" w:sz="0" w:space="0" w:color="auto"/>
            <w:right w:val="none" w:sz="0" w:space="0" w:color="auto"/>
          </w:divBdr>
        </w:div>
        <w:div w:id="359169350">
          <w:marLeft w:val="0"/>
          <w:marRight w:val="0"/>
          <w:marTop w:val="0"/>
          <w:marBottom w:val="0"/>
          <w:divBdr>
            <w:top w:val="none" w:sz="0" w:space="0" w:color="auto"/>
            <w:left w:val="none" w:sz="0" w:space="0" w:color="auto"/>
            <w:bottom w:val="none" w:sz="0" w:space="0" w:color="auto"/>
            <w:right w:val="none" w:sz="0" w:space="0" w:color="auto"/>
          </w:divBdr>
        </w:div>
        <w:div w:id="505362353">
          <w:marLeft w:val="0"/>
          <w:marRight w:val="0"/>
          <w:marTop w:val="0"/>
          <w:marBottom w:val="0"/>
          <w:divBdr>
            <w:top w:val="none" w:sz="0" w:space="0" w:color="auto"/>
            <w:left w:val="none" w:sz="0" w:space="0" w:color="auto"/>
            <w:bottom w:val="none" w:sz="0" w:space="0" w:color="auto"/>
            <w:right w:val="none" w:sz="0" w:space="0" w:color="auto"/>
          </w:divBdr>
        </w:div>
        <w:div w:id="575435083">
          <w:marLeft w:val="0"/>
          <w:marRight w:val="0"/>
          <w:marTop w:val="0"/>
          <w:marBottom w:val="0"/>
          <w:divBdr>
            <w:top w:val="none" w:sz="0" w:space="0" w:color="auto"/>
            <w:left w:val="none" w:sz="0" w:space="0" w:color="auto"/>
            <w:bottom w:val="none" w:sz="0" w:space="0" w:color="auto"/>
            <w:right w:val="none" w:sz="0" w:space="0" w:color="auto"/>
          </w:divBdr>
        </w:div>
        <w:div w:id="680274877">
          <w:marLeft w:val="0"/>
          <w:marRight w:val="0"/>
          <w:marTop w:val="0"/>
          <w:marBottom w:val="0"/>
          <w:divBdr>
            <w:top w:val="none" w:sz="0" w:space="0" w:color="auto"/>
            <w:left w:val="none" w:sz="0" w:space="0" w:color="auto"/>
            <w:bottom w:val="none" w:sz="0" w:space="0" w:color="auto"/>
            <w:right w:val="none" w:sz="0" w:space="0" w:color="auto"/>
          </w:divBdr>
        </w:div>
        <w:div w:id="725450590">
          <w:marLeft w:val="0"/>
          <w:marRight w:val="0"/>
          <w:marTop w:val="0"/>
          <w:marBottom w:val="0"/>
          <w:divBdr>
            <w:top w:val="none" w:sz="0" w:space="0" w:color="auto"/>
            <w:left w:val="none" w:sz="0" w:space="0" w:color="auto"/>
            <w:bottom w:val="none" w:sz="0" w:space="0" w:color="auto"/>
            <w:right w:val="none" w:sz="0" w:space="0" w:color="auto"/>
          </w:divBdr>
        </w:div>
        <w:div w:id="872571242">
          <w:marLeft w:val="0"/>
          <w:marRight w:val="0"/>
          <w:marTop w:val="0"/>
          <w:marBottom w:val="0"/>
          <w:divBdr>
            <w:top w:val="none" w:sz="0" w:space="0" w:color="auto"/>
            <w:left w:val="none" w:sz="0" w:space="0" w:color="auto"/>
            <w:bottom w:val="none" w:sz="0" w:space="0" w:color="auto"/>
            <w:right w:val="none" w:sz="0" w:space="0" w:color="auto"/>
          </w:divBdr>
          <w:divsChild>
            <w:div w:id="252670780">
              <w:marLeft w:val="0"/>
              <w:marRight w:val="0"/>
              <w:marTop w:val="0"/>
              <w:marBottom w:val="0"/>
              <w:divBdr>
                <w:top w:val="none" w:sz="0" w:space="0" w:color="auto"/>
                <w:left w:val="none" w:sz="0" w:space="0" w:color="auto"/>
                <w:bottom w:val="none" w:sz="0" w:space="0" w:color="auto"/>
                <w:right w:val="none" w:sz="0" w:space="0" w:color="auto"/>
              </w:divBdr>
            </w:div>
            <w:div w:id="802891124">
              <w:marLeft w:val="0"/>
              <w:marRight w:val="0"/>
              <w:marTop w:val="0"/>
              <w:marBottom w:val="0"/>
              <w:divBdr>
                <w:top w:val="none" w:sz="0" w:space="0" w:color="auto"/>
                <w:left w:val="none" w:sz="0" w:space="0" w:color="auto"/>
                <w:bottom w:val="none" w:sz="0" w:space="0" w:color="auto"/>
                <w:right w:val="none" w:sz="0" w:space="0" w:color="auto"/>
              </w:divBdr>
            </w:div>
            <w:div w:id="1080369062">
              <w:marLeft w:val="0"/>
              <w:marRight w:val="0"/>
              <w:marTop w:val="0"/>
              <w:marBottom w:val="0"/>
              <w:divBdr>
                <w:top w:val="none" w:sz="0" w:space="0" w:color="auto"/>
                <w:left w:val="none" w:sz="0" w:space="0" w:color="auto"/>
                <w:bottom w:val="none" w:sz="0" w:space="0" w:color="auto"/>
                <w:right w:val="none" w:sz="0" w:space="0" w:color="auto"/>
              </w:divBdr>
            </w:div>
            <w:div w:id="1625884657">
              <w:marLeft w:val="0"/>
              <w:marRight w:val="0"/>
              <w:marTop w:val="0"/>
              <w:marBottom w:val="0"/>
              <w:divBdr>
                <w:top w:val="none" w:sz="0" w:space="0" w:color="auto"/>
                <w:left w:val="none" w:sz="0" w:space="0" w:color="auto"/>
                <w:bottom w:val="none" w:sz="0" w:space="0" w:color="auto"/>
                <w:right w:val="none" w:sz="0" w:space="0" w:color="auto"/>
              </w:divBdr>
            </w:div>
            <w:div w:id="2069378043">
              <w:marLeft w:val="0"/>
              <w:marRight w:val="0"/>
              <w:marTop w:val="0"/>
              <w:marBottom w:val="0"/>
              <w:divBdr>
                <w:top w:val="none" w:sz="0" w:space="0" w:color="auto"/>
                <w:left w:val="none" w:sz="0" w:space="0" w:color="auto"/>
                <w:bottom w:val="none" w:sz="0" w:space="0" w:color="auto"/>
                <w:right w:val="none" w:sz="0" w:space="0" w:color="auto"/>
              </w:divBdr>
            </w:div>
          </w:divsChild>
        </w:div>
        <w:div w:id="1025908600">
          <w:marLeft w:val="0"/>
          <w:marRight w:val="0"/>
          <w:marTop w:val="0"/>
          <w:marBottom w:val="0"/>
          <w:divBdr>
            <w:top w:val="none" w:sz="0" w:space="0" w:color="auto"/>
            <w:left w:val="none" w:sz="0" w:space="0" w:color="auto"/>
            <w:bottom w:val="none" w:sz="0" w:space="0" w:color="auto"/>
            <w:right w:val="none" w:sz="0" w:space="0" w:color="auto"/>
          </w:divBdr>
        </w:div>
        <w:div w:id="1465660200">
          <w:marLeft w:val="0"/>
          <w:marRight w:val="0"/>
          <w:marTop w:val="0"/>
          <w:marBottom w:val="0"/>
          <w:divBdr>
            <w:top w:val="none" w:sz="0" w:space="0" w:color="auto"/>
            <w:left w:val="none" w:sz="0" w:space="0" w:color="auto"/>
            <w:bottom w:val="none" w:sz="0" w:space="0" w:color="auto"/>
            <w:right w:val="none" w:sz="0" w:space="0" w:color="auto"/>
          </w:divBdr>
        </w:div>
        <w:div w:id="1493645931">
          <w:marLeft w:val="0"/>
          <w:marRight w:val="0"/>
          <w:marTop w:val="0"/>
          <w:marBottom w:val="0"/>
          <w:divBdr>
            <w:top w:val="none" w:sz="0" w:space="0" w:color="auto"/>
            <w:left w:val="none" w:sz="0" w:space="0" w:color="auto"/>
            <w:bottom w:val="none" w:sz="0" w:space="0" w:color="auto"/>
            <w:right w:val="none" w:sz="0" w:space="0" w:color="auto"/>
          </w:divBdr>
          <w:divsChild>
            <w:div w:id="521238115">
              <w:marLeft w:val="0"/>
              <w:marRight w:val="0"/>
              <w:marTop w:val="0"/>
              <w:marBottom w:val="0"/>
              <w:divBdr>
                <w:top w:val="none" w:sz="0" w:space="0" w:color="auto"/>
                <w:left w:val="none" w:sz="0" w:space="0" w:color="auto"/>
                <w:bottom w:val="none" w:sz="0" w:space="0" w:color="auto"/>
                <w:right w:val="none" w:sz="0" w:space="0" w:color="auto"/>
              </w:divBdr>
            </w:div>
            <w:div w:id="806820869">
              <w:marLeft w:val="0"/>
              <w:marRight w:val="0"/>
              <w:marTop w:val="0"/>
              <w:marBottom w:val="0"/>
              <w:divBdr>
                <w:top w:val="none" w:sz="0" w:space="0" w:color="auto"/>
                <w:left w:val="none" w:sz="0" w:space="0" w:color="auto"/>
                <w:bottom w:val="none" w:sz="0" w:space="0" w:color="auto"/>
                <w:right w:val="none" w:sz="0" w:space="0" w:color="auto"/>
              </w:divBdr>
            </w:div>
            <w:div w:id="1223640788">
              <w:marLeft w:val="0"/>
              <w:marRight w:val="0"/>
              <w:marTop w:val="0"/>
              <w:marBottom w:val="0"/>
              <w:divBdr>
                <w:top w:val="none" w:sz="0" w:space="0" w:color="auto"/>
                <w:left w:val="none" w:sz="0" w:space="0" w:color="auto"/>
                <w:bottom w:val="none" w:sz="0" w:space="0" w:color="auto"/>
                <w:right w:val="none" w:sz="0" w:space="0" w:color="auto"/>
              </w:divBdr>
            </w:div>
            <w:div w:id="1483233891">
              <w:marLeft w:val="0"/>
              <w:marRight w:val="0"/>
              <w:marTop w:val="0"/>
              <w:marBottom w:val="0"/>
              <w:divBdr>
                <w:top w:val="none" w:sz="0" w:space="0" w:color="auto"/>
                <w:left w:val="none" w:sz="0" w:space="0" w:color="auto"/>
                <w:bottom w:val="none" w:sz="0" w:space="0" w:color="auto"/>
                <w:right w:val="none" w:sz="0" w:space="0" w:color="auto"/>
              </w:divBdr>
            </w:div>
            <w:div w:id="2072338087">
              <w:marLeft w:val="0"/>
              <w:marRight w:val="0"/>
              <w:marTop w:val="0"/>
              <w:marBottom w:val="0"/>
              <w:divBdr>
                <w:top w:val="none" w:sz="0" w:space="0" w:color="auto"/>
                <w:left w:val="none" w:sz="0" w:space="0" w:color="auto"/>
                <w:bottom w:val="none" w:sz="0" w:space="0" w:color="auto"/>
                <w:right w:val="none" w:sz="0" w:space="0" w:color="auto"/>
              </w:divBdr>
            </w:div>
          </w:divsChild>
        </w:div>
        <w:div w:id="1966277762">
          <w:marLeft w:val="0"/>
          <w:marRight w:val="0"/>
          <w:marTop w:val="0"/>
          <w:marBottom w:val="0"/>
          <w:divBdr>
            <w:top w:val="none" w:sz="0" w:space="0" w:color="auto"/>
            <w:left w:val="none" w:sz="0" w:space="0" w:color="auto"/>
            <w:bottom w:val="none" w:sz="0" w:space="0" w:color="auto"/>
            <w:right w:val="none" w:sz="0" w:space="0" w:color="auto"/>
          </w:divBdr>
        </w:div>
        <w:div w:id="2098017805">
          <w:marLeft w:val="0"/>
          <w:marRight w:val="0"/>
          <w:marTop w:val="0"/>
          <w:marBottom w:val="0"/>
          <w:divBdr>
            <w:top w:val="none" w:sz="0" w:space="0" w:color="auto"/>
            <w:left w:val="none" w:sz="0" w:space="0" w:color="auto"/>
            <w:bottom w:val="none" w:sz="0" w:space="0" w:color="auto"/>
            <w:right w:val="none" w:sz="0" w:space="0" w:color="auto"/>
          </w:divBdr>
        </w:div>
      </w:divsChild>
    </w:div>
    <w:div w:id="1446580026">
      <w:bodyDiv w:val="1"/>
      <w:marLeft w:val="0"/>
      <w:marRight w:val="0"/>
      <w:marTop w:val="0"/>
      <w:marBottom w:val="0"/>
      <w:divBdr>
        <w:top w:val="none" w:sz="0" w:space="0" w:color="auto"/>
        <w:left w:val="none" w:sz="0" w:space="0" w:color="auto"/>
        <w:bottom w:val="none" w:sz="0" w:space="0" w:color="auto"/>
        <w:right w:val="none" w:sz="0" w:space="0" w:color="auto"/>
      </w:divBdr>
      <w:divsChild>
        <w:div w:id="213584221">
          <w:marLeft w:val="0"/>
          <w:marRight w:val="0"/>
          <w:marTop w:val="0"/>
          <w:marBottom w:val="0"/>
          <w:divBdr>
            <w:top w:val="none" w:sz="0" w:space="0" w:color="auto"/>
            <w:left w:val="none" w:sz="0" w:space="0" w:color="auto"/>
            <w:bottom w:val="none" w:sz="0" w:space="0" w:color="auto"/>
            <w:right w:val="none" w:sz="0" w:space="0" w:color="auto"/>
          </w:divBdr>
        </w:div>
        <w:div w:id="753742666">
          <w:marLeft w:val="0"/>
          <w:marRight w:val="0"/>
          <w:marTop w:val="0"/>
          <w:marBottom w:val="0"/>
          <w:divBdr>
            <w:top w:val="none" w:sz="0" w:space="0" w:color="auto"/>
            <w:left w:val="none" w:sz="0" w:space="0" w:color="auto"/>
            <w:bottom w:val="none" w:sz="0" w:space="0" w:color="auto"/>
            <w:right w:val="none" w:sz="0" w:space="0" w:color="auto"/>
          </w:divBdr>
        </w:div>
        <w:div w:id="953171692">
          <w:marLeft w:val="0"/>
          <w:marRight w:val="0"/>
          <w:marTop w:val="0"/>
          <w:marBottom w:val="0"/>
          <w:divBdr>
            <w:top w:val="none" w:sz="0" w:space="0" w:color="auto"/>
            <w:left w:val="none" w:sz="0" w:space="0" w:color="auto"/>
            <w:bottom w:val="none" w:sz="0" w:space="0" w:color="auto"/>
            <w:right w:val="none" w:sz="0" w:space="0" w:color="auto"/>
          </w:divBdr>
        </w:div>
        <w:div w:id="1651058156">
          <w:marLeft w:val="0"/>
          <w:marRight w:val="0"/>
          <w:marTop w:val="0"/>
          <w:marBottom w:val="0"/>
          <w:divBdr>
            <w:top w:val="none" w:sz="0" w:space="0" w:color="auto"/>
            <w:left w:val="none" w:sz="0" w:space="0" w:color="auto"/>
            <w:bottom w:val="none" w:sz="0" w:space="0" w:color="auto"/>
            <w:right w:val="none" w:sz="0" w:space="0" w:color="auto"/>
          </w:divBdr>
        </w:div>
        <w:div w:id="1911572931">
          <w:marLeft w:val="0"/>
          <w:marRight w:val="0"/>
          <w:marTop w:val="0"/>
          <w:marBottom w:val="0"/>
          <w:divBdr>
            <w:top w:val="none" w:sz="0" w:space="0" w:color="auto"/>
            <w:left w:val="none" w:sz="0" w:space="0" w:color="auto"/>
            <w:bottom w:val="none" w:sz="0" w:space="0" w:color="auto"/>
            <w:right w:val="none" w:sz="0" w:space="0" w:color="auto"/>
          </w:divBdr>
        </w:div>
      </w:divsChild>
    </w:div>
    <w:div w:id="1449853306">
      <w:bodyDiv w:val="1"/>
      <w:marLeft w:val="0"/>
      <w:marRight w:val="0"/>
      <w:marTop w:val="0"/>
      <w:marBottom w:val="0"/>
      <w:divBdr>
        <w:top w:val="none" w:sz="0" w:space="0" w:color="auto"/>
        <w:left w:val="none" w:sz="0" w:space="0" w:color="auto"/>
        <w:bottom w:val="none" w:sz="0" w:space="0" w:color="auto"/>
        <w:right w:val="none" w:sz="0" w:space="0" w:color="auto"/>
      </w:divBdr>
      <w:divsChild>
        <w:div w:id="32779688">
          <w:marLeft w:val="0"/>
          <w:marRight w:val="0"/>
          <w:marTop w:val="0"/>
          <w:marBottom w:val="0"/>
          <w:divBdr>
            <w:top w:val="none" w:sz="0" w:space="0" w:color="auto"/>
            <w:left w:val="none" w:sz="0" w:space="0" w:color="auto"/>
            <w:bottom w:val="none" w:sz="0" w:space="0" w:color="auto"/>
            <w:right w:val="none" w:sz="0" w:space="0" w:color="auto"/>
          </w:divBdr>
        </w:div>
        <w:div w:id="463428343">
          <w:marLeft w:val="0"/>
          <w:marRight w:val="0"/>
          <w:marTop w:val="0"/>
          <w:marBottom w:val="0"/>
          <w:divBdr>
            <w:top w:val="none" w:sz="0" w:space="0" w:color="auto"/>
            <w:left w:val="none" w:sz="0" w:space="0" w:color="auto"/>
            <w:bottom w:val="none" w:sz="0" w:space="0" w:color="auto"/>
            <w:right w:val="none" w:sz="0" w:space="0" w:color="auto"/>
          </w:divBdr>
        </w:div>
        <w:div w:id="467288210">
          <w:marLeft w:val="0"/>
          <w:marRight w:val="0"/>
          <w:marTop w:val="0"/>
          <w:marBottom w:val="0"/>
          <w:divBdr>
            <w:top w:val="none" w:sz="0" w:space="0" w:color="auto"/>
            <w:left w:val="none" w:sz="0" w:space="0" w:color="auto"/>
            <w:bottom w:val="none" w:sz="0" w:space="0" w:color="auto"/>
            <w:right w:val="none" w:sz="0" w:space="0" w:color="auto"/>
          </w:divBdr>
        </w:div>
        <w:div w:id="509569318">
          <w:marLeft w:val="0"/>
          <w:marRight w:val="0"/>
          <w:marTop w:val="0"/>
          <w:marBottom w:val="0"/>
          <w:divBdr>
            <w:top w:val="none" w:sz="0" w:space="0" w:color="auto"/>
            <w:left w:val="none" w:sz="0" w:space="0" w:color="auto"/>
            <w:bottom w:val="none" w:sz="0" w:space="0" w:color="auto"/>
            <w:right w:val="none" w:sz="0" w:space="0" w:color="auto"/>
          </w:divBdr>
        </w:div>
        <w:div w:id="1240629194">
          <w:marLeft w:val="0"/>
          <w:marRight w:val="0"/>
          <w:marTop w:val="0"/>
          <w:marBottom w:val="0"/>
          <w:divBdr>
            <w:top w:val="none" w:sz="0" w:space="0" w:color="auto"/>
            <w:left w:val="none" w:sz="0" w:space="0" w:color="auto"/>
            <w:bottom w:val="none" w:sz="0" w:space="0" w:color="auto"/>
            <w:right w:val="none" w:sz="0" w:space="0" w:color="auto"/>
          </w:divBdr>
        </w:div>
        <w:div w:id="1396320465">
          <w:marLeft w:val="0"/>
          <w:marRight w:val="0"/>
          <w:marTop w:val="0"/>
          <w:marBottom w:val="0"/>
          <w:divBdr>
            <w:top w:val="none" w:sz="0" w:space="0" w:color="auto"/>
            <w:left w:val="none" w:sz="0" w:space="0" w:color="auto"/>
            <w:bottom w:val="none" w:sz="0" w:space="0" w:color="auto"/>
            <w:right w:val="none" w:sz="0" w:space="0" w:color="auto"/>
          </w:divBdr>
        </w:div>
        <w:div w:id="1543590409">
          <w:marLeft w:val="0"/>
          <w:marRight w:val="0"/>
          <w:marTop w:val="0"/>
          <w:marBottom w:val="0"/>
          <w:divBdr>
            <w:top w:val="none" w:sz="0" w:space="0" w:color="auto"/>
            <w:left w:val="none" w:sz="0" w:space="0" w:color="auto"/>
            <w:bottom w:val="none" w:sz="0" w:space="0" w:color="auto"/>
            <w:right w:val="none" w:sz="0" w:space="0" w:color="auto"/>
          </w:divBdr>
        </w:div>
        <w:div w:id="2087215748">
          <w:marLeft w:val="0"/>
          <w:marRight w:val="0"/>
          <w:marTop w:val="0"/>
          <w:marBottom w:val="0"/>
          <w:divBdr>
            <w:top w:val="none" w:sz="0" w:space="0" w:color="auto"/>
            <w:left w:val="none" w:sz="0" w:space="0" w:color="auto"/>
            <w:bottom w:val="none" w:sz="0" w:space="0" w:color="auto"/>
            <w:right w:val="none" w:sz="0" w:space="0" w:color="auto"/>
          </w:divBdr>
        </w:div>
      </w:divsChild>
    </w:div>
    <w:div w:id="1453793177">
      <w:bodyDiv w:val="1"/>
      <w:marLeft w:val="0"/>
      <w:marRight w:val="0"/>
      <w:marTop w:val="0"/>
      <w:marBottom w:val="0"/>
      <w:divBdr>
        <w:top w:val="none" w:sz="0" w:space="0" w:color="auto"/>
        <w:left w:val="none" w:sz="0" w:space="0" w:color="auto"/>
        <w:bottom w:val="none" w:sz="0" w:space="0" w:color="auto"/>
        <w:right w:val="none" w:sz="0" w:space="0" w:color="auto"/>
      </w:divBdr>
      <w:divsChild>
        <w:div w:id="184950348">
          <w:marLeft w:val="0"/>
          <w:marRight w:val="0"/>
          <w:marTop w:val="0"/>
          <w:marBottom w:val="0"/>
          <w:divBdr>
            <w:top w:val="none" w:sz="0" w:space="0" w:color="auto"/>
            <w:left w:val="none" w:sz="0" w:space="0" w:color="auto"/>
            <w:bottom w:val="none" w:sz="0" w:space="0" w:color="auto"/>
            <w:right w:val="none" w:sz="0" w:space="0" w:color="auto"/>
          </w:divBdr>
        </w:div>
        <w:div w:id="987781052">
          <w:marLeft w:val="0"/>
          <w:marRight w:val="0"/>
          <w:marTop w:val="0"/>
          <w:marBottom w:val="0"/>
          <w:divBdr>
            <w:top w:val="none" w:sz="0" w:space="0" w:color="auto"/>
            <w:left w:val="none" w:sz="0" w:space="0" w:color="auto"/>
            <w:bottom w:val="none" w:sz="0" w:space="0" w:color="auto"/>
            <w:right w:val="none" w:sz="0" w:space="0" w:color="auto"/>
          </w:divBdr>
        </w:div>
        <w:div w:id="1123227341">
          <w:marLeft w:val="0"/>
          <w:marRight w:val="0"/>
          <w:marTop w:val="0"/>
          <w:marBottom w:val="0"/>
          <w:divBdr>
            <w:top w:val="none" w:sz="0" w:space="0" w:color="auto"/>
            <w:left w:val="none" w:sz="0" w:space="0" w:color="auto"/>
            <w:bottom w:val="none" w:sz="0" w:space="0" w:color="auto"/>
            <w:right w:val="none" w:sz="0" w:space="0" w:color="auto"/>
          </w:divBdr>
        </w:div>
        <w:div w:id="1154645538">
          <w:marLeft w:val="0"/>
          <w:marRight w:val="0"/>
          <w:marTop w:val="0"/>
          <w:marBottom w:val="0"/>
          <w:divBdr>
            <w:top w:val="none" w:sz="0" w:space="0" w:color="auto"/>
            <w:left w:val="none" w:sz="0" w:space="0" w:color="auto"/>
            <w:bottom w:val="none" w:sz="0" w:space="0" w:color="auto"/>
            <w:right w:val="none" w:sz="0" w:space="0" w:color="auto"/>
          </w:divBdr>
        </w:div>
        <w:div w:id="1316101758">
          <w:marLeft w:val="0"/>
          <w:marRight w:val="0"/>
          <w:marTop w:val="0"/>
          <w:marBottom w:val="0"/>
          <w:divBdr>
            <w:top w:val="none" w:sz="0" w:space="0" w:color="auto"/>
            <w:left w:val="none" w:sz="0" w:space="0" w:color="auto"/>
            <w:bottom w:val="none" w:sz="0" w:space="0" w:color="auto"/>
            <w:right w:val="none" w:sz="0" w:space="0" w:color="auto"/>
          </w:divBdr>
        </w:div>
        <w:div w:id="1588610431">
          <w:marLeft w:val="0"/>
          <w:marRight w:val="0"/>
          <w:marTop w:val="0"/>
          <w:marBottom w:val="0"/>
          <w:divBdr>
            <w:top w:val="none" w:sz="0" w:space="0" w:color="auto"/>
            <w:left w:val="none" w:sz="0" w:space="0" w:color="auto"/>
            <w:bottom w:val="none" w:sz="0" w:space="0" w:color="auto"/>
            <w:right w:val="none" w:sz="0" w:space="0" w:color="auto"/>
          </w:divBdr>
        </w:div>
      </w:divsChild>
    </w:div>
    <w:div w:id="1467967577">
      <w:bodyDiv w:val="1"/>
      <w:marLeft w:val="0"/>
      <w:marRight w:val="0"/>
      <w:marTop w:val="0"/>
      <w:marBottom w:val="0"/>
      <w:divBdr>
        <w:top w:val="none" w:sz="0" w:space="0" w:color="auto"/>
        <w:left w:val="none" w:sz="0" w:space="0" w:color="auto"/>
        <w:bottom w:val="none" w:sz="0" w:space="0" w:color="auto"/>
        <w:right w:val="none" w:sz="0" w:space="0" w:color="auto"/>
      </w:divBdr>
      <w:divsChild>
        <w:div w:id="110438552">
          <w:marLeft w:val="0"/>
          <w:marRight w:val="0"/>
          <w:marTop w:val="0"/>
          <w:marBottom w:val="0"/>
          <w:divBdr>
            <w:top w:val="none" w:sz="0" w:space="0" w:color="auto"/>
            <w:left w:val="none" w:sz="0" w:space="0" w:color="auto"/>
            <w:bottom w:val="none" w:sz="0" w:space="0" w:color="auto"/>
            <w:right w:val="none" w:sz="0" w:space="0" w:color="auto"/>
          </w:divBdr>
        </w:div>
        <w:div w:id="800147655">
          <w:marLeft w:val="0"/>
          <w:marRight w:val="0"/>
          <w:marTop w:val="0"/>
          <w:marBottom w:val="0"/>
          <w:divBdr>
            <w:top w:val="none" w:sz="0" w:space="0" w:color="auto"/>
            <w:left w:val="none" w:sz="0" w:space="0" w:color="auto"/>
            <w:bottom w:val="none" w:sz="0" w:space="0" w:color="auto"/>
            <w:right w:val="none" w:sz="0" w:space="0" w:color="auto"/>
          </w:divBdr>
        </w:div>
        <w:div w:id="1088190046">
          <w:marLeft w:val="0"/>
          <w:marRight w:val="0"/>
          <w:marTop w:val="0"/>
          <w:marBottom w:val="0"/>
          <w:divBdr>
            <w:top w:val="none" w:sz="0" w:space="0" w:color="auto"/>
            <w:left w:val="none" w:sz="0" w:space="0" w:color="auto"/>
            <w:bottom w:val="none" w:sz="0" w:space="0" w:color="auto"/>
            <w:right w:val="none" w:sz="0" w:space="0" w:color="auto"/>
          </w:divBdr>
        </w:div>
        <w:div w:id="1157841716">
          <w:marLeft w:val="0"/>
          <w:marRight w:val="0"/>
          <w:marTop w:val="0"/>
          <w:marBottom w:val="0"/>
          <w:divBdr>
            <w:top w:val="none" w:sz="0" w:space="0" w:color="auto"/>
            <w:left w:val="none" w:sz="0" w:space="0" w:color="auto"/>
            <w:bottom w:val="none" w:sz="0" w:space="0" w:color="auto"/>
            <w:right w:val="none" w:sz="0" w:space="0" w:color="auto"/>
          </w:divBdr>
        </w:div>
        <w:div w:id="2078090745">
          <w:marLeft w:val="0"/>
          <w:marRight w:val="0"/>
          <w:marTop w:val="0"/>
          <w:marBottom w:val="0"/>
          <w:divBdr>
            <w:top w:val="none" w:sz="0" w:space="0" w:color="auto"/>
            <w:left w:val="none" w:sz="0" w:space="0" w:color="auto"/>
            <w:bottom w:val="none" w:sz="0" w:space="0" w:color="auto"/>
            <w:right w:val="none" w:sz="0" w:space="0" w:color="auto"/>
          </w:divBdr>
        </w:div>
      </w:divsChild>
    </w:div>
    <w:div w:id="1487280356">
      <w:bodyDiv w:val="1"/>
      <w:marLeft w:val="0"/>
      <w:marRight w:val="0"/>
      <w:marTop w:val="0"/>
      <w:marBottom w:val="0"/>
      <w:divBdr>
        <w:top w:val="none" w:sz="0" w:space="0" w:color="auto"/>
        <w:left w:val="none" w:sz="0" w:space="0" w:color="auto"/>
        <w:bottom w:val="none" w:sz="0" w:space="0" w:color="auto"/>
        <w:right w:val="none" w:sz="0" w:space="0" w:color="auto"/>
      </w:divBdr>
      <w:divsChild>
        <w:div w:id="1754012823">
          <w:marLeft w:val="0"/>
          <w:marRight w:val="0"/>
          <w:marTop w:val="0"/>
          <w:marBottom w:val="0"/>
          <w:divBdr>
            <w:top w:val="none" w:sz="0" w:space="0" w:color="auto"/>
            <w:left w:val="none" w:sz="0" w:space="0" w:color="auto"/>
            <w:bottom w:val="none" w:sz="0" w:space="0" w:color="auto"/>
            <w:right w:val="none" w:sz="0" w:space="0" w:color="auto"/>
          </w:divBdr>
        </w:div>
      </w:divsChild>
    </w:div>
    <w:div w:id="1488325766">
      <w:bodyDiv w:val="1"/>
      <w:marLeft w:val="0"/>
      <w:marRight w:val="0"/>
      <w:marTop w:val="0"/>
      <w:marBottom w:val="0"/>
      <w:divBdr>
        <w:top w:val="none" w:sz="0" w:space="0" w:color="auto"/>
        <w:left w:val="none" w:sz="0" w:space="0" w:color="auto"/>
        <w:bottom w:val="none" w:sz="0" w:space="0" w:color="auto"/>
        <w:right w:val="none" w:sz="0" w:space="0" w:color="auto"/>
      </w:divBdr>
      <w:divsChild>
        <w:div w:id="6757973">
          <w:marLeft w:val="0"/>
          <w:marRight w:val="0"/>
          <w:marTop w:val="0"/>
          <w:marBottom w:val="0"/>
          <w:divBdr>
            <w:top w:val="none" w:sz="0" w:space="0" w:color="auto"/>
            <w:left w:val="none" w:sz="0" w:space="0" w:color="auto"/>
            <w:bottom w:val="none" w:sz="0" w:space="0" w:color="auto"/>
            <w:right w:val="none" w:sz="0" w:space="0" w:color="auto"/>
          </w:divBdr>
        </w:div>
        <w:div w:id="216203651">
          <w:marLeft w:val="0"/>
          <w:marRight w:val="0"/>
          <w:marTop w:val="0"/>
          <w:marBottom w:val="0"/>
          <w:divBdr>
            <w:top w:val="none" w:sz="0" w:space="0" w:color="auto"/>
            <w:left w:val="none" w:sz="0" w:space="0" w:color="auto"/>
            <w:bottom w:val="none" w:sz="0" w:space="0" w:color="auto"/>
            <w:right w:val="none" w:sz="0" w:space="0" w:color="auto"/>
          </w:divBdr>
        </w:div>
        <w:div w:id="751663271">
          <w:marLeft w:val="0"/>
          <w:marRight w:val="0"/>
          <w:marTop w:val="0"/>
          <w:marBottom w:val="0"/>
          <w:divBdr>
            <w:top w:val="none" w:sz="0" w:space="0" w:color="auto"/>
            <w:left w:val="none" w:sz="0" w:space="0" w:color="auto"/>
            <w:bottom w:val="none" w:sz="0" w:space="0" w:color="auto"/>
            <w:right w:val="none" w:sz="0" w:space="0" w:color="auto"/>
          </w:divBdr>
        </w:div>
        <w:div w:id="1522940212">
          <w:marLeft w:val="0"/>
          <w:marRight w:val="0"/>
          <w:marTop w:val="0"/>
          <w:marBottom w:val="0"/>
          <w:divBdr>
            <w:top w:val="none" w:sz="0" w:space="0" w:color="auto"/>
            <w:left w:val="none" w:sz="0" w:space="0" w:color="auto"/>
            <w:bottom w:val="none" w:sz="0" w:space="0" w:color="auto"/>
            <w:right w:val="none" w:sz="0" w:space="0" w:color="auto"/>
          </w:divBdr>
        </w:div>
        <w:div w:id="1997954084">
          <w:marLeft w:val="0"/>
          <w:marRight w:val="0"/>
          <w:marTop w:val="0"/>
          <w:marBottom w:val="0"/>
          <w:divBdr>
            <w:top w:val="none" w:sz="0" w:space="0" w:color="auto"/>
            <w:left w:val="none" w:sz="0" w:space="0" w:color="auto"/>
            <w:bottom w:val="none" w:sz="0" w:space="0" w:color="auto"/>
            <w:right w:val="none" w:sz="0" w:space="0" w:color="auto"/>
          </w:divBdr>
        </w:div>
      </w:divsChild>
    </w:div>
    <w:div w:id="1493794565">
      <w:bodyDiv w:val="1"/>
      <w:marLeft w:val="0"/>
      <w:marRight w:val="0"/>
      <w:marTop w:val="0"/>
      <w:marBottom w:val="0"/>
      <w:divBdr>
        <w:top w:val="none" w:sz="0" w:space="0" w:color="auto"/>
        <w:left w:val="none" w:sz="0" w:space="0" w:color="auto"/>
        <w:bottom w:val="none" w:sz="0" w:space="0" w:color="auto"/>
        <w:right w:val="none" w:sz="0" w:space="0" w:color="auto"/>
      </w:divBdr>
      <w:divsChild>
        <w:div w:id="255944994">
          <w:marLeft w:val="0"/>
          <w:marRight w:val="0"/>
          <w:marTop w:val="0"/>
          <w:marBottom w:val="0"/>
          <w:divBdr>
            <w:top w:val="none" w:sz="0" w:space="0" w:color="auto"/>
            <w:left w:val="none" w:sz="0" w:space="0" w:color="auto"/>
            <w:bottom w:val="none" w:sz="0" w:space="0" w:color="auto"/>
            <w:right w:val="none" w:sz="0" w:space="0" w:color="auto"/>
          </w:divBdr>
        </w:div>
        <w:div w:id="358700921">
          <w:marLeft w:val="0"/>
          <w:marRight w:val="0"/>
          <w:marTop w:val="0"/>
          <w:marBottom w:val="0"/>
          <w:divBdr>
            <w:top w:val="none" w:sz="0" w:space="0" w:color="auto"/>
            <w:left w:val="none" w:sz="0" w:space="0" w:color="auto"/>
            <w:bottom w:val="none" w:sz="0" w:space="0" w:color="auto"/>
            <w:right w:val="none" w:sz="0" w:space="0" w:color="auto"/>
          </w:divBdr>
        </w:div>
        <w:div w:id="648022476">
          <w:marLeft w:val="0"/>
          <w:marRight w:val="0"/>
          <w:marTop w:val="0"/>
          <w:marBottom w:val="0"/>
          <w:divBdr>
            <w:top w:val="none" w:sz="0" w:space="0" w:color="auto"/>
            <w:left w:val="none" w:sz="0" w:space="0" w:color="auto"/>
            <w:bottom w:val="none" w:sz="0" w:space="0" w:color="auto"/>
            <w:right w:val="none" w:sz="0" w:space="0" w:color="auto"/>
          </w:divBdr>
        </w:div>
        <w:div w:id="900602717">
          <w:marLeft w:val="0"/>
          <w:marRight w:val="0"/>
          <w:marTop w:val="0"/>
          <w:marBottom w:val="0"/>
          <w:divBdr>
            <w:top w:val="none" w:sz="0" w:space="0" w:color="auto"/>
            <w:left w:val="none" w:sz="0" w:space="0" w:color="auto"/>
            <w:bottom w:val="none" w:sz="0" w:space="0" w:color="auto"/>
            <w:right w:val="none" w:sz="0" w:space="0" w:color="auto"/>
          </w:divBdr>
        </w:div>
        <w:div w:id="1049915264">
          <w:marLeft w:val="0"/>
          <w:marRight w:val="0"/>
          <w:marTop w:val="0"/>
          <w:marBottom w:val="0"/>
          <w:divBdr>
            <w:top w:val="none" w:sz="0" w:space="0" w:color="auto"/>
            <w:left w:val="none" w:sz="0" w:space="0" w:color="auto"/>
            <w:bottom w:val="none" w:sz="0" w:space="0" w:color="auto"/>
            <w:right w:val="none" w:sz="0" w:space="0" w:color="auto"/>
          </w:divBdr>
        </w:div>
        <w:div w:id="1437749588">
          <w:marLeft w:val="0"/>
          <w:marRight w:val="0"/>
          <w:marTop w:val="0"/>
          <w:marBottom w:val="0"/>
          <w:divBdr>
            <w:top w:val="none" w:sz="0" w:space="0" w:color="auto"/>
            <w:left w:val="none" w:sz="0" w:space="0" w:color="auto"/>
            <w:bottom w:val="none" w:sz="0" w:space="0" w:color="auto"/>
            <w:right w:val="none" w:sz="0" w:space="0" w:color="auto"/>
          </w:divBdr>
        </w:div>
        <w:div w:id="1481573689">
          <w:marLeft w:val="0"/>
          <w:marRight w:val="0"/>
          <w:marTop w:val="0"/>
          <w:marBottom w:val="0"/>
          <w:divBdr>
            <w:top w:val="none" w:sz="0" w:space="0" w:color="auto"/>
            <w:left w:val="none" w:sz="0" w:space="0" w:color="auto"/>
            <w:bottom w:val="none" w:sz="0" w:space="0" w:color="auto"/>
            <w:right w:val="none" w:sz="0" w:space="0" w:color="auto"/>
          </w:divBdr>
        </w:div>
        <w:div w:id="1534532309">
          <w:marLeft w:val="0"/>
          <w:marRight w:val="0"/>
          <w:marTop w:val="0"/>
          <w:marBottom w:val="0"/>
          <w:divBdr>
            <w:top w:val="none" w:sz="0" w:space="0" w:color="auto"/>
            <w:left w:val="none" w:sz="0" w:space="0" w:color="auto"/>
            <w:bottom w:val="none" w:sz="0" w:space="0" w:color="auto"/>
            <w:right w:val="none" w:sz="0" w:space="0" w:color="auto"/>
          </w:divBdr>
        </w:div>
        <w:div w:id="1579636968">
          <w:marLeft w:val="0"/>
          <w:marRight w:val="0"/>
          <w:marTop w:val="0"/>
          <w:marBottom w:val="0"/>
          <w:divBdr>
            <w:top w:val="none" w:sz="0" w:space="0" w:color="auto"/>
            <w:left w:val="none" w:sz="0" w:space="0" w:color="auto"/>
            <w:bottom w:val="none" w:sz="0" w:space="0" w:color="auto"/>
            <w:right w:val="none" w:sz="0" w:space="0" w:color="auto"/>
          </w:divBdr>
        </w:div>
        <w:div w:id="1914897198">
          <w:marLeft w:val="0"/>
          <w:marRight w:val="0"/>
          <w:marTop w:val="0"/>
          <w:marBottom w:val="0"/>
          <w:divBdr>
            <w:top w:val="none" w:sz="0" w:space="0" w:color="auto"/>
            <w:left w:val="none" w:sz="0" w:space="0" w:color="auto"/>
            <w:bottom w:val="none" w:sz="0" w:space="0" w:color="auto"/>
            <w:right w:val="none" w:sz="0" w:space="0" w:color="auto"/>
          </w:divBdr>
        </w:div>
        <w:div w:id="2040399096">
          <w:marLeft w:val="0"/>
          <w:marRight w:val="0"/>
          <w:marTop w:val="0"/>
          <w:marBottom w:val="0"/>
          <w:divBdr>
            <w:top w:val="none" w:sz="0" w:space="0" w:color="auto"/>
            <w:left w:val="none" w:sz="0" w:space="0" w:color="auto"/>
            <w:bottom w:val="none" w:sz="0" w:space="0" w:color="auto"/>
            <w:right w:val="none" w:sz="0" w:space="0" w:color="auto"/>
          </w:divBdr>
        </w:div>
      </w:divsChild>
    </w:div>
    <w:div w:id="1495493030">
      <w:bodyDiv w:val="1"/>
      <w:marLeft w:val="0"/>
      <w:marRight w:val="0"/>
      <w:marTop w:val="0"/>
      <w:marBottom w:val="0"/>
      <w:divBdr>
        <w:top w:val="none" w:sz="0" w:space="0" w:color="auto"/>
        <w:left w:val="none" w:sz="0" w:space="0" w:color="auto"/>
        <w:bottom w:val="none" w:sz="0" w:space="0" w:color="auto"/>
        <w:right w:val="none" w:sz="0" w:space="0" w:color="auto"/>
      </w:divBdr>
      <w:divsChild>
        <w:div w:id="74940059">
          <w:marLeft w:val="0"/>
          <w:marRight w:val="0"/>
          <w:marTop w:val="0"/>
          <w:marBottom w:val="0"/>
          <w:divBdr>
            <w:top w:val="none" w:sz="0" w:space="0" w:color="auto"/>
            <w:left w:val="none" w:sz="0" w:space="0" w:color="auto"/>
            <w:bottom w:val="none" w:sz="0" w:space="0" w:color="auto"/>
            <w:right w:val="none" w:sz="0" w:space="0" w:color="auto"/>
          </w:divBdr>
        </w:div>
        <w:div w:id="860243608">
          <w:marLeft w:val="0"/>
          <w:marRight w:val="0"/>
          <w:marTop w:val="0"/>
          <w:marBottom w:val="0"/>
          <w:divBdr>
            <w:top w:val="none" w:sz="0" w:space="0" w:color="auto"/>
            <w:left w:val="none" w:sz="0" w:space="0" w:color="auto"/>
            <w:bottom w:val="none" w:sz="0" w:space="0" w:color="auto"/>
            <w:right w:val="none" w:sz="0" w:space="0" w:color="auto"/>
          </w:divBdr>
        </w:div>
        <w:div w:id="930822426">
          <w:marLeft w:val="0"/>
          <w:marRight w:val="0"/>
          <w:marTop w:val="0"/>
          <w:marBottom w:val="0"/>
          <w:divBdr>
            <w:top w:val="none" w:sz="0" w:space="0" w:color="auto"/>
            <w:left w:val="none" w:sz="0" w:space="0" w:color="auto"/>
            <w:bottom w:val="none" w:sz="0" w:space="0" w:color="auto"/>
            <w:right w:val="none" w:sz="0" w:space="0" w:color="auto"/>
          </w:divBdr>
        </w:div>
        <w:div w:id="1065832050">
          <w:marLeft w:val="0"/>
          <w:marRight w:val="0"/>
          <w:marTop w:val="0"/>
          <w:marBottom w:val="0"/>
          <w:divBdr>
            <w:top w:val="none" w:sz="0" w:space="0" w:color="auto"/>
            <w:left w:val="none" w:sz="0" w:space="0" w:color="auto"/>
            <w:bottom w:val="none" w:sz="0" w:space="0" w:color="auto"/>
            <w:right w:val="none" w:sz="0" w:space="0" w:color="auto"/>
          </w:divBdr>
        </w:div>
        <w:div w:id="1069614486">
          <w:marLeft w:val="0"/>
          <w:marRight w:val="0"/>
          <w:marTop w:val="0"/>
          <w:marBottom w:val="0"/>
          <w:divBdr>
            <w:top w:val="none" w:sz="0" w:space="0" w:color="auto"/>
            <w:left w:val="none" w:sz="0" w:space="0" w:color="auto"/>
            <w:bottom w:val="none" w:sz="0" w:space="0" w:color="auto"/>
            <w:right w:val="none" w:sz="0" w:space="0" w:color="auto"/>
          </w:divBdr>
        </w:div>
        <w:div w:id="1112818604">
          <w:marLeft w:val="0"/>
          <w:marRight w:val="0"/>
          <w:marTop w:val="0"/>
          <w:marBottom w:val="0"/>
          <w:divBdr>
            <w:top w:val="none" w:sz="0" w:space="0" w:color="auto"/>
            <w:left w:val="none" w:sz="0" w:space="0" w:color="auto"/>
            <w:bottom w:val="none" w:sz="0" w:space="0" w:color="auto"/>
            <w:right w:val="none" w:sz="0" w:space="0" w:color="auto"/>
          </w:divBdr>
        </w:div>
        <w:div w:id="1154494971">
          <w:marLeft w:val="0"/>
          <w:marRight w:val="0"/>
          <w:marTop w:val="0"/>
          <w:marBottom w:val="0"/>
          <w:divBdr>
            <w:top w:val="none" w:sz="0" w:space="0" w:color="auto"/>
            <w:left w:val="none" w:sz="0" w:space="0" w:color="auto"/>
            <w:bottom w:val="none" w:sz="0" w:space="0" w:color="auto"/>
            <w:right w:val="none" w:sz="0" w:space="0" w:color="auto"/>
          </w:divBdr>
        </w:div>
        <w:div w:id="1245646955">
          <w:marLeft w:val="0"/>
          <w:marRight w:val="0"/>
          <w:marTop w:val="0"/>
          <w:marBottom w:val="0"/>
          <w:divBdr>
            <w:top w:val="none" w:sz="0" w:space="0" w:color="auto"/>
            <w:left w:val="none" w:sz="0" w:space="0" w:color="auto"/>
            <w:bottom w:val="none" w:sz="0" w:space="0" w:color="auto"/>
            <w:right w:val="none" w:sz="0" w:space="0" w:color="auto"/>
          </w:divBdr>
        </w:div>
        <w:div w:id="1380789086">
          <w:marLeft w:val="0"/>
          <w:marRight w:val="0"/>
          <w:marTop w:val="0"/>
          <w:marBottom w:val="0"/>
          <w:divBdr>
            <w:top w:val="none" w:sz="0" w:space="0" w:color="auto"/>
            <w:left w:val="none" w:sz="0" w:space="0" w:color="auto"/>
            <w:bottom w:val="none" w:sz="0" w:space="0" w:color="auto"/>
            <w:right w:val="none" w:sz="0" w:space="0" w:color="auto"/>
          </w:divBdr>
        </w:div>
        <w:div w:id="1492208658">
          <w:marLeft w:val="0"/>
          <w:marRight w:val="0"/>
          <w:marTop w:val="0"/>
          <w:marBottom w:val="0"/>
          <w:divBdr>
            <w:top w:val="none" w:sz="0" w:space="0" w:color="auto"/>
            <w:left w:val="none" w:sz="0" w:space="0" w:color="auto"/>
            <w:bottom w:val="none" w:sz="0" w:space="0" w:color="auto"/>
            <w:right w:val="none" w:sz="0" w:space="0" w:color="auto"/>
          </w:divBdr>
        </w:div>
        <w:div w:id="1579511837">
          <w:marLeft w:val="0"/>
          <w:marRight w:val="0"/>
          <w:marTop w:val="0"/>
          <w:marBottom w:val="0"/>
          <w:divBdr>
            <w:top w:val="none" w:sz="0" w:space="0" w:color="auto"/>
            <w:left w:val="none" w:sz="0" w:space="0" w:color="auto"/>
            <w:bottom w:val="none" w:sz="0" w:space="0" w:color="auto"/>
            <w:right w:val="none" w:sz="0" w:space="0" w:color="auto"/>
          </w:divBdr>
        </w:div>
        <w:div w:id="1877159570">
          <w:marLeft w:val="0"/>
          <w:marRight w:val="0"/>
          <w:marTop w:val="0"/>
          <w:marBottom w:val="0"/>
          <w:divBdr>
            <w:top w:val="none" w:sz="0" w:space="0" w:color="auto"/>
            <w:left w:val="none" w:sz="0" w:space="0" w:color="auto"/>
            <w:bottom w:val="none" w:sz="0" w:space="0" w:color="auto"/>
            <w:right w:val="none" w:sz="0" w:space="0" w:color="auto"/>
          </w:divBdr>
        </w:div>
        <w:div w:id="2081058866">
          <w:marLeft w:val="0"/>
          <w:marRight w:val="0"/>
          <w:marTop w:val="0"/>
          <w:marBottom w:val="0"/>
          <w:divBdr>
            <w:top w:val="none" w:sz="0" w:space="0" w:color="auto"/>
            <w:left w:val="none" w:sz="0" w:space="0" w:color="auto"/>
            <w:bottom w:val="none" w:sz="0" w:space="0" w:color="auto"/>
            <w:right w:val="none" w:sz="0" w:space="0" w:color="auto"/>
          </w:divBdr>
        </w:div>
      </w:divsChild>
    </w:div>
    <w:div w:id="1500777359">
      <w:bodyDiv w:val="1"/>
      <w:marLeft w:val="0"/>
      <w:marRight w:val="0"/>
      <w:marTop w:val="0"/>
      <w:marBottom w:val="0"/>
      <w:divBdr>
        <w:top w:val="none" w:sz="0" w:space="0" w:color="auto"/>
        <w:left w:val="none" w:sz="0" w:space="0" w:color="auto"/>
        <w:bottom w:val="none" w:sz="0" w:space="0" w:color="auto"/>
        <w:right w:val="none" w:sz="0" w:space="0" w:color="auto"/>
      </w:divBdr>
      <w:divsChild>
        <w:div w:id="43532967">
          <w:marLeft w:val="0"/>
          <w:marRight w:val="0"/>
          <w:marTop w:val="0"/>
          <w:marBottom w:val="0"/>
          <w:divBdr>
            <w:top w:val="none" w:sz="0" w:space="0" w:color="auto"/>
            <w:left w:val="none" w:sz="0" w:space="0" w:color="auto"/>
            <w:bottom w:val="none" w:sz="0" w:space="0" w:color="auto"/>
            <w:right w:val="none" w:sz="0" w:space="0" w:color="auto"/>
          </w:divBdr>
        </w:div>
        <w:div w:id="234509566">
          <w:marLeft w:val="0"/>
          <w:marRight w:val="0"/>
          <w:marTop w:val="0"/>
          <w:marBottom w:val="0"/>
          <w:divBdr>
            <w:top w:val="none" w:sz="0" w:space="0" w:color="auto"/>
            <w:left w:val="none" w:sz="0" w:space="0" w:color="auto"/>
            <w:bottom w:val="none" w:sz="0" w:space="0" w:color="auto"/>
            <w:right w:val="none" w:sz="0" w:space="0" w:color="auto"/>
          </w:divBdr>
        </w:div>
        <w:div w:id="303892663">
          <w:marLeft w:val="0"/>
          <w:marRight w:val="0"/>
          <w:marTop w:val="0"/>
          <w:marBottom w:val="0"/>
          <w:divBdr>
            <w:top w:val="none" w:sz="0" w:space="0" w:color="auto"/>
            <w:left w:val="none" w:sz="0" w:space="0" w:color="auto"/>
            <w:bottom w:val="none" w:sz="0" w:space="0" w:color="auto"/>
            <w:right w:val="none" w:sz="0" w:space="0" w:color="auto"/>
          </w:divBdr>
        </w:div>
        <w:div w:id="488987911">
          <w:marLeft w:val="0"/>
          <w:marRight w:val="0"/>
          <w:marTop w:val="0"/>
          <w:marBottom w:val="0"/>
          <w:divBdr>
            <w:top w:val="none" w:sz="0" w:space="0" w:color="auto"/>
            <w:left w:val="none" w:sz="0" w:space="0" w:color="auto"/>
            <w:bottom w:val="none" w:sz="0" w:space="0" w:color="auto"/>
            <w:right w:val="none" w:sz="0" w:space="0" w:color="auto"/>
          </w:divBdr>
        </w:div>
        <w:div w:id="818960987">
          <w:marLeft w:val="0"/>
          <w:marRight w:val="0"/>
          <w:marTop w:val="0"/>
          <w:marBottom w:val="0"/>
          <w:divBdr>
            <w:top w:val="none" w:sz="0" w:space="0" w:color="auto"/>
            <w:left w:val="none" w:sz="0" w:space="0" w:color="auto"/>
            <w:bottom w:val="none" w:sz="0" w:space="0" w:color="auto"/>
            <w:right w:val="none" w:sz="0" w:space="0" w:color="auto"/>
          </w:divBdr>
        </w:div>
        <w:div w:id="859318348">
          <w:marLeft w:val="0"/>
          <w:marRight w:val="0"/>
          <w:marTop w:val="0"/>
          <w:marBottom w:val="0"/>
          <w:divBdr>
            <w:top w:val="none" w:sz="0" w:space="0" w:color="auto"/>
            <w:left w:val="none" w:sz="0" w:space="0" w:color="auto"/>
            <w:bottom w:val="none" w:sz="0" w:space="0" w:color="auto"/>
            <w:right w:val="none" w:sz="0" w:space="0" w:color="auto"/>
          </w:divBdr>
        </w:div>
        <w:div w:id="1870021380">
          <w:marLeft w:val="0"/>
          <w:marRight w:val="0"/>
          <w:marTop w:val="0"/>
          <w:marBottom w:val="0"/>
          <w:divBdr>
            <w:top w:val="none" w:sz="0" w:space="0" w:color="auto"/>
            <w:left w:val="none" w:sz="0" w:space="0" w:color="auto"/>
            <w:bottom w:val="none" w:sz="0" w:space="0" w:color="auto"/>
            <w:right w:val="none" w:sz="0" w:space="0" w:color="auto"/>
          </w:divBdr>
        </w:div>
        <w:div w:id="2038002580">
          <w:marLeft w:val="0"/>
          <w:marRight w:val="0"/>
          <w:marTop w:val="0"/>
          <w:marBottom w:val="0"/>
          <w:divBdr>
            <w:top w:val="none" w:sz="0" w:space="0" w:color="auto"/>
            <w:left w:val="none" w:sz="0" w:space="0" w:color="auto"/>
            <w:bottom w:val="none" w:sz="0" w:space="0" w:color="auto"/>
            <w:right w:val="none" w:sz="0" w:space="0" w:color="auto"/>
          </w:divBdr>
        </w:div>
      </w:divsChild>
    </w:div>
    <w:div w:id="1546333366">
      <w:bodyDiv w:val="1"/>
      <w:marLeft w:val="0"/>
      <w:marRight w:val="0"/>
      <w:marTop w:val="0"/>
      <w:marBottom w:val="0"/>
      <w:divBdr>
        <w:top w:val="none" w:sz="0" w:space="0" w:color="auto"/>
        <w:left w:val="none" w:sz="0" w:space="0" w:color="auto"/>
        <w:bottom w:val="none" w:sz="0" w:space="0" w:color="auto"/>
        <w:right w:val="none" w:sz="0" w:space="0" w:color="auto"/>
      </w:divBdr>
      <w:divsChild>
        <w:div w:id="59255906">
          <w:marLeft w:val="0"/>
          <w:marRight w:val="0"/>
          <w:marTop w:val="0"/>
          <w:marBottom w:val="0"/>
          <w:divBdr>
            <w:top w:val="none" w:sz="0" w:space="0" w:color="auto"/>
            <w:left w:val="none" w:sz="0" w:space="0" w:color="auto"/>
            <w:bottom w:val="none" w:sz="0" w:space="0" w:color="auto"/>
            <w:right w:val="none" w:sz="0" w:space="0" w:color="auto"/>
          </w:divBdr>
        </w:div>
        <w:div w:id="80563313">
          <w:marLeft w:val="0"/>
          <w:marRight w:val="0"/>
          <w:marTop w:val="0"/>
          <w:marBottom w:val="0"/>
          <w:divBdr>
            <w:top w:val="none" w:sz="0" w:space="0" w:color="auto"/>
            <w:left w:val="none" w:sz="0" w:space="0" w:color="auto"/>
            <w:bottom w:val="none" w:sz="0" w:space="0" w:color="auto"/>
            <w:right w:val="none" w:sz="0" w:space="0" w:color="auto"/>
          </w:divBdr>
        </w:div>
        <w:div w:id="482624309">
          <w:marLeft w:val="0"/>
          <w:marRight w:val="0"/>
          <w:marTop w:val="0"/>
          <w:marBottom w:val="0"/>
          <w:divBdr>
            <w:top w:val="none" w:sz="0" w:space="0" w:color="auto"/>
            <w:left w:val="none" w:sz="0" w:space="0" w:color="auto"/>
            <w:bottom w:val="none" w:sz="0" w:space="0" w:color="auto"/>
            <w:right w:val="none" w:sz="0" w:space="0" w:color="auto"/>
          </w:divBdr>
        </w:div>
        <w:div w:id="663701691">
          <w:marLeft w:val="0"/>
          <w:marRight w:val="0"/>
          <w:marTop w:val="0"/>
          <w:marBottom w:val="0"/>
          <w:divBdr>
            <w:top w:val="none" w:sz="0" w:space="0" w:color="auto"/>
            <w:left w:val="none" w:sz="0" w:space="0" w:color="auto"/>
            <w:bottom w:val="none" w:sz="0" w:space="0" w:color="auto"/>
            <w:right w:val="none" w:sz="0" w:space="0" w:color="auto"/>
          </w:divBdr>
        </w:div>
        <w:div w:id="964965099">
          <w:marLeft w:val="0"/>
          <w:marRight w:val="0"/>
          <w:marTop w:val="0"/>
          <w:marBottom w:val="0"/>
          <w:divBdr>
            <w:top w:val="none" w:sz="0" w:space="0" w:color="auto"/>
            <w:left w:val="none" w:sz="0" w:space="0" w:color="auto"/>
            <w:bottom w:val="none" w:sz="0" w:space="0" w:color="auto"/>
            <w:right w:val="none" w:sz="0" w:space="0" w:color="auto"/>
          </w:divBdr>
        </w:div>
        <w:div w:id="1344212505">
          <w:marLeft w:val="0"/>
          <w:marRight w:val="0"/>
          <w:marTop w:val="0"/>
          <w:marBottom w:val="0"/>
          <w:divBdr>
            <w:top w:val="none" w:sz="0" w:space="0" w:color="auto"/>
            <w:left w:val="none" w:sz="0" w:space="0" w:color="auto"/>
            <w:bottom w:val="none" w:sz="0" w:space="0" w:color="auto"/>
            <w:right w:val="none" w:sz="0" w:space="0" w:color="auto"/>
          </w:divBdr>
        </w:div>
        <w:div w:id="1653094718">
          <w:marLeft w:val="0"/>
          <w:marRight w:val="0"/>
          <w:marTop w:val="0"/>
          <w:marBottom w:val="0"/>
          <w:divBdr>
            <w:top w:val="none" w:sz="0" w:space="0" w:color="auto"/>
            <w:left w:val="none" w:sz="0" w:space="0" w:color="auto"/>
            <w:bottom w:val="none" w:sz="0" w:space="0" w:color="auto"/>
            <w:right w:val="none" w:sz="0" w:space="0" w:color="auto"/>
          </w:divBdr>
        </w:div>
      </w:divsChild>
    </w:div>
    <w:div w:id="1547839507">
      <w:bodyDiv w:val="1"/>
      <w:marLeft w:val="0"/>
      <w:marRight w:val="0"/>
      <w:marTop w:val="0"/>
      <w:marBottom w:val="0"/>
      <w:divBdr>
        <w:top w:val="none" w:sz="0" w:space="0" w:color="auto"/>
        <w:left w:val="none" w:sz="0" w:space="0" w:color="auto"/>
        <w:bottom w:val="none" w:sz="0" w:space="0" w:color="auto"/>
        <w:right w:val="none" w:sz="0" w:space="0" w:color="auto"/>
      </w:divBdr>
      <w:divsChild>
        <w:div w:id="504512920">
          <w:marLeft w:val="0"/>
          <w:marRight w:val="0"/>
          <w:marTop w:val="0"/>
          <w:marBottom w:val="0"/>
          <w:divBdr>
            <w:top w:val="none" w:sz="0" w:space="0" w:color="auto"/>
            <w:left w:val="none" w:sz="0" w:space="0" w:color="auto"/>
            <w:bottom w:val="none" w:sz="0" w:space="0" w:color="auto"/>
            <w:right w:val="none" w:sz="0" w:space="0" w:color="auto"/>
          </w:divBdr>
        </w:div>
        <w:div w:id="1918198911">
          <w:marLeft w:val="0"/>
          <w:marRight w:val="0"/>
          <w:marTop w:val="0"/>
          <w:marBottom w:val="0"/>
          <w:divBdr>
            <w:top w:val="none" w:sz="0" w:space="0" w:color="auto"/>
            <w:left w:val="none" w:sz="0" w:space="0" w:color="auto"/>
            <w:bottom w:val="none" w:sz="0" w:space="0" w:color="auto"/>
            <w:right w:val="none" w:sz="0" w:space="0" w:color="auto"/>
          </w:divBdr>
        </w:div>
        <w:div w:id="2070610317">
          <w:marLeft w:val="0"/>
          <w:marRight w:val="0"/>
          <w:marTop w:val="0"/>
          <w:marBottom w:val="0"/>
          <w:divBdr>
            <w:top w:val="none" w:sz="0" w:space="0" w:color="auto"/>
            <w:left w:val="none" w:sz="0" w:space="0" w:color="auto"/>
            <w:bottom w:val="none" w:sz="0" w:space="0" w:color="auto"/>
            <w:right w:val="none" w:sz="0" w:space="0" w:color="auto"/>
          </w:divBdr>
        </w:div>
        <w:div w:id="2083408984">
          <w:marLeft w:val="0"/>
          <w:marRight w:val="0"/>
          <w:marTop w:val="0"/>
          <w:marBottom w:val="0"/>
          <w:divBdr>
            <w:top w:val="none" w:sz="0" w:space="0" w:color="auto"/>
            <w:left w:val="none" w:sz="0" w:space="0" w:color="auto"/>
            <w:bottom w:val="none" w:sz="0" w:space="0" w:color="auto"/>
            <w:right w:val="none" w:sz="0" w:space="0" w:color="auto"/>
          </w:divBdr>
        </w:div>
        <w:div w:id="2096585952">
          <w:marLeft w:val="0"/>
          <w:marRight w:val="0"/>
          <w:marTop w:val="0"/>
          <w:marBottom w:val="0"/>
          <w:divBdr>
            <w:top w:val="none" w:sz="0" w:space="0" w:color="auto"/>
            <w:left w:val="none" w:sz="0" w:space="0" w:color="auto"/>
            <w:bottom w:val="none" w:sz="0" w:space="0" w:color="auto"/>
            <w:right w:val="none" w:sz="0" w:space="0" w:color="auto"/>
          </w:divBdr>
        </w:div>
      </w:divsChild>
    </w:div>
    <w:div w:id="1560676528">
      <w:bodyDiv w:val="1"/>
      <w:marLeft w:val="0"/>
      <w:marRight w:val="0"/>
      <w:marTop w:val="0"/>
      <w:marBottom w:val="0"/>
      <w:divBdr>
        <w:top w:val="none" w:sz="0" w:space="0" w:color="auto"/>
        <w:left w:val="none" w:sz="0" w:space="0" w:color="auto"/>
        <w:bottom w:val="none" w:sz="0" w:space="0" w:color="auto"/>
        <w:right w:val="none" w:sz="0" w:space="0" w:color="auto"/>
      </w:divBdr>
      <w:divsChild>
        <w:div w:id="1135635557">
          <w:marLeft w:val="0"/>
          <w:marRight w:val="0"/>
          <w:marTop w:val="0"/>
          <w:marBottom w:val="0"/>
          <w:divBdr>
            <w:top w:val="none" w:sz="0" w:space="0" w:color="auto"/>
            <w:left w:val="none" w:sz="0" w:space="0" w:color="auto"/>
            <w:bottom w:val="none" w:sz="0" w:space="0" w:color="auto"/>
            <w:right w:val="none" w:sz="0" w:space="0" w:color="auto"/>
          </w:divBdr>
        </w:div>
        <w:div w:id="1738090915">
          <w:marLeft w:val="0"/>
          <w:marRight w:val="0"/>
          <w:marTop w:val="0"/>
          <w:marBottom w:val="0"/>
          <w:divBdr>
            <w:top w:val="none" w:sz="0" w:space="0" w:color="auto"/>
            <w:left w:val="none" w:sz="0" w:space="0" w:color="auto"/>
            <w:bottom w:val="none" w:sz="0" w:space="0" w:color="auto"/>
            <w:right w:val="none" w:sz="0" w:space="0" w:color="auto"/>
          </w:divBdr>
        </w:div>
        <w:div w:id="1947230258">
          <w:marLeft w:val="0"/>
          <w:marRight w:val="0"/>
          <w:marTop w:val="0"/>
          <w:marBottom w:val="0"/>
          <w:divBdr>
            <w:top w:val="none" w:sz="0" w:space="0" w:color="auto"/>
            <w:left w:val="none" w:sz="0" w:space="0" w:color="auto"/>
            <w:bottom w:val="none" w:sz="0" w:space="0" w:color="auto"/>
            <w:right w:val="none" w:sz="0" w:space="0" w:color="auto"/>
          </w:divBdr>
        </w:div>
        <w:div w:id="1948465088">
          <w:marLeft w:val="0"/>
          <w:marRight w:val="0"/>
          <w:marTop w:val="0"/>
          <w:marBottom w:val="0"/>
          <w:divBdr>
            <w:top w:val="none" w:sz="0" w:space="0" w:color="auto"/>
            <w:left w:val="none" w:sz="0" w:space="0" w:color="auto"/>
            <w:bottom w:val="none" w:sz="0" w:space="0" w:color="auto"/>
            <w:right w:val="none" w:sz="0" w:space="0" w:color="auto"/>
          </w:divBdr>
        </w:div>
        <w:div w:id="2008899289">
          <w:marLeft w:val="0"/>
          <w:marRight w:val="0"/>
          <w:marTop w:val="0"/>
          <w:marBottom w:val="0"/>
          <w:divBdr>
            <w:top w:val="none" w:sz="0" w:space="0" w:color="auto"/>
            <w:left w:val="none" w:sz="0" w:space="0" w:color="auto"/>
            <w:bottom w:val="none" w:sz="0" w:space="0" w:color="auto"/>
            <w:right w:val="none" w:sz="0" w:space="0" w:color="auto"/>
          </w:divBdr>
        </w:div>
      </w:divsChild>
    </w:div>
    <w:div w:id="1569920836">
      <w:bodyDiv w:val="1"/>
      <w:marLeft w:val="0"/>
      <w:marRight w:val="0"/>
      <w:marTop w:val="0"/>
      <w:marBottom w:val="0"/>
      <w:divBdr>
        <w:top w:val="none" w:sz="0" w:space="0" w:color="auto"/>
        <w:left w:val="none" w:sz="0" w:space="0" w:color="auto"/>
        <w:bottom w:val="none" w:sz="0" w:space="0" w:color="auto"/>
        <w:right w:val="none" w:sz="0" w:space="0" w:color="auto"/>
      </w:divBdr>
      <w:divsChild>
        <w:div w:id="49960286">
          <w:marLeft w:val="0"/>
          <w:marRight w:val="0"/>
          <w:marTop w:val="0"/>
          <w:marBottom w:val="0"/>
          <w:divBdr>
            <w:top w:val="none" w:sz="0" w:space="0" w:color="auto"/>
            <w:left w:val="none" w:sz="0" w:space="0" w:color="auto"/>
            <w:bottom w:val="none" w:sz="0" w:space="0" w:color="auto"/>
            <w:right w:val="none" w:sz="0" w:space="0" w:color="auto"/>
          </w:divBdr>
        </w:div>
        <w:div w:id="96292500">
          <w:marLeft w:val="0"/>
          <w:marRight w:val="0"/>
          <w:marTop w:val="0"/>
          <w:marBottom w:val="0"/>
          <w:divBdr>
            <w:top w:val="none" w:sz="0" w:space="0" w:color="auto"/>
            <w:left w:val="none" w:sz="0" w:space="0" w:color="auto"/>
            <w:bottom w:val="none" w:sz="0" w:space="0" w:color="auto"/>
            <w:right w:val="none" w:sz="0" w:space="0" w:color="auto"/>
          </w:divBdr>
        </w:div>
        <w:div w:id="275909582">
          <w:marLeft w:val="0"/>
          <w:marRight w:val="0"/>
          <w:marTop w:val="0"/>
          <w:marBottom w:val="0"/>
          <w:divBdr>
            <w:top w:val="none" w:sz="0" w:space="0" w:color="auto"/>
            <w:left w:val="none" w:sz="0" w:space="0" w:color="auto"/>
            <w:bottom w:val="none" w:sz="0" w:space="0" w:color="auto"/>
            <w:right w:val="none" w:sz="0" w:space="0" w:color="auto"/>
          </w:divBdr>
        </w:div>
        <w:div w:id="364520116">
          <w:marLeft w:val="0"/>
          <w:marRight w:val="0"/>
          <w:marTop w:val="0"/>
          <w:marBottom w:val="0"/>
          <w:divBdr>
            <w:top w:val="none" w:sz="0" w:space="0" w:color="auto"/>
            <w:left w:val="none" w:sz="0" w:space="0" w:color="auto"/>
            <w:bottom w:val="none" w:sz="0" w:space="0" w:color="auto"/>
            <w:right w:val="none" w:sz="0" w:space="0" w:color="auto"/>
          </w:divBdr>
        </w:div>
        <w:div w:id="404181202">
          <w:marLeft w:val="0"/>
          <w:marRight w:val="0"/>
          <w:marTop w:val="0"/>
          <w:marBottom w:val="0"/>
          <w:divBdr>
            <w:top w:val="none" w:sz="0" w:space="0" w:color="auto"/>
            <w:left w:val="none" w:sz="0" w:space="0" w:color="auto"/>
            <w:bottom w:val="none" w:sz="0" w:space="0" w:color="auto"/>
            <w:right w:val="none" w:sz="0" w:space="0" w:color="auto"/>
          </w:divBdr>
        </w:div>
        <w:div w:id="440536899">
          <w:marLeft w:val="0"/>
          <w:marRight w:val="0"/>
          <w:marTop w:val="0"/>
          <w:marBottom w:val="0"/>
          <w:divBdr>
            <w:top w:val="none" w:sz="0" w:space="0" w:color="auto"/>
            <w:left w:val="none" w:sz="0" w:space="0" w:color="auto"/>
            <w:bottom w:val="none" w:sz="0" w:space="0" w:color="auto"/>
            <w:right w:val="none" w:sz="0" w:space="0" w:color="auto"/>
          </w:divBdr>
        </w:div>
        <w:div w:id="1999383652">
          <w:marLeft w:val="0"/>
          <w:marRight w:val="0"/>
          <w:marTop w:val="0"/>
          <w:marBottom w:val="0"/>
          <w:divBdr>
            <w:top w:val="none" w:sz="0" w:space="0" w:color="auto"/>
            <w:left w:val="none" w:sz="0" w:space="0" w:color="auto"/>
            <w:bottom w:val="none" w:sz="0" w:space="0" w:color="auto"/>
            <w:right w:val="none" w:sz="0" w:space="0" w:color="auto"/>
          </w:divBdr>
        </w:div>
      </w:divsChild>
    </w:div>
    <w:div w:id="1582564440">
      <w:bodyDiv w:val="1"/>
      <w:marLeft w:val="0"/>
      <w:marRight w:val="0"/>
      <w:marTop w:val="0"/>
      <w:marBottom w:val="0"/>
      <w:divBdr>
        <w:top w:val="none" w:sz="0" w:space="0" w:color="auto"/>
        <w:left w:val="none" w:sz="0" w:space="0" w:color="auto"/>
        <w:bottom w:val="none" w:sz="0" w:space="0" w:color="auto"/>
        <w:right w:val="none" w:sz="0" w:space="0" w:color="auto"/>
      </w:divBdr>
      <w:divsChild>
        <w:div w:id="264659590">
          <w:marLeft w:val="0"/>
          <w:marRight w:val="0"/>
          <w:marTop w:val="0"/>
          <w:marBottom w:val="0"/>
          <w:divBdr>
            <w:top w:val="none" w:sz="0" w:space="0" w:color="auto"/>
            <w:left w:val="none" w:sz="0" w:space="0" w:color="auto"/>
            <w:bottom w:val="none" w:sz="0" w:space="0" w:color="auto"/>
            <w:right w:val="none" w:sz="0" w:space="0" w:color="auto"/>
          </w:divBdr>
        </w:div>
        <w:div w:id="299573709">
          <w:marLeft w:val="0"/>
          <w:marRight w:val="0"/>
          <w:marTop w:val="0"/>
          <w:marBottom w:val="0"/>
          <w:divBdr>
            <w:top w:val="none" w:sz="0" w:space="0" w:color="auto"/>
            <w:left w:val="none" w:sz="0" w:space="0" w:color="auto"/>
            <w:bottom w:val="none" w:sz="0" w:space="0" w:color="auto"/>
            <w:right w:val="none" w:sz="0" w:space="0" w:color="auto"/>
          </w:divBdr>
        </w:div>
        <w:div w:id="887717759">
          <w:marLeft w:val="0"/>
          <w:marRight w:val="0"/>
          <w:marTop w:val="0"/>
          <w:marBottom w:val="0"/>
          <w:divBdr>
            <w:top w:val="none" w:sz="0" w:space="0" w:color="auto"/>
            <w:left w:val="none" w:sz="0" w:space="0" w:color="auto"/>
            <w:bottom w:val="none" w:sz="0" w:space="0" w:color="auto"/>
            <w:right w:val="none" w:sz="0" w:space="0" w:color="auto"/>
          </w:divBdr>
        </w:div>
        <w:div w:id="988944017">
          <w:marLeft w:val="0"/>
          <w:marRight w:val="0"/>
          <w:marTop w:val="0"/>
          <w:marBottom w:val="0"/>
          <w:divBdr>
            <w:top w:val="none" w:sz="0" w:space="0" w:color="auto"/>
            <w:left w:val="none" w:sz="0" w:space="0" w:color="auto"/>
            <w:bottom w:val="none" w:sz="0" w:space="0" w:color="auto"/>
            <w:right w:val="none" w:sz="0" w:space="0" w:color="auto"/>
          </w:divBdr>
        </w:div>
        <w:div w:id="1161189912">
          <w:marLeft w:val="0"/>
          <w:marRight w:val="0"/>
          <w:marTop w:val="0"/>
          <w:marBottom w:val="0"/>
          <w:divBdr>
            <w:top w:val="none" w:sz="0" w:space="0" w:color="auto"/>
            <w:left w:val="none" w:sz="0" w:space="0" w:color="auto"/>
            <w:bottom w:val="none" w:sz="0" w:space="0" w:color="auto"/>
            <w:right w:val="none" w:sz="0" w:space="0" w:color="auto"/>
          </w:divBdr>
        </w:div>
        <w:div w:id="1479112098">
          <w:marLeft w:val="0"/>
          <w:marRight w:val="0"/>
          <w:marTop w:val="0"/>
          <w:marBottom w:val="0"/>
          <w:divBdr>
            <w:top w:val="none" w:sz="0" w:space="0" w:color="auto"/>
            <w:left w:val="none" w:sz="0" w:space="0" w:color="auto"/>
            <w:bottom w:val="none" w:sz="0" w:space="0" w:color="auto"/>
            <w:right w:val="none" w:sz="0" w:space="0" w:color="auto"/>
          </w:divBdr>
        </w:div>
        <w:div w:id="1585532679">
          <w:marLeft w:val="0"/>
          <w:marRight w:val="0"/>
          <w:marTop w:val="0"/>
          <w:marBottom w:val="0"/>
          <w:divBdr>
            <w:top w:val="none" w:sz="0" w:space="0" w:color="auto"/>
            <w:left w:val="none" w:sz="0" w:space="0" w:color="auto"/>
            <w:bottom w:val="none" w:sz="0" w:space="0" w:color="auto"/>
            <w:right w:val="none" w:sz="0" w:space="0" w:color="auto"/>
          </w:divBdr>
        </w:div>
        <w:div w:id="1736859241">
          <w:marLeft w:val="0"/>
          <w:marRight w:val="0"/>
          <w:marTop w:val="0"/>
          <w:marBottom w:val="0"/>
          <w:divBdr>
            <w:top w:val="none" w:sz="0" w:space="0" w:color="auto"/>
            <w:left w:val="none" w:sz="0" w:space="0" w:color="auto"/>
            <w:bottom w:val="none" w:sz="0" w:space="0" w:color="auto"/>
            <w:right w:val="none" w:sz="0" w:space="0" w:color="auto"/>
          </w:divBdr>
        </w:div>
        <w:div w:id="1762945900">
          <w:marLeft w:val="0"/>
          <w:marRight w:val="0"/>
          <w:marTop w:val="0"/>
          <w:marBottom w:val="0"/>
          <w:divBdr>
            <w:top w:val="none" w:sz="0" w:space="0" w:color="auto"/>
            <w:left w:val="none" w:sz="0" w:space="0" w:color="auto"/>
            <w:bottom w:val="none" w:sz="0" w:space="0" w:color="auto"/>
            <w:right w:val="none" w:sz="0" w:space="0" w:color="auto"/>
          </w:divBdr>
        </w:div>
        <w:div w:id="1798405355">
          <w:marLeft w:val="0"/>
          <w:marRight w:val="0"/>
          <w:marTop w:val="0"/>
          <w:marBottom w:val="0"/>
          <w:divBdr>
            <w:top w:val="none" w:sz="0" w:space="0" w:color="auto"/>
            <w:left w:val="none" w:sz="0" w:space="0" w:color="auto"/>
            <w:bottom w:val="none" w:sz="0" w:space="0" w:color="auto"/>
            <w:right w:val="none" w:sz="0" w:space="0" w:color="auto"/>
          </w:divBdr>
        </w:div>
        <w:div w:id="1843623091">
          <w:marLeft w:val="0"/>
          <w:marRight w:val="0"/>
          <w:marTop w:val="0"/>
          <w:marBottom w:val="0"/>
          <w:divBdr>
            <w:top w:val="none" w:sz="0" w:space="0" w:color="auto"/>
            <w:left w:val="none" w:sz="0" w:space="0" w:color="auto"/>
            <w:bottom w:val="none" w:sz="0" w:space="0" w:color="auto"/>
            <w:right w:val="none" w:sz="0" w:space="0" w:color="auto"/>
          </w:divBdr>
        </w:div>
        <w:div w:id="1907494752">
          <w:marLeft w:val="0"/>
          <w:marRight w:val="0"/>
          <w:marTop w:val="0"/>
          <w:marBottom w:val="0"/>
          <w:divBdr>
            <w:top w:val="none" w:sz="0" w:space="0" w:color="auto"/>
            <w:left w:val="none" w:sz="0" w:space="0" w:color="auto"/>
            <w:bottom w:val="none" w:sz="0" w:space="0" w:color="auto"/>
            <w:right w:val="none" w:sz="0" w:space="0" w:color="auto"/>
          </w:divBdr>
        </w:div>
      </w:divsChild>
    </w:div>
    <w:div w:id="1594585179">
      <w:bodyDiv w:val="1"/>
      <w:marLeft w:val="0"/>
      <w:marRight w:val="0"/>
      <w:marTop w:val="0"/>
      <w:marBottom w:val="0"/>
      <w:divBdr>
        <w:top w:val="none" w:sz="0" w:space="0" w:color="auto"/>
        <w:left w:val="none" w:sz="0" w:space="0" w:color="auto"/>
        <w:bottom w:val="none" w:sz="0" w:space="0" w:color="auto"/>
        <w:right w:val="none" w:sz="0" w:space="0" w:color="auto"/>
      </w:divBdr>
      <w:divsChild>
        <w:div w:id="425351063">
          <w:marLeft w:val="0"/>
          <w:marRight w:val="0"/>
          <w:marTop w:val="0"/>
          <w:marBottom w:val="0"/>
          <w:divBdr>
            <w:top w:val="none" w:sz="0" w:space="0" w:color="auto"/>
            <w:left w:val="none" w:sz="0" w:space="0" w:color="auto"/>
            <w:bottom w:val="none" w:sz="0" w:space="0" w:color="auto"/>
            <w:right w:val="none" w:sz="0" w:space="0" w:color="auto"/>
          </w:divBdr>
        </w:div>
        <w:div w:id="495076892">
          <w:marLeft w:val="0"/>
          <w:marRight w:val="0"/>
          <w:marTop w:val="0"/>
          <w:marBottom w:val="0"/>
          <w:divBdr>
            <w:top w:val="none" w:sz="0" w:space="0" w:color="auto"/>
            <w:left w:val="none" w:sz="0" w:space="0" w:color="auto"/>
            <w:bottom w:val="none" w:sz="0" w:space="0" w:color="auto"/>
            <w:right w:val="none" w:sz="0" w:space="0" w:color="auto"/>
          </w:divBdr>
        </w:div>
        <w:div w:id="1282035561">
          <w:marLeft w:val="0"/>
          <w:marRight w:val="0"/>
          <w:marTop w:val="0"/>
          <w:marBottom w:val="0"/>
          <w:divBdr>
            <w:top w:val="none" w:sz="0" w:space="0" w:color="auto"/>
            <w:left w:val="none" w:sz="0" w:space="0" w:color="auto"/>
            <w:bottom w:val="none" w:sz="0" w:space="0" w:color="auto"/>
            <w:right w:val="none" w:sz="0" w:space="0" w:color="auto"/>
          </w:divBdr>
        </w:div>
        <w:div w:id="1344241025">
          <w:marLeft w:val="0"/>
          <w:marRight w:val="0"/>
          <w:marTop w:val="0"/>
          <w:marBottom w:val="0"/>
          <w:divBdr>
            <w:top w:val="none" w:sz="0" w:space="0" w:color="auto"/>
            <w:left w:val="none" w:sz="0" w:space="0" w:color="auto"/>
            <w:bottom w:val="none" w:sz="0" w:space="0" w:color="auto"/>
            <w:right w:val="none" w:sz="0" w:space="0" w:color="auto"/>
          </w:divBdr>
        </w:div>
      </w:divsChild>
    </w:div>
    <w:div w:id="1597402966">
      <w:bodyDiv w:val="1"/>
      <w:marLeft w:val="0"/>
      <w:marRight w:val="0"/>
      <w:marTop w:val="0"/>
      <w:marBottom w:val="0"/>
      <w:divBdr>
        <w:top w:val="none" w:sz="0" w:space="0" w:color="auto"/>
        <w:left w:val="none" w:sz="0" w:space="0" w:color="auto"/>
        <w:bottom w:val="none" w:sz="0" w:space="0" w:color="auto"/>
        <w:right w:val="none" w:sz="0" w:space="0" w:color="auto"/>
      </w:divBdr>
      <w:divsChild>
        <w:div w:id="257907260">
          <w:marLeft w:val="0"/>
          <w:marRight w:val="0"/>
          <w:marTop w:val="0"/>
          <w:marBottom w:val="0"/>
          <w:divBdr>
            <w:top w:val="none" w:sz="0" w:space="0" w:color="auto"/>
            <w:left w:val="none" w:sz="0" w:space="0" w:color="auto"/>
            <w:bottom w:val="none" w:sz="0" w:space="0" w:color="auto"/>
            <w:right w:val="none" w:sz="0" w:space="0" w:color="auto"/>
          </w:divBdr>
        </w:div>
        <w:div w:id="323826886">
          <w:marLeft w:val="0"/>
          <w:marRight w:val="0"/>
          <w:marTop w:val="0"/>
          <w:marBottom w:val="0"/>
          <w:divBdr>
            <w:top w:val="none" w:sz="0" w:space="0" w:color="auto"/>
            <w:left w:val="none" w:sz="0" w:space="0" w:color="auto"/>
            <w:bottom w:val="none" w:sz="0" w:space="0" w:color="auto"/>
            <w:right w:val="none" w:sz="0" w:space="0" w:color="auto"/>
          </w:divBdr>
        </w:div>
        <w:div w:id="511800282">
          <w:marLeft w:val="0"/>
          <w:marRight w:val="0"/>
          <w:marTop w:val="0"/>
          <w:marBottom w:val="0"/>
          <w:divBdr>
            <w:top w:val="none" w:sz="0" w:space="0" w:color="auto"/>
            <w:left w:val="none" w:sz="0" w:space="0" w:color="auto"/>
            <w:bottom w:val="none" w:sz="0" w:space="0" w:color="auto"/>
            <w:right w:val="none" w:sz="0" w:space="0" w:color="auto"/>
          </w:divBdr>
          <w:divsChild>
            <w:div w:id="214633193">
              <w:marLeft w:val="0"/>
              <w:marRight w:val="0"/>
              <w:marTop w:val="0"/>
              <w:marBottom w:val="0"/>
              <w:divBdr>
                <w:top w:val="none" w:sz="0" w:space="0" w:color="auto"/>
                <w:left w:val="none" w:sz="0" w:space="0" w:color="auto"/>
                <w:bottom w:val="none" w:sz="0" w:space="0" w:color="auto"/>
                <w:right w:val="none" w:sz="0" w:space="0" w:color="auto"/>
              </w:divBdr>
            </w:div>
            <w:div w:id="471482948">
              <w:marLeft w:val="0"/>
              <w:marRight w:val="0"/>
              <w:marTop w:val="0"/>
              <w:marBottom w:val="0"/>
              <w:divBdr>
                <w:top w:val="none" w:sz="0" w:space="0" w:color="auto"/>
                <w:left w:val="none" w:sz="0" w:space="0" w:color="auto"/>
                <w:bottom w:val="none" w:sz="0" w:space="0" w:color="auto"/>
                <w:right w:val="none" w:sz="0" w:space="0" w:color="auto"/>
              </w:divBdr>
            </w:div>
            <w:div w:id="972056021">
              <w:marLeft w:val="0"/>
              <w:marRight w:val="0"/>
              <w:marTop w:val="0"/>
              <w:marBottom w:val="0"/>
              <w:divBdr>
                <w:top w:val="none" w:sz="0" w:space="0" w:color="auto"/>
                <w:left w:val="none" w:sz="0" w:space="0" w:color="auto"/>
                <w:bottom w:val="none" w:sz="0" w:space="0" w:color="auto"/>
                <w:right w:val="none" w:sz="0" w:space="0" w:color="auto"/>
              </w:divBdr>
            </w:div>
            <w:div w:id="1008600047">
              <w:marLeft w:val="0"/>
              <w:marRight w:val="0"/>
              <w:marTop w:val="0"/>
              <w:marBottom w:val="0"/>
              <w:divBdr>
                <w:top w:val="none" w:sz="0" w:space="0" w:color="auto"/>
                <w:left w:val="none" w:sz="0" w:space="0" w:color="auto"/>
                <w:bottom w:val="none" w:sz="0" w:space="0" w:color="auto"/>
                <w:right w:val="none" w:sz="0" w:space="0" w:color="auto"/>
              </w:divBdr>
            </w:div>
            <w:div w:id="1416172389">
              <w:marLeft w:val="0"/>
              <w:marRight w:val="0"/>
              <w:marTop w:val="0"/>
              <w:marBottom w:val="0"/>
              <w:divBdr>
                <w:top w:val="none" w:sz="0" w:space="0" w:color="auto"/>
                <w:left w:val="none" w:sz="0" w:space="0" w:color="auto"/>
                <w:bottom w:val="none" w:sz="0" w:space="0" w:color="auto"/>
                <w:right w:val="none" w:sz="0" w:space="0" w:color="auto"/>
              </w:divBdr>
            </w:div>
          </w:divsChild>
        </w:div>
        <w:div w:id="632100448">
          <w:marLeft w:val="0"/>
          <w:marRight w:val="0"/>
          <w:marTop w:val="0"/>
          <w:marBottom w:val="0"/>
          <w:divBdr>
            <w:top w:val="none" w:sz="0" w:space="0" w:color="auto"/>
            <w:left w:val="none" w:sz="0" w:space="0" w:color="auto"/>
            <w:bottom w:val="none" w:sz="0" w:space="0" w:color="auto"/>
            <w:right w:val="none" w:sz="0" w:space="0" w:color="auto"/>
          </w:divBdr>
        </w:div>
        <w:div w:id="1637182695">
          <w:marLeft w:val="0"/>
          <w:marRight w:val="0"/>
          <w:marTop w:val="0"/>
          <w:marBottom w:val="0"/>
          <w:divBdr>
            <w:top w:val="none" w:sz="0" w:space="0" w:color="auto"/>
            <w:left w:val="none" w:sz="0" w:space="0" w:color="auto"/>
            <w:bottom w:val="none" w:sz="0" w:space="0" w:color="auto"/>
            <w:right w:val="none" w:sz="0" w:space="0" w:color="auto"/>
          </w:divBdr>
        </w:div>
        <w:div w:id="1835760655">
          <w:marLeft w:val="0"/>
          <w:marRight w:val="0"/>
          <w:marTop w:val="0"/>
          <w:marBottom w:val="0"/>
          <w:divBdr>
            <w:top w:val="none" w:sz="0" w:space="0" w:color="auto"/>
            <w:left w:val="none" w:sz="0" w:space="0" w:color="auto"/>
            <w:bottom w:val="none" w:sz="0" w:space="0" w:color="auto"/>
            <w:right w:val="none" w:sz="0" w:space="0" w:color="auto"/>
          </w:divBdr>
        </w:div>
        <w:div w:id="2035954485">
          <w:marLeft w:val="0"/>
          <w:marRight w:val="0"/>
          <w:marTop w:val="0"/>
          <w:marBottom w:val="0"/>
          <w:divBdr>
            <w:top w:val="none" w:sz="0" w:space="0" w:color="auto"/>
            <w:left w:val="none" w:sz="0" w:space="0" w:color="auto"/>
            <w:bottom w:val="none" w:sz="0" w:space="0" w:color="auto"/>
            <w:right w:val="none" w:sz="0" w:space="0" w:color="auto"/>
          </w:divBdr>
        </w:div>
      </w:divsChild>
    </w:div>
    <w:div w:id="1604874645">
      <w:bodyDiv w:val="1"/>
      <w:marLeft w:val="0"/>
      <w:marRight w:val="0"/>
      <w:marTop w:val="0"/>
      <w:marBottom w:val="0"/>
      <w:divBdr>
        <w:top w:val="none" w:sz="0" w:space="0" w:color="auto"/>
        <w:left w:val="none" w:sz="0" w:space="0" w:color="auto"/>
        <w:bottom w:val="none" w:sz="0" w:space="0" w:color="auto"/>
        <w:right w:val="none" w:sz="0" w:space="0" w:color="auto"/>
      </w:divBdr>
      <w:divsChild>
        <w:div w:id="89007291">
          <w:marLeft w:val="0"/>
          <w:marRight w:val="0"/>
          <w:marTop w:val="0"/>
          <w:marBottom w:val="0"/>
          <w:divBdr>
            <w:top w:val="none" w:sz="0" w:space="0" w:color="auto"/>
            <w:left w:val="none" w:sz="0" w:space="0" w:color="auto"/>
            <w:bottom w:val="none" w:sz="0" w:space="0" w:color="auto"/>
            <w:right w:val="none" w:sz="0" w:space="0" w:color="auto"/>
          </w:divBdr>
        </w:div>
        <w:div w:id="292953584">
          <w:marLeft w:val="0"/>
          <w:marRight w:val="0"/>
          <w:marTop w:val="0"/>
          <w:marBottom w:val="0"/>
          <w:divBdr>
            <w:top w:val="none" w:sz="0" w:space="0" w:color="auto"/>
            <w:left w:val="none" w:sz="0" w:space="0" w:color="auto"/>
            <w:bottom w:val="none" w:sz="0" w:space="0" w:color="auto"/>
            <w:right w:val="none" w:sz="0" w:space="0" w:color="auto"/>
          </w:divBdr>
        </w:div>
        <w:div w:id="370811950">
          <w:marLeft w:val="0"/>
          <w:marRight w:val="0"/>
          <w:marTop w:val="0"/>
          <w:marBottom w:val="0"/>
          <w:divBdr>
            <w:top w:val="none" w:sz="0" w:space="0" w:color="auto"/>
            <w:left w:val="none" w:sz="0" w:space="0" w:color="auto"/>
            <w:bottom w:val="none" w:sz="0" w:space="0" w:color="auto"/>
            <w:right w:val="none" w:sz="0" w:space="0" w:color="auto"/>
          </w:divBdr>
        </w:div>
        <w:div w:id="402871831">
          <w:marLeft w:val="0"/>
          <w:marRight w:val="0"/>
          <w:marTop w:val="0"/>
          <w:marBottom w:val="0"/>
          <w:divBdr>
            <w:top w:val="none" w:sz="0" w:space="0" w:color="auto"/>
            <w:left w:val="none" w:sz="0" w:space="0" w:color="auto"/>
            <w:bottom w:val="none" w:sz="0" w:space="0" w:color="auto"/>
            <w:right w:val="none" w:sz="0" w:space="0" w:color="auto"/>
          </w:divBdr>
        </w:div>
        <w:div w:id="408773528">
          <w:marLeft w:val="0"/>
          <w:marRight w:val="0"/>
          <w:marTop w:val="0"/>
          <w:marBottom w:val="0"/>
          <w:divBdr>
            <w:top w:val="none" w:sz="0" w:space="0" w:color="auto"/>
            <w:left w:val="none" w:sz="0" w:space="0" w:color="auto"/>
            <w:bottom w:val="none" w:sz="0" w:space="0" w:color="auto"/>
            <w:right w:val="none" w:sz="0" w:space="0" w:color="auto"/>
          </w:divBdr>
        </w:div>
        <w:div w:id="477693017">
          <w:marLeft w:val="0"/>
          <w:marRight w:val="0"/>
          <w:marTop w:val="0"/>
          <w:marBottom w:val="0"/>
          <w:divBdr>
            <w:top w:val="none" w:sz="0" w:space="0" w:color="auto"/>
            <w:left w:val="none" w:sz="0" w:space="0" w:color="auto"/>
            <w:bottom w:val="none" w:sz="0" w:space="0" w:color="auto"/>
            <w:right w:val="none" w:sz="0" w:space="0" w:color="auto"/>
          </w:divBdr>
        </w:div>
        <w:div w:id="847520653">
          <w:marLeft w:val="0"/>
          <w:marRight w:val="0"/>
          <w:marTop w:val="0"/>
          <w:marBottom w:val="0"/>
          <w:divBdr>
            <w:top w:val="none" w:sz="0" w:space="0" w:color="auto"/>
            <w:left w:val="none" w:sz="0" w:space="0" w:color="auto"/>
            <w:bottom w:val="none" w:sz="0" w:space="0" w:color="auto"/>
            <w:right w:val="none" w:sz="0" w:space="0" w:color="auto"/>
          </w:divBdr>
        </w:div>
        <w:div w:id="1359816680">
          <w:marLeft w:val="0"/>
          <w:marRight w:val="0"/>
          <w:marTop w:val="0"/>
          <w:marBottom w:val="0"/>
          <w:divBdr>
            <w:top w:val="none" w:sz="0" w:space="0" w:color="auto"/>
            <w:left w:val="none" w:sz="0" w:space="0" w:color="auto"/>
            <w:bottom w:val="none" w:sz="0" w:space="0" w:color="auto"/>
            <w:right w:val="none" w:sz="0" w:space="0" w:color="auto"/>
          </w:divBdr>
        </w:div>
        <w:div w:id="1469321702">
          <w:marLeft w:val="0"/>
          <w:marRight w:val="0"/>
          <w:marTop w:val="0"/>
          <w:marBottom w:val="0"/>
          <w:divBdr>
            <w:top w:val="none" w:sz="0" w:space="0" w:color="auto"/>
            <w:left w:val="none" w:sz="0" w:space="0" w:color="auto"/>
            <w:bottom w:val="none" w:sz="0" w:space="0" w:color="auto"/>
            <w:right w:val="none" w:sz="0" w:space="0" w:color="auto"/>
          </w:divBdr>
        </w:div>
        <w:div w:id="1611399879">
          <w:marLeft w:val="0"/>
          <w:marRight w:val="0"/>
          <w:marTop w:val="0"/>
          <w:marBottom w:val="0"/>
          <w:divBdr>
            <w:top w:val="none" w:sz="0" w:space="0" w:color="auto"/>
            <w:left w:val="none" w:sz="0" w:space="0" w:color="auto"/>
            <w:bottom w:val="none" w:sz="0" w:space="0" w:color="auto"/>
            <w:right w:val="none" w:sz="0" w:space="0" w:color="auto"/>
          </w:divBdr>
        </w:div>
        <w:div w:id="1611619334">
          <w:marLeft w:val="0"/>
          <w:marRight w:val="0"/>
          <w:marTop w:val="0"/>
          <w:marBottom w:val="0"/>
          <w:divBdr>
            <w:top w:val="none" w:sz="0" w:space="0" w:color="auto"/>
            <w:left w:val="none" w:sz="0" w:space="0" w:color="auto"/>
            <w:bottom w:val="none" w:sz="0" w:space="0" w:color="auto"/>
            <w:right w:val="none" w:sz="0" w:space="0" w:color="auto"/>
          </w:divBdr>
        </w:div>
        <w:div w:id="1682930743">
          <w:marLeft w:val="0"/>
          <w:marRight w:val="0"/>
          <w:marTop w:val="0"/>
          <w:marBottom w:val="0"/>
          <w:divBdr>
            <w:top w:val="none" w:sz="0" w:space="0" w:color="auto"/>
            <w:left w:val="none" w:sz="0" w:space="0" w:color="auto"/>
            <w:bottom w:val="none" w:sz="0" w:space="0" w:color="auto"/>
            <w:right w:val="none" w:sz="0" w:space="0" w:color="auto"/>
          </w:divBdr>
        </w:div>
        <w:div w:id="1735616620">
          <w:marLeft w:val="0"/>
          <w:marRight w:val="0"/>
          <w:marTop w:val="0"/>
          <w:marBottom w:val="0"/>
          <w:divBdr>
            <w:top w:val="none" w:sz="0" w:space="0" w:color="auto"/>
            <w:left w:val="none" w:sz="0" w:space="0" w:color="auto"/>
            <w:bottom w:val="none" w:sz="0" w:space="0" w:color="auto"/>
            <w:right w:val="none" w:sz="0" w:space="0" w:color="auto"/>
          </w:divBdr>
        </w:div>
        <w:div w:id="1816877344">
          <w:marLeft w:val="0"/>
          <w:marRight w:val="0"/>
          <w:marTop w:val="0"/>
          <w:marBottom w:val="0"/>
          <w:divBdr>
            <w:top w:val="none" w:sz="0" w:space="0" w:color="auto"/>
            <w:left w:val="none" w:sz="0" w:space="0" w:color="auto"/>
            <w:bottom w:val="none" w:sz="0" w:space="0" w:color="auto"/>
            <w:right w:val="none" w:sz="0" w:space="0" w:color="auto"/>
          </w:divBdr>
        </w:div>
        <w:div w:id="1975670552">
          <w:marLeft w:val="0"/>
          <w:marRight w:val="0"/>
          <w:marTop w:val="0"/>
          <w:marBottom w:val="0"/>
          <w:divBdr>
            <w:top w:val="none" w:sz="0" w:space="0" w:color="auto"/>
            <w:left w:val="none" w:sz="0" w:space="0" w:color="auto"/>
            <w:bottom w:val="none" w:sz="0" w:space="0" w:color="auto"/>
            <w:right w:val="none" w:sz="0" w:space="0" w:color="auto"/>
          </w:divBdr>
        </w:div>
        <w:div w:id="2083091965">
          <w:marLeft w:val="0"/>
          <w:marRight w:val="0"/>
          <w:marTop w:val="0"/>
          <w:marBottom w:val="0"/>
          <w:divBdr>
            <w:top w:val="none" w:sz="0" w:space="0" w:color="auto"/>
            <w:left w:val="none" w:sz="0" w:space="0" w:color="auto"/>
            <w:bottom w:val="none" w:sz="0" w:space="0" w:color="auto"/>
            <w:right w:val="none" w:sz="0" w:space="0" w:color="auto"/>
          </w:divBdr>
        </w:div>
      </w:divsChild>
    </w:div>
    <w:div w:id="1614512047">
      <w:bodyDiv w:val="1"/>
      <w:marLeft w:val="0"/>
      <w:marRight w:val="0"/>
      <w:marTop w:val="0"/>
      <w:marBottom w:val="0"/>
      <w:divBdr>
        <w:top w:val="none" w:sz="0" w:space="0" w:color="auto"/>
        <w:left w:val="none" w:sz="0" w:space="0" w:color="auto"/>
        <w:bottom w:val="none" w:sz="0" w:space="0" w:color="auto"/>
        <w:right w:val="none" w:sz="0" w:space="0" w:color="auto"/>
      </w:divBdr>
      <w:divsChild>
        <w:div w:id="172575344">
          <w:marLeft w:val="0"/>
          <w:marRight w:val="0"/>
          <w:marTop w:val="0"/>
          <w:marBottom w:val="0"/>
          <w:divBdr>
            <w:top w:val="none" w:sz="0" w:space="0" w:color="auto"/>
            <w:left w:val="none" w:sz="0" w:space="0" w:color="auto"/>
            <w:bottom w:val="none" w:sz="0" w:space="0" w:color="auto"/>
            <w:right w:val="none" w:sz="0" w:space="0" w:color="auto"/>
          </w:divBdr>
        </w:div>
        <w:div w:id="195777603">
          <w:marLeft w:val="0"/>
          <w:marRight w:val="0"/>
          <w:marTop w:val="0"/>
          <w:marBottom w:val="0"/>
          <w:divBdr>
            <w:top w:val="none" w:sz="0" w:space="0" w:color="auto"/>
            <w:left w:val="none" w:sz="0" w:space="0" w:color="auto"/>
            <w:bottom w:val="none" w:sz="0" w:space="0" w:color="auto"/>
            <w:right w:val="none" w:sz="0" w:space="0" w:color="auto"/>
          </w:divBdr>
        </w:div>
        <w:div w:id="681903907">
          <w:marLeft w:val="0"/>
          <w:marRight w:val="0"/>
          <w:marTop w:val="0"/>
          <w:marBottom w:val="0"/>
          <w:divBdr>
            <w:top w:val="none" w:sz="0" w:space="0" w:color="auto"/>
            <w:left w:val="none" w:sz="0" w:space="0" w:color="auto"/>
            <w:bottom w:val="none" w:sz="0" w:space="0" w:color="auto"/>
            <w:right w:val="none" w:sz="0" w:space="0" w:color="auto"/>
          </w:divBdr>
        </w:div>
        <w:div w:id="1168639146">
          <w:marLeft w:val="0"/>
          <w:marRight w:val="0"/>
          <w:marTop w:val="0"/>
          <w:marBottom w:val="0"/>
          <w:divBdr>
            <w:top w:val="none" w:sz="0" w:space="0" w:color="auto"/>
            <w:left w:val="none" w:sz="0" w:space="0" w:color="auto"/>
            <w:bottom w:val="none" w:sz="0" w:space="0" w:color="auto"/>
            <w:right w:val="none" w:sz="0" w:space="0" w:color="auto"/>
          </w:divBdr>
        </w:div>
        <w:div w:id="1391075107">
          <w:marLeft w:val="0"/>
          <w:marRight w:val="0"/>
          <w:marTop w:val="0"/>
          <w:marBottom w:val="0"/>
          <w:divBdr>
            <w:top w:val="none" w:sz="0" w:space="0" w:color="auto"/>
            <w:left w:val="none" w:sz="0" w:space="0" w:color="auto"/>
            <w:bottom w:val="none" w:sz="0" w:space="0" w:color="auto"/>
            <w:right w:val="none" w:sz="0" w:space="0" w:color="auto"/>
          </w:divBdr>
        </w:div>
        <w:div w:id="1433090459">
          <w:marLeft w:val="0"/>
          <w:marRight w:val="0"/>
          <w:marTop w:val="0"/>
          <w:marBottom w:val="0"/>
          <w:divBdr>
            <w:top w:val="none" w:sz="0" w:space="0" w:color="auto"/>
            <w:left w:val="none" w:sz="0" w:space="0" w:color="auto"/>
            <w:bottom w:val="none" w:sz="0" w:space="0" w:color="auto"/>
            <w:right w:val="none" w:sz="0" w:space="0" w:color="auto"/>
          </w:divBdr>
        </w:div>
        <w:div w:id="2068648940">
          <w:marLeft w:val="0"/>
          <w:marRight w:val="0"/>
          <w:marTop w:val="0"/>
          <w:marBottom w:val="0"/>
          <w:divBdr>
            <w:top w:val="none" w:sz="0" w:space="0" w:color="auto"/>
            <w:left w:val="none" w:sz="0" w:space="0" w:color="auto"/>
            <w:bottom w:val="none" w:sz="0" w:space="0" w:color="auto"/>
            <w:right w:val="none" w:sz="0" w:space="0" w:color="auto"/>
          </w:divBdr>
        </w:div>
      </w:divsChild>
    </w:div>
    <w:div w:id="1639797896">
      <w:bodyDiv w:val="1"/>
      <w:marLeft w:val="0"/>
      <w:marRight w:val="0"/>
      <w:marTop w:val="0"/>
      <w:marBottom w:val="0"/>
      <w:divBdr>
        <w:top w:val="none" w:sz="0" w:space="0" w:color="auto"/>
        <w:left w:val="none" w:sz="0" w:space="0" w:color="auto"/>
        <w:bottom w:val="none" w:sz="0" w:space="0" w:color="auto"/>
        <w:right w:val="none" w:sz="0" w:space="0" w:color="auto"/>
      </w:divBdr>
      <w:divsChild>
        <w:div w:id="96681834">
          <w:marLeft w:val="0"/>
          <w:marRight w:val="0"/>
          <w:marTop w:val="0"/>
          <w:marBottom w:val="0"/>
          <w:divBdr>
            <w:top w:val="none" w:sz="0" w:space="0" w:color="auto"/>
            <w:left w:val="none" w:sz="0" w:space="0" w:color="auto"/>
            <w:bottom w:val="none" w:sz="0" w:space="0" w:color="auto"/>
            <w:right w:val="none" w:sz="0" w:space="0" w:color="auto"/>
          </w:divBdr>
        </w:div>
        <w:div w:id="114033530">
          <w:marLeft w:val="0"/>
          <w:marRight w:val="0"/>
          <w:marTop w:val="0"/>
          <w:marBottom w:val="0"/>
          <w:divBdr>
            <w:top w:val="none" w:sz="0" w:space="0" w:color="auto"/>
            <w:left w:val="none" w:sz="0" w:space="0" w:color="auto"/>
            <w:bottom w:val="none" w:sz="0" w:space="0" w:color="auto"/>
            <w:right w:val="none" w:sz="0" w:space="0" w:color="auto"/>
          </w:divBdr>
        </w:div>
        <w:div w:id="145900294">
          <w:marLeft w:val="0"/>
          <w:marRight w:val="0"/>
          <w:marTop w:val="0"/>
          <w:marBottom w:val="0"/>
          <w:divBdr>
            <w:top w:val="none" w:sz="0" w:space="0" w:color="auto"/>
            <w:left w:val="none" w:sz="0" w:space="0" w:color="auto"/>
            <w:bottom w:val="none" w:sz="0" w:space="0" w:color="auto"/>
            <w:right w:val="none" w:sz="0" w:space="0" w:color="auto"/>
          </w:divBdr>
        </w:div>
        <w:div w:id="1461217718">
          <w:marLeft w:val="0"/>
          <w:marRight w:val="0"/>
          <w:marTop w:val="0"/>
          <w:marBottom w:val="0"/>
          <w:divBdr>
            <w:top w:val="none" w:sz="0" w:space="0" w:color="auto"/>
            <w:left w:val="none" w:sz="0" w:space="0" w:color="auto"/>
            <w:bottom w:val="none" w:sz="0" w:space="0" w:color="auto"/>
            <w:right w:val="none" w:sz="0" w:space="0" w:color="auto"/>
          </w:divBdr>
        </w:div>
        <w:div w:id="1489981439">
          <w:marLeft w:val="0"/>
          <w:marRight w:val="0"/>
          <w:marTop w:val="0"/>
          <w:marBottom w:val="0"/>
          <w:divBdr>
            <w:top w:val="none" w:sz="0" w:space="0" w:color="auto"/>
            <w:left w:val="none" w:sz="0" w:space="0" w:color="auto"/>
            <w:bottom w:val="none" w:sz="0" w:space="0" w:color="auto"/>
            <w:right w:val="none" w:sz="0" w:space="0" w:color="auto"/>
          </w:divBdr>
        </w:div>
        <w:div w:id="1688284610">
          <w:marLeft w:val="0"/>
          <w:marRight w:val="0"/>
          <w:marTop w:val="0"/>
          <w:marBottom w:val="0"/>
          <w:divBdr>
            <w:top w:val="none" w:sz="0" w:space="0" w:color="auto"/>
            <w:left w:val="none" w:sz="0" w:space="0" w:color="auto"/>
            <w:bottom w:val="none" w:sz="0" w:space="0" w:color="auto"/>
            <w:right w:val="none" w:sz="0" w:space="0" w:color="auto"/>
          </w:divBdr>
        </w:div>
      </w:divsChild>
    </w:div>
    <w:div w:id="1679236873">
      <w:bodyDiv w:val="1"/>
      <w:marLeft w:val="0"/>
      <w:marRight w:val="0"/>
      <w:marTop w:val="0"/>
      <w:marBottom w:val="0"/>
      <w:divBdr>
        <w:top w:val="none" w:sz="0" w:space="0" w:color="auto"/>
        <w:left w:val="none" w:sz="0" w:space="0" w:color="auto"/>
        <w:bottom w:val="none" w:sz="0" w:space="0" w:color="auto"/>
        <w:right w:val="none" w:sz="0" w:space="0" w:color="auto"/>
      </w:divBdr>
      <w:divsChild>
        <w:div w:id="75903239">
          <w:marLeft w:val="0"/>
          <w:marRight w:val="0"/>
          <w:marTop w:val="0"/>
          <w:marBottom w:val="0"/>
          <w:divBdr>
            <w:top w:val="none" w:sz="0" w:space="0" w:color="auto"/>
            <w:left w:val="none" w:sz="0" w:space="0" w:color="auto"/>
            <w:bottom w:val="none" w:sz="0" w:space="0" w:color="auto"/>
            <w:right w:val="none" w:sz="0" w:space="0" w:color="auto"/>
          </w:divBdr>
        </w:div>
        <w:div w:id="153297924">
          <w:marLeft w:val="0"/>
          <w:marRight w:val="0"/>
          <w:marTop w:val="0"/>
          <w:marBottom w:val="0"/>
          <w:divBdr>
            <w:top w:val="none" w:sz="0" w:space="0" w:color="auto"/>
            <w:left w:val="none" w:sz="0" w:space="0" w:color="auto"/>
            <w:bottom w:val="none" w:sz="0" w:space="0" w:color="auto"/>
            <w:right w:val="none" w:sz="0" w:space="0" w:color="auto"/>
          </w:divBdr>
        </w:div>
        <w:div w:id="376897844">
          <w:marLeft w:val="0"/>
          <w:marRight w:val="0"/>
          <w:marTop w:val="0"/>
          <w:marBottom w:val="0"/>
          <w:divBdr>
            <w:top w:val="none" w:sz="0" w:space="0" w:color="auto"/>
            <w:left w:val="none" w:sz="0" w:space="0" w:color="auto"/>
            <w:bottom w:val="none" w:sz="0" w:space="0" w:color="auto"/>
            <w:right w:val="none" w:sz="0" w:space="0" w:color="auto"/>
          </w:divBdr>
        </w:div>
        <w:div w:id="421031297">
          <w:marLeft w:val="0"/>
          <w:marRight w:val="0"/>
          <w:marTop w:val="0"/>
          <w:marBottom w:val="0"/>
          <w:divBdr>
            <w:top w:val="none" w:sz="0" w:space="0" w:color="auto"/>
            <w:left w:val="none" w:sz="0" w:space="0" w:color="auto"/>
            <w:bottom w:val="none" w:sz="0" w:space="0" w:color="auto"/>
            <w:right w:val="none" w:sz="0" w:space="0" w:color="auto"/>
          </w:divBdr>
        </w:div>
        <w:div w:id="758211333">
          <w:marLeft w:val="0"/>
          <w:marRight w:val="0"/>
          <w:marTop w:val="0"/>
          <w:marBottom w:val="0"/>
          <w:divBdr>
            <w:top w:val="none" w:sz="0" w:space="0" w:color="auto"/>
            <w:left w:val="none" w:sz="0" w:space="0" w:color="auto"/>
            <w:bottom w:val="none" w:sz="0" w:space="0" w:color="auto"/>
            <w:right w:val="none" w:sz="0" w:space="0" w:color="auto"/>
          </w:divBdr>
        </w:div>
        <w:div w:id="902834616">
          <w:marLeft w:val="0"/>
          <w:marRight w:val="0"/>
          <w:marTop w:val="0"/>
          <w:marBottom w:val="0"/>
          <w:divBdr>
            <w:top w:val="none" w:sz="0" w:space="0" w:color="auto"/>
            <w:left w:val="none" w:sz="0" w:space="0" w:color="auto"/>
            <w:bottom w:val="none" w:sz="0" w:space="0" w:color="auto"/>
            <w:right w:val="none" w:sz="0" w:space="0" w:color="auto"/>
          </w:divBdr>
        </w:div>
        <w:div w:id="903490779">
          <w:marLeft w:val="0"/>
          <w:marRight w:val="0"/>
          <w:marTop w:val="0"/>
          <w:marBottom w:val="0"/>
          <w:divBdr>
            <w:top w:val="none" w:sz="0" w:space="0" w:color="auto"/>
            <w:left w:val="none" w:sz="0" w:space="0" w:color="auto"/>
            <w:bottom w:val="none" w:sz="0" w:space="0" w:color="auto"/>
            <w:right w:val="none" w:sz="0" w:space="0" w:color="auto"/>
          </w:divBdr>
        </w:div>
        <w:div w:id="979960720">
          <w:marLeft w:val="0"/>
          <w:marRight w:val="0"/>
          <w:marTop w:val="0"/>
          <w:marBottom w:val="0"/>
          <w:divBdr>
            <w:top w:val="none" w:sz="0" w:space="0" w:color="auto"/>
            <w:left w:val="none" w:sz="0" w:space="0" w:color="auto"/>
            <w:bottom w:val="none" w:sz="0" w:space="0" w:color="auto"/>
            <w:right w:val="none" w:sz="0" w:space="0" w:color="auto"/>
          </w:divBdr>
        </w:div>
        <w:div w:id="1279992752">
          <w:marLeft w:val="0"/>
          <w:marRight w:val="0"/>
          <w:marTop w:val="0"/>
          <w:marBottom w:val="0"/>
          <w:divBdr>
            <w:top w:val="none" w:sz="0" w:space="0" w:color="auto"/>
            <w:left w:val="none" w:sz="0" w:space="0" w:color="auto"/>
            <w:bottom w:val="none" w:sz="0" w:space="0" w:color="auto"/>
            <w:right w:val="none" w:sz="0" w:space="0" w:color="auto"/>
          </w:divBdr>
        </w:div>
        <w:div w:id="1662389986">
          <w:marLeft w:val="0"/>
          <w:marRight w:val="0"/>
          <w:marTop w:val="0"/>
          <w:marBottom w:val="0"/>
          <w:divBdr>
            <w:top w:val="none" w:sz="0" w:space="0" w:color="auto"/>
            <w:left w:val="none" w:sz="0" w:space="0" w:color="auto"/>
            <w:bottom w:val="none" w:sz="0" w:space="0" w:color="auto"/>
            <w:right w:val="none" w:sz="0" w:space="0" w:color="auto"/>
          </w:divBdr>
        </w:div>
        <w:div w:id="1922523385">
          <w:marLeft w:val="0"/>
          <w:marRight w:val="0"/>
          <w:marTop w:val="0"/>
          <w:marBottom w:val="0"/>
          <w:divBdr>
            <w:top w:val="none" w:sz="0" w:space="0" w:color="auto"/>
            <w:left w:val="none" w:sz="0" w:space="0" w:color="auto"/>
            <w:bottom w:val="none" w:sz="0" w:space="0" w:color="auto"/>
            <w:right w:val="none" w:sz="0" w:space="0" w:color="auto"/>
          </w:divBdr>
        </w:div>
      </w:divsChild>
    </w:div>
    <w:div w:id="1689218002">
      <w:bodyDiv w:val="1"/>
      <w:marLeft w:val="0"/>
      <w:marRight w:val="0"/>
      <w:marTop w:val="0"/>
      <w:marBottom w:val="0"/>
      <w:divBdr>
        <w:top w:val="none" w:sz="0" w:space="0" w:color="auto"/>
        <w:left w:val="none" w:sz="0" w:space="0" w:color="auto"/>
        <w:bottom w:val="none" w:sz="0" w:space="0" w:color="auto"/>
        <w:right w:val="none" w:sz="0" w:space="0" w:color="auto"/>
      </w:divBdr>
      <w:divsChild>
        <w:div w:id="62486479">
          <w:marLeft w:val="0"/>
          <w:marRight w:val="0"/>
          <w:marTop w:val="0"/>
          <w:marBottom w:val="0"/>
          <w:divBdr>
            <w:top w:val="none" w:sz="0" w:space="0" w:color="auto"/>
            <w:left w:val="none" w:sz="0" w:space="0" w:color="auto"/>
            <w:bottom w:val="none" w:sz="0" w:space="0" w:color="auto"/>
            <w:right w:val="none" w:sz="0" w:space="0" w:color="auto"/>
          </w:divBdr>
        </w:div>
        <w:div w:id="90199870">
          <w:marLeft w:val="0"/>
          <w:marRight w:val="0"/>
          <w:marTop w:val="0"/>
          <w:marBottom w:val="0"/>
          <w:divBdr>
            <w:top w:val="none" w:sz="0" w:space="0" w:color="auto"/>
            <w:left w:val="none" w:sz="0" w:space="0" w:color="auto"/>
            <w:bottom w:val="none" w:sz="0" w:space="0" w:color="auto"/>
            <w:right w:val="none" w:sz="0" w:space="0" w:color="auto"/>
          </w:divBdr>
        </w:div>
        <w:div w:id="313263229">
          <w:marLeft w:val="0"/>
          <w:marRight w:val="0"/>
          <w:marTop w:val="0"/>
          <w:marBottom w:val="0"/>
          <w:divBdr>
            <w:top w:val="none" w:sz="0" w:space="0" w:color="auto"/>
            <w:left w:val="none" w:sz="0" w:space="0" w:color="auto"/>
            <w:bottom w:val="none" w:sz="0" w:space="0" w:color="auto"/>
            <w:right w:val="none" w:sz="0" w:space="0" w:color="auto"/>
          </w:divBdr>
        </w:div>
        <w:div w:id="754864703">
          <w:marLeft w:val="0"/>
          <w:marRight w:val="0"/>
          <w:marTop w:val="0"/>
          <w:marBottom w:val="0"/>
          <w:divBdr>
            <w:top w:val="none" w:sz="0" w:space="0" w:color="auto"/>
            <w:left w:val="none" w:sz="0" w:space="0" w:color="auto"/>
            <w:bottom w:val="none" w:sz="0" w:space="0" w:color="auto"/>
            <w:right w:val="none" w:sz="0" w:space="0" w:color="auto"/>
          </w:divBdr>
        </w:div>
        <w:div w:id="781924786">
          <w:marLeft w:val="0"/>
          <w:marRight w:val="0"/>
          <w:marTop w:val="0"/>
          <w:marBottom w:val="0"/>
          <w:divBdr>
            <w:top w:val="none" w:sz="0" w:space="0" w:color="auto"/>
            <w:left w:val="none" w:sz="0" w:space="0" w:color="auto"/>
            <w:bottom w:val="none" w:sz="0" w:space="0" w:color="auto"/>
            <w:right w:val="none" w:sz="0" w:space="0" w:color="auto"/>
          </w:divBdr>
        </w:div>
        <w:div w:id="792987768">
          <w:marLeft w:val="0"/>
          <w:marRight w:val="0"/>
          <w:marTop w:val="0"/>
          <w:marBottom w:val="0"/>
          <w:divBdr>
            <w:top w:val="none" w:sz="0" w:space="0" w:color="auto"/>
            <w:left w:val="none" w:sz="0" w:space="0" w:color="auto"/>
            <w:bottom w:val="none" w:sz="0" w:space="0" w:color="auto"/>
            <w:right w:val="none" w:sz="0" w:space="0" w:color="auto"/>
          </w:divBdr>
        </w:div>
        <w:div w:id="1184897772">
          <w:marLeft w:val="0"/>
          <w:marRight w:val="0"/>
          <w:marTop w:val="0"/>
          <w:marBottom w:val="0"/>
          <w:divBdr>
            <w:top w:val="none" w:sz="0" w:space="0" w:color="auto"/>
            <w:left w:val="none" w:sz="0" w:space="0" w:color="auto"/>
            <w:bottom w:val="none" w:sz="0" w:space="0" w:color="auto"/>
            <w:right w:val="none" w:sz="0" w:space="0" w:color="auto"/>
          </w:divBdr>
        </w:div>
        <w:div w:id="1436247083">
          <w:marLeft w:val="0"/>
          <w:marRight w:val="0"/>
          <w:marTop w:val="0"/>
          <w:marBottom w:val="0"/>
          <w:divBdr>
            <w:top w:val="none" w:sz="0" w:space="0" w:color="auto"/>
            <w:left w:val="none" w:sz="0" w:space="0" w:color="auto"/>
            <w:bottom w:val="none" w:sz="0" w:space="0" w:color="auto"/>
            <w:right w:val="none" w:sz="0" w:space="0" w:color="auto"/>
          </w:divBdr>
        </w:div>
        <w:div w:id="1544366068">
          <w:marLeft w:val="0"/>
          <w:marRight w:val="0"/>
          <w:marTop w:val="0"/>
          <w:marBottom w:val="0"/>
          <w:divBdr>
            <w:top w:val="none" w:sz="0" w:space="0" w:color="auto"/>
            <w:left w:val="none" w:sz="0" w:space="0" w:color="auto"/>
            <w:bottom w:val="none" w:sz="0" w:space="0" w:color="auto"/>
            <w:right w:val="none" w:sz="0" w:space="0" w:color="auto"/>
          </w:divBdr>
        </w:div>
        <w:div w:id="1551922941">
          <w:marLeft w:val="0"/>
          <w:marRight w:val="0"/>
          <w:marTop w:val="0"/>
          <w:marBottom w:val="0"/>
          <w:divBdr>
            <w:top w:val="none" w:sz="0" w:space="0" w:color="auto"/>
            <w:left w:val="none" w:sz="0" w:space="0" w:color="auto"/>
            <w:bottom w:val="none" w:sz="0" w:space="0" w:color="auto"/>
            <w:right w:val="none" w:sz="0" w:space="0" w:color="auto"/>
          </w:divBdr>
        </w:div>
        <w:div w:id="1688559177">
          <w:marLeft w:val="0"/>
          <w:marRight w:val="0"/>
          <w:marTop w:val="0"/>
          <w:marBottom w:val="0"/>
          <w:divBdr>
            <w:top w:val="none" w:sz="0" w:space="0" w:color="auto"/>
            <w:left w:val="none" w:sz="0" w:space="0" w:color="auto"/>
            <w:bottom w:val="none" w:sz="0" w:space="0" w:color="auto"/>
            <w:right w:val="none" w:sz="0" w:space="0" w:color="auto"/>
          </w:divBdr>
        </w:div>
        <w:div w:id="1729300509">
          <w:marLeft w:val="0"/>
          <w:marRight w:val="0"/>
          <w:marTop w:val="0"/>
          <w:marBottom w:val="0"/>
          <w:divBdr>
            <w:top w:val="none" w:sz="0" w:space="0" w:color="auto"/>
            <w:left w:val="none" w:sz="0" w:space="0" w:color="auto"/>
            <w:bottom w:val="none" w:sz="0" w:space="0" w:color="auto"/>
            <w:right w:val="none" w:sz="0" w:space="0" w:color="auto"/>
          </w:divBdr>
        </w:div>
        <w:div w:id="1815367888">
          <w:marLeft w:val="0"/>
          <w:marRight w:val="0"/>
          <w:marTop w:val="0"/>
          <w:marBottom w:val="0"/>
          <w:divBdr>
            <w:top w:val="none" w:sz="0" w:space="0" w:color="auto"/>
            <w:left w:val="none" w:sz="0" w:space="0" w:color="auto"/>
            <w:bottom w:val="none" w:sz="0" w:space="0" w:color="auto"/>
            <w:right w:val="none" w:sz="0" w:space="0" w:color="auto"/>
          </w:divBdr>
        </w:div>
        <w:div w:id="1912620735">
          <w:marLeft w:val="0"/>
          <w:marRight w:val="0"/>
          <w:marTop w:val="0"/>
          <w:marBottom w:val="0"/>
          <w:divBdr>
            <w:top w:val="none" w:sz="0" w:space="0" w:color="auto"/>
            <w:left w:val="none" w:sz="0" w:space="0" w:color="auto"/>
            <w:bottom w:val="none" w:sz="0" w:space="0" w:color="auto"/>
            <w:right w:val="none" w:sz="0" w:space="0" w:color="auto"/>
          </w:divBdr>
        </w:div>
        <w:div w:id="2140687184">
          <w:marLeft w:val="0"/>
          <w:marRight w:val="0"/>
          <w:marTop w:val="0"/>
          <w:marBottom w:val="0"/>
          <w:divBdr>
            <w:top w:val="none" w:sz="0" w:space="0" w:color="auto"/>
            <w:left w:val="none" w:sz="0" w:space="0" w:color="auto"/>
            <w:bottom w:val="none" w:sz="0" w:space="0" w:color="auto"/>
            <w:right w:val="none" w:sz="0" w:space="0" w:color="auto"/>
          </w:divBdr>
        </w:div>
      </w:divsChild>
    </w:div>
    <w:div w:id="1696687072">
      <w:bodyDiv w:val="1"/>
      <w:marLeft w:val="0"/>
      <w:marRight w:val="0"/>
      <w:marTop w:val="0"/>
      <w:marBottom w:val="0"/>
      <w:divBdr>
        <w:top w:val="none" w:sz="0" w:space="0" w:color="auto"/>
        <w:left w:val="none" w:sz="0" w:space="0" w:color="auto"/>
        <w:bottom w:val="none" w:sz="0" w:space="0" w:color="auto"/>
        <w:right w:val="none" w:sz="0" w:space="0" w:color="auto"/>
      </w:divBdr>
      <w:divsChild>
        <w:div w:id="29772492">
          <w:marLeft w:val="0"/>
          <w:marRight w:val="0"/>
          <w:marTop w:val="0"/>
          <w:marBottom w:val="0"/>
          <w:divBdr>
            <w:top w:val="none" w:sz="0" w:space="0" w:color="auto"/>
            <w:left w:val="none" w:sz="0" w:space="0" w:color="auto"/>
            <w:bottom w:val="none" w:sz="0" w:space="0" w:color="auto"/>
            <w:right w:val="none" w:sz="0" w:space="0" w:color="auto"/>
          </w:divBdr>
        </w:div>
        <w:div w:id="384139089">
          <w:marLeft w:val="0"/>
          <w:marRight w:val="0"/>
          <w:marTop w:val="0"/>
          <w:marBottom w:val="0"/>
          <w:divBdr>
            <w:top w:val="none" w:sz="0" w:space="0" w:color="auto"/>
            <w:left w:val="none" w:sz="0" w:space="0" w:color="auto"/>
            <w:bottom w:val="none" w:sz="0" w:space="0" w:color="auto"/>
            <w:right w:val="none" w:sz="0" w:space="0" w:color="auto"/>
          </w:divBdr>
        </w:div>
        <w:div w:id="476726998">
          <w:marLeft w:val="0"/>
          <w:marRight w:val="0"/>
          <w:marTop w:val="0"/>
          <w:marBottom w:val="0"/>
          <w:divBdr>
            <w:top w:val="none" w:sz="0" w:space="0" w:color="auto"/>
            <w:left w:val="none" w:sz="0" w:space="0" w:color="auto"/>
            <w:bottom w:val="none" w:sz="0" w:space="0" w:color="auto"/>
            <w:right w:val="none" w:sz="0" w:space="0" w:color="auto"/>
          </w:divBdr>
        </w:div>
        <w:div w:id="659232215">
          <w:marLeft w:val="0"/>
          <w:marRight w:val="0"/>
          <w:marTop w:val="0"/>
          <w:marBottom w:val="0"/>
          <w:divBdr>
            <w:top w:val="none" w:sz="0" w:space="0" w:color="auto"/>
            <w:left w:val="none" w:sz="0" w:space="0" w:color="auto"/>
            <w:bottom w:val="none" w:sz="0" w:space="0" w:color="auto"/>
            <w:right w:val="none" w:sz="0" w:space="0" w:color="auto"/>
          </w:divBdr>
        </w:div>
        <w:div w:id="683282946">
          <w:marLeft w:val="0"/>
          <w:marRight w:val="0"/>
          <w:marTop w:val="0"/>
          <w:marBottom w:val="0"/>
          <w:divBdr>
            <w:top w:val="none" w:sz="0" w:space="0" w:color="auto"/>
            <w:left w:val="none" w:sz="0" w:space="0" w:color="auto"/>
            <w:bottom w:val="none" w:sz="0" w:space="0" w:color="auto"/>
            <w:right w:val="none" w:sz="0" w:space="0" w:color="auto"/>
          </w:divBdr>
        </w:div>
        <w:div w:id="983657315">
          <w:marLeft w:val="0"/>
          <w:marRight w:val="0"/>
          <w:marTop w:val="0"/>
          <w:marBottom w:val="0"/>
          <w:divBdr>
            <w:top w:val="none" w:sz="0" w:space="0" w:color="auto"/>
            <w:left w:val="none" w:sz="0" w:space="0" w:color="auto"/>
            <w:bottom w:val="none" w:sz="0" w:space="0" w:color="auto"/>
            <w:right w:val="none" w:sz="0" w:space="0" w:color="auto"/>
          </w:divBdr>
        </w:div>
        <w:div w:id="1297445475">
          <w:marLeft w:val="0"/>
          <w:marRight w:val="0"/>
          <w:marTop w:val="0"/>
          <w:marBottom w:val="0"/>
          <w:divBdr>
            <w:top w:val="none" w:sz="0" w:space="0" w:color="auto"/>
            <w:left w:val="none" w:sz="0" w:space="0" w:color="auto"/>
            <w:bottom w:val="none" w:sz="0" w:space="0" w:color="auto"/>
            <w:right w:val="none" w:sz="0" w:space="0" w:color="auto"/>
          </w:divBdr>
        </w:div>
        <w:div w:id="1356225787">
          <w:marLeft w:val="0"/>
          <w:marRight w:val="0"/>
          <w:marTop w:val="0"/>
          <w:marBottom w:val="0"/>
          <w:divBdr>
            <w:top w:val="none" w:sz="0" w:space="0" w:color="auto"/>
            <w:left w:val="none" w:sz="0" w:space="0" w:color="auto"/>
            <w:bottom w:val="none" w:sz="0" w:space="0" w:color="auto"/>
            <w:right w:val="none" w:sz="0" w:space="0" w:color="auto"/>
          </w:divBdr>
        </w:div>
        <w:div w:id="1376390937">
          <w:marLeft w:val="0"/>
          <w:marRight w:val="0"/>
          <w:marTop w:val="0"/>
          <w:marBottom w:val="0"/>
          <w:divBdr>
            <w:top w:val="none" w:sz="0" w:space="0" w:color="auto"/>
            <w:left w:val="none" w:sz="0" w:space="0" w:color="auto"/>
            <w:bottom w:val="none" w:sz="0" w:space="0" w:color="auto"/>
            <w:right w:val="none" w:sz="0" w:space="0" w:color="auto"/>
          </w:divBdr>
        </w:div>
        <w:div w:id="1498231905">
          <w:marLeft w:val="0"/>
          <w:marRight w:val="0"/>
          <w:marTop w:val="0"/>
          <w:marBottom w:val="0"/>
          <w:divBdr>
            <w:top w:val="none" w:sz="0" w:space="0" w:color="auto"/>
            <w:left w:val="none" w:sz="0" w:space="0" w:color="auto"/>
            <w:bottom w:val="none" w:sz="0" w:space="0" w:color="auto"/>
            <w:right w:val="none" w:sz="0" w:space="0" w:color="auto"/>
          </w:divBdr>
        </w:div>
        <w:div w:id="1505171173">
          <w:marLeft w:val="0"/>
          <w:marRight w:val="0"/>
          <w:marTop w:val="0"/>
          <w:marBottom w:val="0"/>
          <w:divBdr>
            <w:top w:val="none" w:sz="0" w:space="0" w:color="auto"/>
            <w:left w:val="none" w:sz="0" w:space="0" w:color="auto"/>
            <w:bottom w:val="none" w:sz="0" w:space="0" w:color="auto"/>
            <w:right w:val="none" w:sz="0" w:space="0" w:color="auto"/>
          </w:divBdr>
        </w:div>
        <w:div w:id="1600525756">
          <w:marLeft w:val="0"/>
          <w:marRight w:val="0"/>
          <w:marTop w:val="0"/>
          <w:marBottom w:val="0"/>
          <w:divBdr>
            <w:top w:val="none" w:sz="0" w:space="0" w:color="auto"/>
            <w:left w:val="none" w:sz="0" w:space="0" w:color="auto"/>
            <w:bottom w:val="none" w:sz="0" w:space="0" w:color="auto"/>
            <w:right w:val="none" w:sz="0" w:space="0" w:color="auto"/>
          </w:divBdr>
        </w:div>
        <w:div w:id="1898466915">
          <w:marLeft w:val="0"/>
          <w:marRight w:val="0"/>
          <w:marTop w:val="0"/>
          <w:marBottom w:val="0"/>
          <w:divBdr>
            <w:top w:val="none" w:sz="0" w:space="0" w:color="auto"/>
            <w:left w:val="none" w:sz="0" w:space="0" w:color="auto"/>
            <w:bottom w:val="none" w:sz="0" w:space="0" w:color="auto"/>
            <w:right w:val="none" w:sz="0" w:space="0" w:color="auto"/>
          </w:divBdr>
        </w:div>
        <w:div w:id="2031836436">
          <w:marLeft w:val="0"/>
          <w:marRight w:val="0"/>
          <w:marTop w:val="0"/>
          <w:marBottom w:val="0"/>
          <w:divBdr>
            <w:top w:val="none" w:sz="0" w:space="0" w:color="auto"/>
            <w:left w:val="none" w:sz="0" w:space="0" w:color="auto"/>
            <w:bottom w:val="none" w:sz="0" w:space="0" w:color="auto"/>
            <w:right w:val="none" w:sz="0" w:space="0" w:color="auto"/>
          </w:divBdr>
        </w:div>
        <w:div w:id="2052224156">
          <w:marLeft w:val="0"/>
          <w:marRight w:val="0"/>
          <w:marTop w:val="0"/>
          <w:marBottom w:val="0"/>
          <w:divBdr>
            <w:top w:val="none" w:sz="0" w:space="0" w:color="auto"/>
            <w:left w:val="none" w:sz="0" w:space="0" w:color="auto"/>
            <w:bottom w:val="none" w:sz="0" w:space="0" w:color="auto"/>
            <w:right w:val="none" w:sz="0" w:space="0" w:color="auto"/>
          </w:divBdr>
        </w:div>
      </w:divsChild>
    </w:div>
    <w:div w:id="1700741207">
      <w:bodyDiv w:val="1"/>
      <w:marLeft w:val="0"/>
      <w:marRight w:val="0"/>
      <w:marTop w:val="0"/>
      <w:marBottom w:val="0"/>
      <w:divBdr>
        <w:top w:val="none" w:sz="0" w:space="0" w:color="auto"/>
        <w:left w:val="none" w:sz="0" w:space="0" w:color="auto"/>
        <w:bottom w:val="none" w:sz="0" w:space="0" w:color="auto"/>
        <w:right w:val="none" w:sz="0" w:space="0" w:color="auto"/>
      </w:divBdr>
      <w:divsChild>
        <w:div w:id="5517894">
          <w:marLeft w:val="0"/>
          <w:marRight w:val="0"/>
          <w:marTop w:val="0"/>
          <w:marBottom w:val="0"/>
          <w:divBdr>
            <w:top w:val="none" w:sz="0" w:space="0" w:color="auto"/>
            <w:left w:val="none" w:sz="0" w:space="0" w:color="auto"/>
            <w:bottom w:val="none" w:sz="0" w:space="0" w:color="auto"/>
            <w:right w:val="none" w:sz="0" w:space="0" w:color="auto"/>
          </w:divBdr>
        </w:div>
        <w:div w:id="14231028">
          <w:marLeft w:val="0"/>
          <w:marRight w:val="0"/>
          <w:marTop w:val="0"/>
          <w:marBottom w:val="0"/>
          <w:divBdr>
            <w:top w:val="none" w:sz="0" w:space="0" w:color="auto"/>
            <w:left w:val="none" w:sz="0" w:space="0" w:color="auto"/>
            <w:bottom w:val="none" w:sz="0" w:space="0" w:color="auto"/>
            <w:right w:val="none" w:sz="0" w:space="0" w:color="auto"/>
          </w:divBdr>
        </w:div>
        <w:div w:id="20519733">
          <w:marLeft w:val="0"/>
          <w:marRight w:val="0"/>
          <w:marTop w:val="0"/>
          <w:marBottom w:val="0"/>
          <w:divBdr>
            <w:top w:val="none" w:sz="0" w:space="0" w:color="auto"/>
            <w:left w:val="none" w:sz="0" w:space="0" w:color="auto"/>
            <w:bottom w:val="none" w:sz="0" w:space="0" w:color="auto"/>
            <w:right w:val="none" w:sz="0" w:space="0" w:color="auto"/>
          </w:divBdr>
        </w:div>
        <w:div w:id="360517392">
          <w:marLeft w:val="0"/>
          <w:marRight w:val="0"/>
          <w:marTop w:val="0"/>
          <w:marBottom w:val="0"/>
          <w:divBdr>
            <w:top w:val="none" w:sz="0" w:space="0" w:color="auto"/>
            <w:left w:val="none" w:sz="0" w:space="0" w:color="auto"/>
            <w:bottom w:val="none" w:sz="0" w:space="0" w:color="auto"/>
            <w:right w:val="none" w:sz="0" w:space="0" w:color="auto"/>
          </w:divBdr>
        </w:div>
        <w:div w:id="466237710">
          <w:marLeft w:val="0"/>
          <w:marRight w:val="0"/>
          <w:marTop w:val="0"/>
          <w:marBottom w:val="0"/>
          <w:divBdr>
            <w:top w:val="none" w:sz="0" w:space="0" w:color="auto"/>
            <w:left w:val="none" w:sz="0" w:space="0" w:color="auto"/>
            <w:bottom w:val="none" w:sz="0" w:space="0" w:color="auto"/>
            <w:right w:val="none" w:sz="0" w:space="0" w:color="auto"/>
          </w:divBdr>
          <w:divsChild>
            <w:div w:id="627778470">
              <w:marLeft w:val="-75"/>
              <w:marRight w:val="0"/>
              <w:marTop w:val="30"/>
              <w:marBottom w:val="30"/>
              <w:divBdr>
                <w:top w:val="none" w:sz="0" w:space="0" w:color="auto"/>
                <w:left w:val="none" w:sz="0" w:space="0" w:color="auto"/>
                <w:bottom w:val="none" w:sz="0" w:space="0" w:color="auto"/>
                <w:right w:val="none" w:sz="0" w:space="0" w:color="auto"/>
              </w:divBdr>
              <w:divsChild>
                <w:div w:id="766386684">
                  <w:marLeft w:val="0"/>
                  <w:marRight w:val="0"/>
                  <w:marTop w:val="0"/>
                  <w:marBottom w:val="0"/>
                  <w:divBdr>
                    <w:top w:val="none" w:sz="0" w:space="0" w:color="auto"/>
                    <w:left w:val="none" w:sz="0" w:space="0" w:color="auto"/>
                    <w:bottom w:val="none" w:sz="0" w:space="0" w:color="auto"/>
                    <w:right w:val="none" w:sz="0" w:space="0" w:color="auto"/>
                  </w:divBdr>
                  <w:divsChild>
                    <w:div w:id="1301034786">
                      <w:marLeft w:val="0"/>
                      <w:marRight w:val="0"/>
                      <w:marTop w:val="0"/>
                      <w:marBottom w:val="0"/>
                      <w:divBdr>
                        <w:top w:val="none" w:sz="0" w:space="0" w:color="auto"/>
                        <w:left w:val="none" w:sz="0" w:space="0" w:color="auto"/>
                        <w:bottom w:val="none" w:sz="0" w:space="0" w:color="auto"/>
                        <w:right w:val="none" w:sz="0" w:space="0" w:color="auto"/>
                      </w:divBdr>
                    </w:div>
                  </w:divsChild>
                </w:div>
                <w:div w:id="1139611599">
                  <w:marLeft w:val="0"/>
                  <w:marRight w:val="0"/>
                  <w:marTop w:val="0"/>
                  <w:marBottom w:val="0"/>
                  <w:divBdr>
                    <w:top w:val="none" w:sz="0" w:space="0" w:color="auto"/>
                    <w:left w:val="none" w:sz="0" w:space="0" w:color="auto"/>
                    <w:bottom w:val="none" w:sz="0" w:space="0" w:color="auto"/>
                    <w:right w:val="none" w:sz="0" w:space="0" w:color="auto"/>
                  </w:divBdr>
                  <w:divsChild>
                    <w:div w:id="333991333">
                      <w:marLeft w:val="0"/>
                      <w:marRight w:val="0"/>
                      <w:marTop w:val="0"/>
                      <w:marBottom w:val="0"/>
                      <w:divBdr>
                        <w:top w:val="none" w:sz="0" w:space="0" w:color="auto"/>
                        <w:left w:val="none" w:sz="0" w:space="0" w:color="auto"/>
                        <w:bottom w:val="none" w:sz="0" w:space="0" w:color="auto"/>
                        <w:right w:val="none" w:sz="0" w:space="0" w:color="auto"/>
                      </w:divBdr>
                    </w:div>
                    <w:div w:id="1195464751">
                      <w:marLeft w:val="0"/>
                      <w:marRight w:val="0"/>
                      <w:marTop w:val="0"/>
                      <w:marBottom w:val="0"/>
                      <w:divBdr>
                        <w:top w:val="none" w:sz="0" w:space="0" w:color="auto"/>
                        <w:left w:val="none" w:sz="0" w:space="0" w:color="auto"/>
                        <w:bottom w:val="none" w:sz="0" w:space="0" w:color="auto"/>
                        <w:right w:val="none" w:sz="0" w:space="0" w:color="auto"/>
                      </w:divBdr>
                    </w:div>
                  </w:divsChild>
                </w:div>
                <w:div w:id="1315717681">
                  <w:marLeft w:val="0"/>
                  <w:marRight w:val="0"/>
                  <w:marTop w:val="0"/>
                  <w:marBottom w:val="0"/>
                  <w:divBdr>
                    <w:top w:val="none" w:sz="0" w:space="0" w:color="auto"/>
                    <w:left w:val="none" w:sz="0" w:space="0" w:color="auto"/>
                    <w:bottom w:val="none" w:sz="0" w:space="0" w:color="auto"/>
                    <w:right w:val="none" w:sz="0" w:space="0" w:color="auto"/>
                  </w:divBdr>
                  <w:divsChild>
                    <w:div w:id="618993214">
                      <w:marLeft w:val="0"/>
                      <w:marRight w:val="0"/>
                      <w:marTop w:val="0"/>
                      <w:marBottom w:val="0"/>
                      <w:divBdr>
                        <w:top w:val="none" w:sz="0" w:space="0" w:color="auto"/>
                        <w:left w:val="none" w:sz="0" w:space="0" w:color="auto"/>
                        <w:bottom w:val="none" w:sz="0" w:space="0" w:color="auto"/>
                        <w:right w:val="none" w:sz="0" w:space="0" w:color="auto"/>
                      </w:divBdr>
                    </w:div>
                    <w:div w:id="2060278157">
                      <w:marLeft w:val="0"/>
                      <w:marRight w:val="0"/>
                      <w:marTop w:val="0"/>
                      <w:marBottom w:val="0"/>
                      <w:divBdr>
                        <w:top w:val="none" w:sz="0" w:space="0" w:color="auto"/>
                        <w:left w:val="none" w:sz="0" w:space="0" w:color="auto"/>
                        <w:bottom w:val="none" w:sz="0" w:space="0" w:color="auto"/>
                        <w:right w:val="none" w:sz="0" w:space="0" w:color="auto"/>
                      </w:divBdr>
                    </w:div>
                  </w:divsChild>
                </w:div>
                <w:div w:id="1554611349">
                  <w:marLeft w:val="0"/>
                  <w:marRight w:val="0"/>
                  <w:marTop w:val="0"/>
                  <w:marBottom w:val="0"/>
                  <w:divBdr>
                    <w:top w:val="none" w:sz="0" w:space="0" w:color="auto"/>
                    <w:left w:val="none" w:sz="0" w:space="0" w:color="auto"/>
                    <w:bottom w:val="none" w:sz="0" w:space="0" w:color="auto"/>
                    <w:right w:val="none" w:sz="0" w:space="0" w:color="auto"/>
                  </w:divBdr>
                  <w:divsChild>
                    <w:div w:id="1570075411">
                      <w:marLeft w:val="0"/>
                      <w:marRight w:val="0"/>
                      <w:marTop w:val="0"/>
                      <w:marBottom w:val="0"/>
                      <w:divBdr>
                        <w:top w:val="none" w:sz="0" w:space="0" w:color="auto"/>
                        <w:left w:val="none" w:sz="0" w:space="0" w:color="auto"/>
                        <w:bottom w:val="none" w:sz="0" w:space="0" w:color="auto"/>
                        <w:right w:val="none" w:sz="0" w:space="0" w:color="auto"/>
                      </w:divBdr>
                    </w:div>
                  </w:divsChild>
                </w:div>
                <w:div w:id="1697611154">
                  <w:marLeft w:val="0"/>
                  <w:marRight w:val="0"/>
                  <w:marTop w:val="0"/>
                  <w:marBottom w:val="0"/>
                  <w:divBdr>
                    <w:top w:val="none" w:sz="0" w:space="0" w:color="auto"/>
                    <w:left w:val="none" w:sz="0" w:space="0" w:color="auto"/>
                    <w:bottom w:val="none" w:sz="0" w:space="0" w:color="auto"/>
                    <w:right w:val="none" w:sz="0" w:space="0" w:color="auto"/>
                  </w:divBdr>
                  <w:divsChild>
                    <w:div w:id="1623343461">
                      <w:marLeft w:val="0"/>
                      <w:marRight w:val="0"/>
                      <w:marTop w:val="0"/>
                      <w:marBottom w:val="0"/>
                      <w:divBdr>
                        <w:top w:val="none" w:sz="0" w:space="0" w:color="auto"/>
                        <w:left w:val="none" w:sz="0" w:space="0" w:color="auto"/>
                        <w:bottom w:val="none" w:sz="0" w:space="0" w:color="auto"/>
                        <w:right w:val="none" w:sz="0" w:space="0" w:color="auto"/>
                      </w:divBdr>
                    </w:div>
                  </w:divsChild>
                </w:div>
                <w:div w:id="1878085502">
                  <w:marLeft w:val="0"/>
                  <w:marRight w:val="0"/>
                  <w:marTop w:val="0"/>
                  <w:marBottom w:val="0"/>
                  <w:divBdr>
                    <w:top w:val="none" w:sz="0" w:space="0" w:color="auto"/>
                    <w:left w:val="none" w:sz="0" w:space="0" w:color="auto"/>
                    <w:bottom w:val="none" w:sz="0" w:space="0" w:color="auto"/>
                    <w:right w:val="none" w:sz="0" w:space="0" w:color="auto"/>
                  </w:divBdr>
                  <w:divsChild>
                    <w:div w:id="56638488">
                      <w:marLeft w:val="0"/>
                      <w:marRight w:val="0"/>
                      <w:marTop w:val="0"/>
                      <w:marBottom w:val="0"/>
                      <w:divBdr>
                        <w:top w:val="none" w:sz="0" w:space="0" w:color="auto"/>
                        <w:left w:val="none" w:sz="0" w:space="0" w:color="auto"/>
                        <w:bottom w:val="none" w:sz="0" w:space="0" w:color="auto"/>
                        <w:right w:val="none" w:sz="0" w:space="0" w:color="auto"/>
                      </w:divBdr>
                    </w:div>
                  </w:divsChild>
                </w:div>
                <w:div w:id="1971788441">
                  <w:marLeft w:val="0"/>
                  <w:marRight w:val="0"/>
                  <w:marTop w:val="0"/>
                  <w:marBottom w:val="0"/>
                  <w:divBdr>
                    <w:top w:val="none" w:sz="0" w:space="0" w:color="auto"/>
                    <w:left w:val="none" w:sz="0" w:space="0" w:color="auto"/>
                    <w:bottom w:val="none" w:sz="0" w:space="0" w:color="auto"/>
                    <w:right w:val="none" w:sz="0" w:space="0" w:color="auto"/>
                  </w:divBdr>
                  <w:divsChild>
                    <w:div w:id="1723366265">
                      <w:marLeft w:val="0"/>
                      <w:marRight w:val="0"/>
                      <w:marTop w:val="0"/>
                      <w:marBottom w:val="0"/>
                      <w:divBdr>
                        <w:top w:val="none" w:sz="0" w:space="0" w:color="auto"/>
                        <w:left w:val="none" w:sz="0" w:space="0" w:color="auto"/>
                        <w:bottom w:val="none" w:sz="0" w:space="0" w:color="auto"/>
                        <w:right w:val="none" w:sz="0" w:space="0" w:color="auto"/>
                      </w:divBdr>
                    </w:div>
                  </w:divsChild>
                </w:div>
                <w:div w:id="2007049901">
                  <w:marLeft w:val="0"/>
                  <w:marRight w:val="0"/>
                  <w:marTop w:val="0"/>
                  <w:marBottom w:val="0"/>
                  <w:divBdr>
                    <w:top w:val="none" w:sz="0" w:space="0" w:color="auto"/>
                    <w:left w:val="none" w:sz="0" w:space="0" w:color="auto"/>
                    <w:bottom w:val="none" w:sz="0" w:space="0" w:color="auto"/>
                    <w:right w:val="none" w:sz="0" w:space="0" w:color="auto"/>
                  </w:divBdr>
                  <w:divsChild>
                    <w:div w:id="172664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559642">
          <w:marLeft w:val="0"/>
          <w:marRight w:val="0"/>
          <w:marTop w:val="0"/>
          <w:marBottom w:val="0"/>
          <w:divBdr>
            <w:top w:val="none" w:sz="0" w:space="0" w:color="auto"/>
            <w:left w:val="none" w:sz="0" w:space="0" w:color="auto"/>
            <w:bottom w:val="none" w:sz="0" w:space="0" w:color="auto"/>
            <w:right w:val="none" w:sz="0" w:space="0" w:color="auto"/>
          </w:divBdr>
        </w:div>
        <w:div w:id="1001350581">
          <w:marLeft w:val="0"/>
          <w:marRight w:val="0"/>
          <w:marTop w:val="0"/>
          <w:marBottom w:val="0"/>
          <w:divBdr>
            <w:top w:val="none" w:sz="0" w:space="0" w:color="auto"/>
            <w:left w:val="none" w:sz="0" w:space="0" w:color="auto"/>
            <w:bottom w:val="none" w:sz="0" w:space="0" w:color="auto"/>
            <w:right w:val="none" w:sz="0" w:space="0" w:color="auto"/>
          </w:divBdr>
        </w:div>
        <w:div w:id="1236041032">
          <w:marLeft w:val="0"/>
          <w:marRight w:val="0"/>
          <w:marTop w:val="0"/>
          <w:marBottom w:val="0"/>
          <w:divBdr>
            <w:top w:val="none" w:sz="0" w:space="0" w:color="auto"/>
            <w:left w:val="none" w:sz="0" w:space="0" w:color="auto"/>
            <w:bottom w:val="none" w:sz="0" w:space="0" w:color="auto"/>
            <w:right w:val="none" w:sz="0" w:space="0" w:color="auto"/>
          </w:divBdr>
        </w:div>
        <w:div w:id="1261068820">
          <w:marLeft w:val="0"/>
          <w:marRight w:val="0"/>
          <w:marTop w:val="0"/>
          <w:marBottom w:val="0"/>
          <w:divBdr>
            <w:top w:val="none" w:sz="0" w:space="0" w:color="auto"/>
            <w:left w:val="none" w:sz="0" w:space="0" w:color="auto"/>
            <w:bottom w:val="none" w:sz="0" w:space="0" w:color="auto"/>
            <w:right w:val="none" w:sz="0" w:space="0" w:color="auto"/>
          </w:divBdr>
        </w:div>
        <w:div w:id="1481188867">
          <w:marLeft w:val="0"/>
          <w:marRight w:val="0"/>
          <w:marTop w:val="0"/>
          <w:marBottom w:val="0"/>
          <w:divBdr>
            <w:top w:val="none" w:sz="0" w:space="0" w:color="auto"/>
            <w:left w:val="none" w:sz="0" w:space="0" w:color="auto"/>
            <w:bottom w:val="none" w:sz="0" w:space="0" w:color="auto"/>
            <w:right w:val="none" w:sz="0" w:space="0" w:color="auto"/>
          </w:divBdr>
        </w:div>
        <w:div w:id="1513493571">
          <w:marLeft w:val="0"/>
          <w:marRight w:val="0"/>
          <w:marTop w:val="0"/>
          <w:marBottom w:val="0"/>
          <w:divBdr>
            <w:top w:val="none" w:sz="0" w:space="0" w:color="auto"/>
            <w:left w:val="none" w:sz="0" w:space="0" w:color="auto"/>
            <w:bottom w:val="none" w:sz="0" w:space="0" w:color="auto"/>
            <w:right w:val="none" w:sz="0" w:space="0" w:color="auto"/>
          </w:divBdr>
        </w:div>
        <w:div w:id="1524512214">
          <w:marLeft w:val="0"/>
          <w:marRight w:val="0"/>
          <w:marTop w:val="0"/>
          <w:marBottom w:val="0"/>
          <w:divBdr>
            <w:top w:val="none" w:sz="0" w:space="0" w:color="auto"/>
            <w:left w:val="none" w:sz="0" w:space="0" w:color="auto"/>
            <w:bottom w:val="none" w:sz="0" w:space="0" w:color="auto"/>
            <w:right w:val="none" w:sz="0" w:space="0" w:color="auto"/>
          </w:divBdr>
          <w:divsChild>
            <w:div w:id="186140886">
              <w:marLeft w:val="0"/>
              <w:marRight w:val="0"/>
              <w:marTop w:val="0"/>
              <w:marBottom w:val="0"/>
              <w:divBdr>
                <w:top w:val="none" w:sz="0" w:space="0" w:color="auto"/>
                <w:left w:val="none" w:sz="0" w:space="0" w:color="auto"/>
                <w:bottom w:val="none" w:sz="0" w:space="0" w:color="auto"/>
                <w:right w:val="none" w:sz="0" w:space="0" w:color="auto"/>
              </w:divBdr>
            </w:div>
            <w:div w:id="668100824">
              <w:marLeft w:val="0"/>
              <w:marRight w:val="0"/>
              <w:marTop w:val="0"/>
              <w:marBottom w:val="0"/>
              <w:divBdr>
                <w:top w:val="none" w:sz="0" w:space="0" w:color="auto"/>
                <w:left w:val="none" w:sz="0" w:space="0" w:color="auto"/>
                <w:bottom w:val="none" w:sz="0" w:space="0" w:color="auto"/>
                <w:right w:val="none" w:sz="0" w:space="0" w:color="auto"/>
              </w:divBdr>
            </w:div>
            <w:div w:id="1271090890">
              <w:marLeft w:val="0"/>
              <w:marRight w:val="0"/>
              <w:marTop w:val="0"/>
              <w:marBottom w:val="0"/>
              <w:divBdr>
                <w:top w:val="none" w:sz="0" w:space="0" w:color="auto"/>
                <w:left w:val="none" w:sz="0" w:space="0" w:color="auto"/>
                <w:bottom w:val="none" w:sz="0" w:space="0" w:color="auto"/>
                <w:right w:val="none" w:sz="0" w:space="0" w:color="auto"/>
              </w:divBdr>
            </w:div>
            <w:div w:id="1436439987">
              <w:marLeft w:val="0"/>
              <w:marRight w:val="0"/>
              <w:marTop w:val="0"/>
              <w:marBottom w:val="0"/>
              <w:divBdr>
                <w:top w:val="none" w:sz="0" w:space="0" w:color="auto"/>
                <w:left w:val="none" w:sz="0" w:space="0" w:color="auto"/>
                <w:bottom w:val="none" w:sz="0" w:space="0" w:color="auto"/>
                <w:right w:val="none" w:sz="0" w:space="0" w:color="auto"/>
              </w:divBdr>
            </w:div>
          </w:divsChild>
        </w:div>
        <w:div w:id="1767067884">
          <w:marLeft w:val="0"/>
          <w:marRight w:val="0"/>
          <w:marTop w:val="0"/>
          <w:marBottom w:val="0"/>
          <w:divBdr>
            <w:top w:val="none" w:sz="0" w:space="0" w:color="auto"/>
            <w:left w:val="none" w:sz="0" w:space="0" w:color="auto"/>
            <w:bottom w:val="none" w:sz="0" w:space="0" w:color="auto"/>
            <w:right w:val="none" w:sz="0" w:space="0" w:color="auto"/>
          </w:divBdr>
        </w:div>
        <w:div w:id="1936476566">
          <w:marLeft w:val="0"/>
          <w:marRight w:val="0"/>
          <w:marTop w:val="0"/>
          <w:marBottom w:val="0"/>
          <w:divBdr>
            <w:top w:val="none" w:sz="0" w:space="0" w:color="auto"/>
            <w:left w:val="none" w:sz="0" w:space="0" w:color="auto"/>
            <w:bottom w:val="none" w:sz="0" w:space="0" w:color="auto"/>
            <w:right w:val="none" w:sz="0" w:space="0" w:color="auto"/>
          </w:divBdr>
        </w:div>
      </w:divsChild>
    </w:div>
    <w:div w:id="1724018645">
      <w:bodyDiv w:val="1"/>
      <w:marLeft w:val="0"/>
      <w:marRight w:val="0"/>
      <w:marTop w:val="0"/>
      <w:marBottom w:val="0"/>
      <w:divBdr>
        <w:top w:val="none" w:sz="0" w:space="0" w:color="auto"/>
        <w:left w:val="none" w:sz="0" w:space="0" w:color="auto"/>
        <w:bottom w:val="none" w:sz="0" w:space="0" w:color="auto"/>
        <w:right w:val="none" w:sz="0" w:space="0" w:color="auto"/>
      </w:divBdr>
      <w:divsChild>
        <w:div w:id="133332267">
          <w:marLeft w:val="0"/>
          <w:marRight w:val="0"/>
          <w:marTop w:val="0"/>
          <w:marBottom w:val="0"/>
          <w:divBdr>
            <w:top w:val="none" w:sz="0" w:space="0" w:color="auto"/>
            <w:left w:val="none" w:sz="0" w:space="0" w:color="auto"/>
            <w:bottom w:val="none" w:sz="0" w:space="0" w:color="auto"/>
            <w:right w:val="none" w:sz="0" w:space="0" w:color="auto"/>
          </w:divBdr>
        </w:div>
        <w:div w:id="316764700">
          <w:marLeft w:val="0"/>
          <w:marRight w:val="0"/>
          <w:marTop w:val="0"/>
          <w:marBottom w:val="0"/>
          <w:divBdr>
            <w:top w:val="none" w:sz="0" w:space="0" w:color="auto"/>
            <w:left w:val="none" w:sz="0" w:space="0" w:color="auto"/>
            <w:bottom w:val="none" w:sz="0" w:space="0" w:color="auto"/>
            <w:right w:val="none" w:sz="0" w:space="0" w:color="auto"/>
          </w:divBdr>
        </w:div>
        <w:div w:id="1094858258">
          <w:marLeft w:val="0"/>
          <w:marRight w:val="0"/>
          <w:marTop w:val="0"/>
          <w:marBottom w:val="0"/>
          <w:divBdr>
            <w:top w:val="none" w:sz="0" w:space="0" w:color="auto"/>
            <w:left w:val="none" w:sz="0" w:space="0" w:color="auto"/>
            <w:bottom w:val="none" w:sz="0" w:space="0" w:color="auto"/>
            <w:right w:val="none" w:sz="0" w:space="0" w:color="auto"/>
          </w:divBdr>
        </w:div>
        <w:div w:id="1481770724">
          <w:marLeft w:val="0"/>
          <w:marRight w:val="0"/>
          <w:marTop w:val="0"/>
          <w:marBottom w:val="0"/>
          <w:divBdr>
            <w:top w:val="none" w:sz="0" w:space="0" w:color="auto"/>
            <w:left w:val="none" w:sz="0" w:space="0" w:color="auto"/>
            <w:bottom w:val="none" w:sz="0" w:space="0" w:color="auto"/>
            <w:right w:val="none" w:sz="0" w:space="0" w:color="auto"/>
          </w:divBdr>
        </w:div>
        <w:div w:id="1559122989">
          <w:marLeft w:val="0"/>
          <w:marRight w:val="0"/>
          <w:marTop w:val="0"/>
          <w:marBottom w:val="0"/>
          <w:divBdr>
            <w:top w:val="none" w:sz="0" w:space="0" w:color="auto"/>
            <w:left w:val="none" w:sz="0" w:space="0" w:color="auto"/>
            <w:bottom w:val="none" w:sz="0" w:space="0" w:color="auto"/>
            <w:right w:val="none" w:sz="0" w:space="0" w:color="auto"/>
          </w:divBdr>
        </w:div>
        <w:div w:id="1795245063">
          <w:marLeft w:val="0"/>
          <w:marRight w:val="0"/>
          <w:marTop w:val="0"/>
          <w:marBottom w:val="0"/>
          <w:divBdr>
            <w:top w:val="none" w:sz="0" w:space="0" w:color="auto"/>
            <w:left w:val="none" w:sz="0" w:space="0" w:color="auto"/>
            <w:bottom w:val="none" w:sz="0" w:space="0" w:color="auto"/>
            <w:right w:val="none" w:sz="0" w:space="0" w:color="auto"/>
          </w:divBdr>
        </w:div>
        <w:div w:id="1896968803">
          <w:marLeft w:val="0"/>
          <w:marRight w:val="0"/>
          <w:marTop w:val="0"/>
          <w:marBottom w:val="0"/>
          <w:divBdr>
            <w:top w:val="none" w:sz="0" w:space="0" w:color="auto"/>
            <w:left w:val="none" w:sz="0" w:space="0" w:color="auto"/>
            <w:bottom w:val="none" w:sz="0" w:space="0" w:color="auto"/>
            <w:right w:val="none" w:sz="0" w:space="0" w:color="auto"/>
          </w:divBdr>
        </w:div>
      </w:divsChild>
    </w:div>
    <w:div w:id="1731150412">
      <w:bodyDiv w:val="1"/>
      <w:marLeft w:val="0"/>
      <w:marRight w:val="0"/>
      <w:marTop w:val="0"/>
      <w:marBottom w:val="0"/>
      <w:divBdr>
        <w:top w:val="none" w:sz="0" w:space="0" w:color="auto"/>
        <w:left w:val="none" w:sz="0" w:space="0" w:color="auto"/>
        <w:bottom w:val="none" w:sz="0" w:space="0" w:color="auto"/>
        <w:right w:val="none" w:sz="0" w:space="0" w:color="auto"/>
      </w:divBdr>
      <w:divsChild>
        <w:div w:id="44188035">
          <w:marLeft w:val="0"/>
          <w:marRight w:val="0"/>
          <w:marTop w:val="0"/>
          <w:marBottom w:val="0"/>
          <w:divBdr>
            <w:top w:val="none" w:sz="0" w:space="0" w:color="auto"/>
            <w:left w:val="none" w:sz="0" w:space="0" w:color="auto"/>
            <w:bottom w:val="none" w:sz="0" w:space="0" w:color="auto"/>
            <w:right w:val="none" w:sz="0" w:space="0" w:color="auto"/>
          </w:divBdr>
        </w:div>
        <w:div w:id="53239799">
          <w:marLeft w:val="0"/>
          <w:marRight w:val="0"/>
          <w:marTop w:val="0"/>
          <w:marBottom w:val="0"/>
          <w:divBdr>
            <w:top w:val="none" w:sz="0" w:space="0" w:color="auto"/>
            <w:left w:val="none" w:sz="0" w:space="0" w:color="auto"/>
            <w:bottom w:val="none" w:sz="0" w:space="0" w:color="auto"/>
            <w:right w:val="none" w:sz="0" w:space="0" w:color="auto"/>
          </w:divBdr>
        </w:div>
        <w:div w:id="1005323430">
          <w:marLeft w:val="0"/>
          <w:marRight w:val="0"/>
          <w:marTop w:val="0"/>
          <w:marBottom w:val="0"/>
          <w:divBdr>
            <w:top w:val="none" w:sz="0" w:space="0" w:color="auto"/>
            <w:left w:val="none" w:sz="0" w:space="0" w:color="auto"/>
            <w:bottom w:val="none" w:sz="0" w:space="0" w:color="auto"/>
            <w:right w:val="none" w:sz="0" w:space="0" w:color="auto"/>
          </w:divBdr>
        </w:div>
        <w:div w:id="1023437321">
          <w:marLeft w:val="0"/>
          <w:marRight w:val="0"/>
          <w:marTop w:val="0"/>
          <w:marBottom w:val="0"/>
          <w:divBdr>
            <w:top w:val="none" w:sz="0" w:space="0" w:color="auto"/>
            <w:left w:val="none" w:sz="0" w:space="0" w:color="auto"/>
            <w:bottom w:val="none" w:sz="0" w:space="0" w:color="auto"/>
            <w:right w:val="none" w:sz="0" w:space="0" w:color="auto"/>
          </w:divBdr>
        </w:div>
        <w:div w:id="1316303474">
          <w:marLeft w:val="0"/>
          <w:marRight w:val="0"/>
          <w:marTop w:val="0"/>
          <w:marBottom w:val="0"/>
          <w:divBdr>
            <w:top w:val="none" w:sz="0" w:space="0" w:color="auto"/>
            <w:left w:val="none" w:sz="0" w:space="0" w:color="auto"/>
            <w:bottom w:val="none" w:sz="0" w:space="0" w:color="auto"/>
            <w:right w:val="none" w:sz="0" w:space="0" w:color="auto"/>
          </w:divBdr>
        </w:div>
        <w:div w:id="1576892846">
          <w:marLeft w:val="0"/>
          <w:marRight w:val="0"/>
          <w:marTop w:val="0"/>
          <w:marBottom w:val="0"/>
          <w:divBdr>
            <w:top w:val="none" w:sz="0" w:space="0" w:color="auto"/>
            <w:left w:val="none" w:sz="0" w:space="0" w:color="auto"/>
            <w:bottom w:val="none" w:sz="0" w:space="0" w:color="auto"/>
            <w:right w:val="none" w:sz="0" w:space="0" w:color="auto"/>
          </w:divBdr>
        </w:div>
      </w:divsChild>
    </w:div>
    <w:div w:id="1741707414">
      <w:bodyDiv w:val="1"/>
      <w:marLeft w:val="0"/>
      <w:marRight w:val="0"/>
      <w:marTop w:val="0"/>
      <w:marBottom w:val="0"/>
      <w:divBdr>
        <w:top w:val="none" w:sz="0" w:space="0" w:color="auto"/>
        <w:left w:val="none" w:sz="0" w:space="0" w:color="auto"/>
        <w:bottom w:val="none" w:sz="0" w:space="0" w:color="auto"/>
        <w:right w:val="none" w:sz="0" w:space="0" w:color="auto"/>
      </w:divBdr>
      <w:divsChild>
        <w:div w:id="323708199">
          <w:marLeft w:val="0"/>
          <w:marRight w:val="0"/>
          <w:marTop w:val="0"/>
          <w:marBottom w:val="0"/>
          <w:divBdr>
            <w:top w:val="none" w:sz="0" w:space="0" w:color="auto"/>
            <w:left w:val="none" w:sz="0" w:space="0" w:color="auto"/>
            <w:bottom w:val="none" w:sz="0" w:space="0" w:color="auto"/>
            <w:right w:val="none" w:sz="0" w:space="0" w:color="auto"/>
          </w:divBdr>
        </w:div>
        <w:div w:id="408621649">
          <w:marLeft w:val="0"/>
          <w:marRight w:val="0"/>
          <w:marTop w:val="0"/>
          <w:marBottom w:val="0"/>
          <w:divBdr>
            <w:top w:val="none" w:sz="0" w:space="0" w:color="auto"/>
            <w:left w:val="none" w:sz="0" w:space="0" w:color="auto"/>
            <w:bottom w:val="none" w:sz="0" w:space="0" w:color="auto"/>
            <w:right w:val="none" w:sz="0" w:space="0" w:color="auto"/>
          </w:divBdr>
        </w:div>
        <w:div w:id="1061173213">
          <w:marLeft w:val="0"/>
          <w:marRight w:val="0"/>
          <w:marTop w:val="0"/>
          <w:marBottom w:val="0"/>
          <w:divBdr>
            <w:top w:val="none" w:sz="0" w:space="0" w:color="auto"/>
            <w:left w:val="none" w:sz="0" w:space="0" w:color="auto"/>
            <w:bottom w:val="none" w:sz="0" w:space="0" w:color="auto"/>
            <w:right w:val="none" w:sz="0" w:space="0" w:color="auto"/>
          </w:divBdr>
        </w:div>
        <w:div w:id="1148476810">
          <w:marLeft w:val="0"/>
          <w:marRight w:val="0"/>
          <w:marTop w:val="0"/>
          <w:marBottom w:val="0"/>
          <w:divBdr>
            <w:top w:val="none" w:sz="0" w:space="0" w:color="auto"/>
            <w:left w:val="none" w:sz="0" w:space="0" w:color="auto"/>
            <w:bottom w:val="none" w:sz="0" w:space="0" w:color="auto"/>
            <w:right w:val="none" w:sz="0" w:space="0" w:color="auto"/>
          </w:divBdr>
        </w:div>
        <w:div w:id="1229540253">
          <w:marLeft w:val="0"/>
          <w:marRight w:val="0"/>
          <w:marTop w:val="0"/>
          <w:marBottom w:val="0"/>
          <w:divBdr>
            <w:top w:val="none" w:sz="0" w:space="0" w:color="auto"/>
            <w:left w:val="none" w:sz="0" w:space="0" w:color="auto"/>
            <w:bottom w:val="none" w:sz="0" w:space="0" w:color="auto"/>
            <w:right w:val="none" w:sz="0" w:space="0" w:color="auto"/>
          </w:divBdr>
        </w:div>
      </w:divsChild>
    </w:div>
    <w:div w:id="1744336297">
      <w:bodyDiv w:val="1"/>
      <w:marLeft w:val="0"/>
      <w:marRight w:val="0"/>
      <w:marTop w:val="0"/>
      <w:marBottom w:val="0"/>
      <w:divBdr>
        <w:top w:val="none" w:sz="0" w:space="0" w:color="auto"/>
        <w:left w:val="none" w:sz="0" w:space="0" w:color="auto"/>
        <w:bottom w:val="none" w:sz="0" w:space="0" w:color="auto"/>
        <w:right w:val="none" w:sz="0" w:space="0" w:color="auto"/>
      </w:divBdr>
      <w:divsChild>
        <w:div w:id="45035179">
          <w:marLeft w:val="0"/>
          <w:marRight w:val="0"/>
          <w:marTop w:val="0"/>
          <w:marBottom w:val="0"/>
          <w:divBdr>
            <w:top w:val="none" w:sz="0" w:space="0" w:color="auto"/>
            <w:left w:val="none" w:sz="0" w:space="0" w:color="auto"/>
            <w:bottom w:val="none" w:sz="0" w:space="0" w:color="auto"/>
            <w:right w:val="none" w:sz="0" w:space="0" w:color="auto"/>
          </w:divBdr>
        </w:div>
        <w:div w:id="872884590">
          <w:marLeft w:val="0"/>
          <w:marRight w:val="0"/>
          <w:marTop w:val="0"/>
          <w:marBottom w:val="0"/>
          <w:divBdr>
            <w:top w:val="none" w:sz="0" w:space="0" w:color="auto"/>
            <w:left w:val="none" w:sz="0" w:space="0" w:color="auto"/>
            <w:bottom w:val="none" w:sz="0" w:space="0" w:color="auto"/>
            <w:right w:val="none" w:sz="0" w:space="0" w:color="auto"/>
          </w:divBdr>
        </w:div>
        <w:div w:id="939875312">
          <w:marLeft w:val="0"/>
          <w:marRight w:val="0"/>
          <w:marTop w:val="0"/>
          <w:marBottom w:val="0"/>
          <w:divBdr>
            <w:top w:val="none" w:sz="0" w:space="0" w:color="auto"/>
            <w:left w:val="none" w:sz="0" w:space="0" w:color="auto"/>
            <w:bottom w:val="none" w:sz="0" w:space="0" w:color="auto"/>
            <w:right w:val="none" w:sz="0" w:space="0" w:color="auto"/>
          </w:divBdr>
        </w:div>
        <w:div w:id="943801353">
          <w:marLeft w:val="0"/>
          <w:marRight w:val="0"/>
          <w:marTop w:val="0"/>
          <w:marBottom w:val="0"/>
          <w:divBdr>
            <w:top w:val="none" w:sz="0" w:space="0" w:color="auto"/>
            <w:left w:val="none" w:sz="0" w:space="0" w:color="auto"/>
            <w:bottom w:val="none" w:sz="0" w:space="0" w:color="auto"/>
            <w:right w:val="none" w:sz="0" w:space="0" w:color="auto"/>
          </w:divBdr>
        </w:div>
        <w:div w:id="1172834650">
          <w:marLeft w:val="0"/>
          <w:marRight w:val="0"/>
          <w:marTop w:val="0"/>
          <w:marBottom w:val="0"/>
          <w:divBdr>
            <w:top w:val="none" w:sz="0" w:space="0" w:color="auto"/>
            <w:left w:val="none" w:sz="0" w:space="0" w:color="auto"/>
            <w:bottom w:val="none" w:sz="0" w:space="0" w:color="auto"/>
            <w:right w:val="none" w:sz="0" w:space="0" w:color="auto"/>
          </w:divBdr>
        </w:div>
        <w:div w:id="1203514933">
          <w:marLeft w:val="0"/>
          <w:marRight w:val="0"/>
          <w:marTop w:val="0"/>
          <w:marBottom w:val="0"/>
          <w:divBdr>
            <w:top w:val="none" w:sz="0" w:space="0" w:color="auto"/>
            <w:left w:val="none" w:sz="0" w:space="0" w:color="auto"/>
            <w:bottom w:val="none" w:sz="0" w:space="0" w:color="auto"/>
            <w:right w:val="none" w:sz="0" w:space="0" w:color="auto"/>
          </w:divBdr>
        </w:div>
        <w:div w:id="1391609804">
          <w:marLeft w:val="0"/>
          <w:marRight w:val="0"/>
          <w:marTop w:val="0"/>
          <w:marBottom w:val="0"/>
          <w:divBdr>
            <w:top w:val="none" w:sz="0" w:space="0" w:color="auto"/>
            <w:left w:val="none" w:sz="0" w:space="0" w:color="auto"/>
            <w:bottom w:val="none" w:sz="0" w:space="0" w:color="auto"/>
            <w:right w:val="none" w:sz="0" w:space="0" w:color="auto"/>
          </w:divBdr>
        </w:div>
        <w:div w:id="1581064931">
          <w:marLeft w:val="0"/>
          <w:marRight w:val="0"/>
          <w:marTop w:val="0"/>
          <w:marBottom w:val="0"/>
          <w:divBdr>
            <w:top w:val="none" w:sz="0" w:space="0" w:color="auto"/>
            <w:left w:val="none" w:sz="0" w:space="0" w:color="auto"/>
            <w:bottom w:val="none" w:sz="0" w:space="0" w:color="auto"/>
            <w:right w:val="none" w:sz="0" w:space="0" w:color="auto"/>
          </w:divBdr>
        </w:div>
        <w:div w:id="1747875548">
          <w:marLeft w:val="0"/>
          <w:marRight w:val="0"/>
          <w:marTop w:val="0"/>
          <w:marBottom w:val="0"/>
          <w:divBdr>
            <w:top w:val="none" w:sz="0" w:space="0" w:color="auto"/>
            <w:left w:val="none" w:sz="0" w:space="0" w:color="auto"/>
            <w:bottom w:val="none" w:sz="0" w:space="0" w:color="auto"/>
            <w:right w:val="none" w:sz="0" w:space="0" w:color="auto"/>
          </w:divBdr>
        </w:div>
        <w:div w:id="2095009842">
          <w:marLeft w:val="0"/>
          <w:marRight w:val="0"/>
          <w:marTop w:val="0"/>
          <w:marBottom w:val="0"/>
          <w:divBdr>
            <w:top w:val="none" w:sz="0" w:space="0" w:color="auto"/>
            <w:left w:val="none" w:sz="0" w:space="0" w:color="auto"/>
            <w:bottom w:val="none" w:sz="0" w:space="0" w:color="auto"/>
            <w:right w:val="none" w:sz="0" w:space="0" w:color="auto"/>
          </w:divBdr>
        </w:div>
        <w:div w:id="2134784333">
          <w:marLeft w:val="0"/>
          <w:marRight w:val="0"/>
          <w:marTop w:val="0"/>
          <w:marBottom w:val="0"/>
          <w:divBdr>
            <w:top w:val="none" w:sz="0" w:space="0" w:color="auto"/>
            <w:left w:val="none" w:sz="0" w:space="0" w:color="auto"/>
            <w:bottom w:val="none" w:sz="0" w:space="0" w:color="auto"/>
            <w:right w:val="none" w:sz="0" w:space="0" w:color="auto"/>
          </w:divBdr>
        </w:div>
      </w:divsChild>
    </w:div>
    <w:div w:id="1745033900">
      <w:bodyDiv w:val="1"/>
      <w:marLeft w:val="0"/>
      <w:marRight w:val="0"/>
      <w:marTop w:val="0"/>
      <w:marBottom w:val="0"/>
      <w:divBdr>
        <w:top w:val="none" w:sz="0" w:space="0" w:color="auto"/>
        <w:left w:val="none" w:sz="0" w:space="0" w:color="auto"/>
        <w:bottom w:val="none" w:sz="0" w:space="0" w:color="auto"/>
        <w:right w:val="none" w:sz="0" w:space="0" w:color="auto"/>
      </w:divBdr>
      <w:divsChild>
        <w:div w:id="533350283">
          <w:marLeft w:val="0"/>
          <w:marRight w:val="0"/>
          <w:marTop w:val="0"/>
          <w:marBottom w:val="0"/>
          <w:divBdr>
            <w:top w:val="none" w:sz="0" w:space="0" w:color="auto"/>
            <w:left w:val="none" w:sz="0" w:space="0" w:color="auto"/>
            <w:bottom w:val="none" w:sz="0" w:space="0" w:color="auto"/>
            <w:right w:val="none" w:sz="0" w:space="0" w:color="auto"/>
          </w:divBdr>
        </w:div>
        <w:div w:id="946739429">
          <w:marLeft w:val="0"/>
          <w:marRight w:val="0"/>
          <w:marTop w:val="0"/>
          <w:marBottom w:val="0"/>
          <w:divBdr>
            <w:top w:val="none" w:sz="0" w:space="0" w:color="auto"/>
            <w:left w:val="none" w:sz="0" w:space="0" w:color="auto"/>
            <w:bottom w:val="none" w:sz="0" w:space="0" w:color="auto"/>
            <w:right w:val="none" w:sz="0" w:space="0" w:color="auto"/>
          </w:divBdr>
        </w:div>
        <w:div w:id="1234968864">
          <w:marLeft w:val="0"/>
          <w:marRight w:val="0"/>
          <w:marTop w:val="0"/>
          <w:marBottom w:val="0"/>
          <w:divBdr>
            <w:top w:val="none" w:sz="0" w:space="0" w:color="auto"/>
            <w:left w:val="none" w:sz="0" w:space="0" w:color="auto"/>
            <w:bottom w:val="none" w:sz="0" w:space="0" w:color="auto"/>
            <w:right w:val="none" w:sz="0" w:space="0" w:color="auto"/>
          </w:divBdr>
        </w:div>
        <w:div w:id="1302685449">
          <w:marLeft w:val="0"/>
          <w:marRight w:val="0"/>
          <w:marTop w:val="0"/>
          <w:marBottom w:val="0"/>
          <w:divBdr>
            <w:top w:val="none" w:sz="0" w:space="0" w:color="auto"/>
            <w:left w:val="none" w:sz="0" w:space="0" w:color="auto"/>
            <w:bottom w:val="none" w:sz="0" w:space="0" w:color="auto"/>
            <w:right w:val="none" w:sz="0" w:space="0" w:color="auto"/>
          </w:divBdr>
        </w:div>
        <w:div w:id="1635210112">
          <w:marLeft w:val="0"/>
          <w:marRight w:val="0"/>
          <w:marTop w:val="0"/>
          <w:marBottom w:val="0"/>
          <w:divBdr>
            <w:top w:val="none" w:sz="0" w:space="0" w:color="auto"/>
            <w:left w:val="none" w:sz="0" w:space="0" w:color="auto"/>
            <w:bottom w:val="none" w:sz="0" w:space="0" w:color="auto"/>
            <w:right w:val="none" w:sz="0" w:space="0" w:color="auto"/>
          </w:divBdr>
        </w:div>
        <w:div w:id="1742754380">
          <w:marLeft w:val="0"/>
          <w:marRight w:val="0"/>
          <w:marTop w:val="0"/>
          <w:marBottom w:val="0"/>
          <w:divBdr>
            <w:top w:val="none" w:sz="0" w:space="0" w:color="auto"/>
            <w:left w:val="none" w:sz="0" w:space="0" w:color="auto"/>
            <w:bottom w:val="none" w:sz="0" w:space="0" w:color="auto"/>
            <w:right w:val="none" w:sz="0" w:space="0" w:color="auto"/>
          </w:divBdr>
        </w:div>
        <w:div w:id="2062483855">
          <w:marLeft w:val="0"/>
          <w:marRight w:val="0"/>
          <w:marTop w:val="0"/>
          <w:marBottom w:val="0"/>
          <w:divBdr>
            <w:top w:val="none" w:sz="0" w:space="0" w:color="auto"/>
            <w:left w:val="none" w:sz="0" w:space="0" w:color="auto"/>
            <w:bottom w:val="none" w:sz="0" w:space="0" w:color="auto"/>
            <w:right w:val="none" w:sz="0" w:space="0" w:color="auto"/>
          </w:divBdr>
        </w:div>
      </w:divsChild>
    </w:div>
    <w:div w:id="1766270838">
      <w:bodyDiv w:val="1"/>
      <w:marLeft w:val="0"/>
      <w:marRight w:val="0"/>
      <w:marTop w:val="0"/>
      <w:marBottom w:val="0"/>
      <w:divBdr>
        <w:top w:val="none" w:sz="0" w:space="0" w:color="auto"/>
        <w:left w:val="none" w:sz="0" w:space="0" w:color="auto"/>
        <w:bottom w:val="none" w:sz="0" w:space="0" w:color="auto"/>
        <w:right w:val="none" w:sz="0" w:space="0" w:color="auto"/>
      </w:divBdr>
      <w:divsChild>
        <w:div w:id="63138973">
          <w:marLeft w:val="0"/>
          <w:marRight w:val="0"/>
          <w:marTop w:val="0"/>
          <w:marBottom w:val="0"/>
          <w:divBdr>
            <w:top w:val="none" w:sz="0" w:space="0" w:color="auto"/>
            <w:left w:val="none" w:sz="0" w:space="0" w:color="auto"/>
            <w:bottom w:val="none" w:sz="0" w:space="0" w:color="auto"/>
            <w:right w:val="none" w:sz="0" w:space="0" w:color="auto"/>
          </w:divBdr>
        </w:div>
        <w:div w:id="433939026">
          <w:marLeft w:val="0"/>
          <w:marRight w:val="0"/>
          <w:marTop w:val="0"/>
          <w:marBottom w:val="0"/>
          <w:divBdr>
            <w:top w:val="none" w:sz="0" w:space="0" w:color="auto"/>
            <w:left w:val="none" w:sz="0" w:space="0" w:color="auto"/>
            <w:bottom w:val="none" w:sz="0" w:space="0" w:color="auto"/>
            <w:right w:val="none" w:sz="0" w:space="0" w:color="auto"/>
          </w:divBdr>
        </w:div>
        <w:div w:id="475533737">
          <w:marLeft w:val="0"/>
          <w:marRight w:val="0"/>
          <w:marTop w:val="0"/>
          <w:marBottom w:val="0"/>
          <w:divBdr>
            <w:top w:val="none" w:sz="0" w:space="0" w:color="auto"/>
            <w:left w:val="none" w:sz="0" w:space="0" w:color="auto"/>
            <w:bottom w:val="none" w:sz="0" w:space="0" w:color="auto"/>
            <w:right w:val="none" w:sz="0" w:space="0" w:color="auto"/>
          </w:divBdr>
        </w:div>
        <w:div w:id="1095588900">
          <w:marLeft w:val="0"/>
          <w:marRight w:val="0"/>
          <w:marTop w:val="0"/>
          <w:marBottom w:val="0"/>
          <w:divBdr>
            <w:top w:val="none" w:sz="0" w:space="0" w:color="auto"/>
            <w:left w:val="none" w:sz="0" w:space="0" w:color="auto"/>
            <w:bottom w:val="none" w:sz="0" w:space="0" w:color="auto"/>
            <w:right w:val="none" w:sz="0" w:space="0" w:color="auto"/>
          </w:divBdr>
        </w:div>
        <w:div w:id="1336028812">
          <w:marLeft w:val="0"/>
          <w:marRight w:val="0"/>
          <w:marTop w:val="0"/>
          <w:marBottom w:val="0"/>
          <w:divBdr>
            <w:top w:val="none" w:sz="0" w:space="0" w:color="auto"/>
            <w:left w:val="none" w:sz="0" w:space="0" w:color="auto"/>
            <w:bottom w:val="none" w:sz="0" w:space="0" w:color="auto"/>
            <w:right w:val="none" w:sz="0" w:space="0" w:color="auto"/>
          </w:divBdr>
        </w:div>
        <w:div w:id="1828589253">
          <w:marLeft w:val="0"/>
          <w:marRight w:val="0"/>
          <w:marTop w:val="0"/>
          <w:marBottom w:val="0"/>
          <w:divBdr>
            <w:top w:val="none" w:sz="0" w:space="0" w:color="auto"/>
            <w:left w:val="none" w:sz="0" w:space="0" w:color="auto"/>
            <w:bottom w:val="none" w:sz="0" w:space="0" w:color="auto"/>
            <w:right w:val="none" w:sz="0" w:space="0" w:color="auto"/>
          </w:divBdr>
        </w:div>
        <w:div w:id="2122721275">
          <w:marLeft w:val="0"/>
          <w:marRight w:val="0"/>
          <w:marTop w:val="0"/>
          <w:marBottom w:val="0"/>
          <w:divBdr>
            <w:top w:val="none" w:sz="0" w:space="0" w:color="auto"/>
            <w:left w:val="none" w:sz="0" w:space="0" w:color="auto"/>
            <w:bottom w:val="none" w:sz="0" w:space="0" w:color="auto"/>
            <w:right w:val="none" w:sz="0" w:space="0" w:color="auto"/>
          </w:divBdr>
        </w:div>
      </w:divsChild>
    </w:div>
    <w:div w:id="1782450485">
      <w:bodyDiv w:val="1"/>
      <w:marLeft w:val="0"/>
      <w:marRight w:val="0"/>
      <w:marTop w:val="0"/>
      <w:marBottom w:val="0"/>
      <w:divBdr>
        <w:top w:val="none" w:sz="0" w:space="0" w:color="auto"/>
        <w:left w:val="none" w:sz="0" w:space="0" w:color="auto"/>
        <w:bottom w:val="none" w:sz="0" w:space="0" w:color="auto"/>
        <w:right w:val="none" w:sz="0" w:space="0" w:color="auto"/>
      </w:divBdr>
      <w:divsChild>
        <w:div w:id="23139318">
          <w:marLeft w:val="0"/>
          <w:marRight w:val="0"/>
          <w:marTop w:val="0"/>
          <w:marBottom w:val="0"/>
          <w:divBdr>
            <w:top w:val="none" w:sz="0" w:space="0" w:color="auto"/>
            <w:left w:val="none" w:sz="0" w:space="0" w:color="auto"/>
            <w:bottom w:val="none" w:sz="0" w:space="0" w:color="auto"/>
            <w:right w:val="none" w:sz="0" w:space="0" w:color="auto"/>
          </w:divBdr>
        </w:div>
        <w:div w:id="312949436">
          <w:marLeft w:val="0"/>
          <w:marRight w:val="0"/>
          <w:marTop w:val="0"/>
          <w:marBottom w:val="0"/>
          <w:divBdr>
            <w:top w:val="none" w:sz="0" w:space="0" w:color="auto"/>
            <w:left w:val="none" w:sz="0" w:space="0" w:color="auto"/>
            <w:bottom w:val="none" w:sz="0" w:space="0" w:color="auto"/>
            <w:right w:val="none" w:sz="0" w:space="0" w:color="auto"/>
          </w:divBdr>
          <w:divsChild>
            <w:div w:id="314066987">
              <w:marLeft w:val="0"/>
              <w:marRight w:val="0"/>
              <w:marTop w:val="0"/>
              <w:marBottom w:val="0"/>
              <w:divBdr>
                <w:top w:val="none" w:sz="0" w:space="0" w:color="auto"/>
                <w:left w:val="none" w:sz="0" w:space="0" w:color="auto"/>
                <w:bottom w:val="none" w:sz="0" w:space="0" w:color="auto"/>
                <w:right w:val="none" w:sz="0" w:space="0" w:color="auto"/>
              </w:divBdr>
            </w:div>
            <w:div w:id="737290343">
              <w:marLeft w:val="0"/>
              <w:marRight w:val="0"/>
              <w:marTop w:val="0"/>
              <w:marBottom w:val="0"/>
              <w:divBdr>
                <w:top w:val="none" w:sz="0" w:space="0" w:color="auto"/>
                <w:left w:val="none" w:sz="0" w:space="0" w:color="auto"/>
                <w:bottom w:val="none" w:sz="0" w:space="0" w:color="auto"/>
                <w:right w:val="none" w:sz="0" w:space="0" w:color="auto"/>
              </w:divBdr>
            </w:div>
            <w:div w:id="970817506">
              <w:marLeft w:val="0"/>
              <w:marRight w:val="0"/>
              <w:marTop w:val="0"/>
              <w:marBottom w:val="0"/>
              <w:divBdr>
                <w:top w:val="none" w:sz="0" w:space="0" w:color="auto"/>
                <w:left w:val="none" w:sz="0" w:space="0" w:color="auto"/>
                <w:bottom w:val="none" w:sz="0" w:space="0" w:color="auto"/>
                <w:right w:val="none" w:sz="0" w:space="0" w:color="auto"/>
              </w:divBdr>
            </w:div>
            <w:div w:id="1005790302">
              <w:marLeft w:val="0"/>
              <w:marRight w:val="0"/>
              <w:marTop w:val="0"/>
              <w:marBottom w:val="0"/>
              <w:divBdr>
                <w:top w:val="none" w:sz="0" w:space="0" w:color="auto"/>
                <w:left w:val="none" w:sz="0" w:space="0" w:color="auto"/>
                <w:bottom w:val="none" w:sz="0" w:space="0" w:color="auto"/>
                <w:right w:val="none" w:sz="0" w:space="0" w:color="auto"/>
              </w:divBdr>
            </w:div>
          </w:divsChild>
        </w:div>
        <w:div w:id="935215566">
          <w:marLeft w:val="0"/>
          <w:marRight w:val="0"/>
          <w:marTop w:val="0"/>
          <w:marBottom w:val="0"/>
          <w:divBdr>
            <w:top w:val="none" w:sz="0" w:space="0" w:color="auto"/>
            <w:left w:val="none" w:sz="0" w:space="0" w:color="auto"/>
            <w:bottom w:val="none" w:sz="0" w:space="0" w:color="auto"/>
            <w:right w:val="none" w:sz="0" w:space="0" w:color="auto"/>
          </w:divBdr>
        </w:div>
        <w:div w:id="968902974">
          <w:marLeft w:val="0"/>
          <w:marRight w:val="0"/>
          <w:marTop w:val="0"/>
          <w:marBottom w:val="0"/>
          <w:divBdr>
            <w:top w:val="none" w:sz="0" w:space="0" w:color="auto"/>
            <w:left w:val="none" w:sz="0" w:space="0" w:color="auto"/>
            <w:bottom w:val="none" w:sz="0" w:space="0" w:color="auto"/>
            <w:right w:val="none" w:sz="0" w:space="0" w:color="auto"/>
          </w:divBdr>
        </w:div>
        <w:div w:id="1234583414">
          <w:marLeft w:val="0"/>
          <w:marRight w:val="0"/>
          <w:marTop w:val="0"/>
          <w:marBottom w:val="0"/>
          <w:divBdr>
            <w:top w:val="none" w:sz="0" w:space="0" w:color="auto"/>
            <w:left w:val="none" w:sz="0" w:space="0" w:color="auto"/>
            <w:bottom w:val="none" w:sz="0" w:space="0" w:color="auto"/>
            <w:right w:val="none" w:sz="0" w:space="0" w:color="auto"/>
          </w:divBdr>
        </w:div>
        <w:div w:id="1450123879">
          <w:marLeft w:val="0"/>
          <w:marRight w:val="0"/>
          <w:marTop w:val="0"/>
          <w:marBottom w:val="0"/>
          <w:divBdr>
            <w:top w:val="none" w:sz="0" w:space="0" w:color="auto"/>
            <w:left w:val="none" w:sz="0" w:space="0" w:color="auto"/>
            <w:bottom w:val="none" w:sz="0" w:space="0" w:color="auto"/>
            <w:right w:val="none" w:sz="0" w:space="0" w:color="auto"/>
          </w:divBdr>
        </w:div>
        <w:div w:id="1779637980">
          <w:marLeft w:val="0"/>
          <w:marRight w:val="0"/>
          <w:marTop w:val="0"/>
          <w:marBottom w:val="0"/>
          <w:divBdr>
            <w:top w:val="none" w:sz="0" w:space="0" w:color="auto"/>
            <w:left w:val="none" w:sz="0" w:space="0" w:color="auto"/>
            <w:bottom w:val="none" w:sz="0" w:space="0" w:color="auto"/>
            <w:right w:val="none" w:sz="0" w:space="0" w:color="auto"/>
          </w:divBdr>
        </w:div>
        <w:div w:id="2128307499">
          <w:marLeft w:val="0"/>
          <w:marRight w:val="0"/>
          <w:marTop w:val="0"/>
          <w:marBottom w:val="0"/>
          <w:divBdr>
            <w:top w:val="none" w:sz="0" w:space="0" w:color="auto"/>
            <w:left w:val="none" w:sz="0" w:space="0" w:color="auto"/>
            <w:bottom w:val="none" w:sz="0" w:space="0" w:color="auto"/>
            <w:right w:val="none" w:sz="0" w:space="0" w:color="auto"/>
          </w:divBdr>
        </w:div>
      </w:divsChild>
    </w:div>
    <w:div w:id="1791048446">
      <w:bodyDiv w:val="1"/>
      <w:marLeft w:val="0"/>
      <w:marRight w:val="0"/>
      <w:marTop w:val="0"/>
      <w:marBottom w:val="0"/>
      <w:divBdr>
        <w:top w:val="none" w:sz="0" w:space="0" w:color="auto"/>
        <w:left w:val="none" w:sz="0" w:space="0" w:color="auto"/>
        <w:bottom w:val="none" w:sz="0" w:space="0" w:color="auto"/>
        <w:right w:val="none" w:sz="0" w:space="0" w:color="auto"/>
      </w:divBdr>
      <w:divsChild>
        <w:div w:id="123549205">
          <w:marLeft w:val="0"/>
          <w:marRight w:val="0"/>
          <w:marTop w:val="0"/>
          <w:marBottom w:val="0"/>
          <w:divBdr>
            <w:top w:val="none" w:sz="0" w:space="0" w:color="auto"/>
            <w:left w:val="none" w:sz="0" w:space="0" w:color="auto"/>
            <w:bottom w:val="none" w:sz="0" w:space="0" w:color="auto"/>
            <w:right w:val="none" w:sz="0" w:space="0" w:color="auto"/>
          </w:divBdr>
        </w:div>
        <w:div w:id="180553376">
          <w:marLeft w:val="0"/>
          <w:marRight w:val="0"/>
          <w:marTop w:val="0"/>
          <w:marBottom w:val="0"/>
          <w:divBdr>
            <w:top w:val="none" w:sz="0" w:space="0" w:color="auto"/>
            <w:left w:val="none" w:sz="0" w:space="0" w:color="auto"/>
            <w:bottom w:val="none" w:sz="0" w:space="0" w:color="auto"/>
            <w:right w:val="none" w:sz="0" w:space="0" w:color="auto"/>
          </w:divBdr>
        </w:div>
        <w:div w:id="271280111">
          <w:marLeft w:val="0"/>
          <w:marRight w:val="0"/>
          <w:marTop w:val="0"/>
          <w:marBottom w:val="0"/>
          <w:divBdr>
            <w:top w:val="none" w:sz="0" w:space="0" w:color="auto"/>
            <w:left w:val="none" w:sz="0" w:space="0" w:color="auto"/>
            <w:bottom w:val="none" w:sz="0" w:space="0" w:color="auto"/>
            <w:right w:val="none" w:sz="0" w:space="0" w:color="auto"/>
          </w:divBdr>
        </w:div>
        <w:div w:id="599262732">
          <w:marLeft w:val="0"/>
          <w:marRight w:val="0"/>
          <w:marTop w:val="0"/>
          <w:marBottom w:val="0"/>
          <w:divBdr>
            <w:top w:val="none" w:sz="0" w:space="0" w:color="auto"/>
            <w:left w:val="none" w:sz="0" w:space="0" w:color="auto"/>
            <w:bottom w:val="none" w:sz="0" w:space="0" w:color="auto"/>
            <w:right w:val="none" w:sz="0" w:space="0" w:color="auto"/>
          </w:divBdr>
        </w:div>
        <w:div w:id="783184797">
          <w:marLeft w:val="0"/>
          <w:marRight w:val="0"/>
          <w:marTop w:val="0"/>
          <w:marBottom w:val="0"/>
          <w:divBdr>
            <w:top w:val="none" w:sz="0" w:space="0" w:color="auto"/>
            <w:left w:val="none" w:sz="0" w:space="0" w:color="auto"/>
            <w:bottom w:val="none" w:sz="0" w:space="0" w:color="auto"/>
            <w:right w:val="none" w:sz="0" w:space="0" w:color="auto"/>
          </w:divBdr>
        </w:div>
        <w:div w:id="1390571599">
          <w:marLeft w:val="0"/>
          <w:marRight w:val="0"/>
          <w:marTop w:val="0"/>
          <w:marBottom w:val="0"/>
          <w:divBdr>
            <w:top w:val="none" w:sz="0" w:space="0" w:color="auto"/>
            <w:left w:val="none" w:sz="0" w:space="0" w:color="auto"/>
            <w:bottom w:val="none" w:sz="0" w:space="0" w:color="auto"/>
            <w:right w:val="none" w:sz="0" w:space="0" w:color="auto"/>
          </w:divBdr>
        </w:div>
        <w:div w:id="1983191562">
          <w:marLeft w:val="0"/>
          <w:marRight w:val="0"/>
          <w:marTop w:val="0"/>
          <w:marBottom w:val="0"/>
          <w:divBdr>
            <w:top w:val="none" w:sz="0" w:space="0" w:color="auto"/>
            <w:left w:val="none" w:sz="0" w:space="0" w:color="auto"/>
            <w:bottom w:val="none" w:sz="0" w:space="0" w:color="auto"/>
            <w:right w:val="none" w:sz="0" w:space="0" w:color="auto"/>
          </w:divBdr>
        </w:div>
      </w:divsChild>
    </w:div>
    <w:div w:id="1792897560">
      <w:bodyDiv w:val="1"/>
      <w:marLeft w:val="0"/>
      <w:marRight w:val="0"/>
      <w:marTop w:val="0"/>
      <w:marBottom w:val="0"/>
      <w:divBdr>
        <w:top w:val="none" w:sz="0" w:space="0" w:color="auto"/>
        <w:left w:val="none" w:sz="0" w:space="0" w:color="auto"/>
        <w:bottom w:val="none" w:sz="0" w:space="0" w:color="auto"/>
        <w:right w:val="none" w:sz="0" w:space="0" w:color="auto"/>
      </w:divBdr>
      <w:divsChild>
        <w:div w:id="475999496">
          <w:marLeft w:val="0"/>
          <w:marRight w:val="0"/>
          <w:marTop w:val="0"/>
          <w:marBottom w:val="0"/>
          <w:divBdr>
            <w:top w:val="none" w:sz="0" w:space="0" w:color="auto"/>
            <w:left w:val="none" w:sz="0" w:space="0" w:color="auto"/>
            <w:bottom w:val="none" w:sz="0" w:space="0" w:color="auto"/>
            <w:right w:val="none" w:sz="0" w:space="0" w:color="auto"/>
          </w:divBdr>
        </w:div>
        <w:div w:id="560676908">
          <w:marLeft w:val="0"/>
          <w:marRight w:val="0"/>
          <w:marTop w:val="0"/>
          <w:marBottom w:val="0"/>
          <w:divBdr>
            <w:top w:val="none" w:sz="0" w:space="0" w:color="auto"/>
            <w:left w:val="none" w:sz="0" w:space="0" w:color="auto"/>
            <w:bottom w:val="none" w:sz="0" w:space="0" w:color="auto"/>
            <w:right w:val="none" w:sz="0" w:space="0" w:color="auto"/>
          </w:divBdr>
        </w:div>
        <w:div w:id="719523182">
          <w:marLeft w:val="0"/>
          <w:marRight w:val="0"/>
          <w:marTop w:val="0"/>
          <w:marBottom w:val="0"/>
          <w:divBdr>
            <w:top w:val="none" w:sz="0" w:space="0" w:color="auto"/>
            <w:left w:val="none" w:sz="0" w:space="0" w:color="auto"/>
            <w:bottom w:val="none" w:sz="0" w:space="0" w:color="auto"/>
            <w:right w:val="none" w:sz="0" w:space="0" w:color="auto"/>
          </w:divBdr>
        </w:div>
        <w:div w:id="760370159">
          <w:marLeft w:val="0"/>
          <w:marRight w:val="0"/>
          <w:marTop w:val="0"/>
          <w:marBottom w:val="0"/>
          <w:divBdr>
            <w:top w:val="none" w:sz="0" w:space="0" w:color="auto"/>
            <w:left w:val="none" w:sz="0" w:space="0" w:color="auto"/>
            <w:bottom w:val="none" w:sz="0" w:space="0" w:color="auto"/>
            <w:right w:val="none" w:sz="0" w:space="0" w:color="auto"/>
          </w:divBdr>
        </w:div>
        <w:div w:id="872578370">
          <w:marLeft w:val="0"/>
          <w:marRight w:val="0"/>
          <w:marTop w:val="0"/>
          <w:marBottom w:val="0"/>
          <w:divBdr>
            <w:top w:val="none" w:sz="0" w:space="0" w:color="auto"/>
            <w:left w:val="none" w:sz="0" w:space="0" w:color="auto"/>
            <w:bottom w:val="none" w:sz="0" w:space="0" w:color="auto"/>
            <w:right w:val="none" w:sz="0" w:space="0" w:color="auto"/>
          </w:divBdr>
        </w:div>
        <w:div w:id="882789459">
          <w:marLeft w:val="0"/>
          <w:marRight w:val="0"/>
          <w:marTop w:val="0"/>
          <w:marBottom w:val="0"/>
          <w:divBdr>
            <w:top w:val="none" w:sz="0" w:space="0" w:color="auto"/>
            <w:left w:val="none" w:sz="0" w:space="0" w:color="auto"/>
            <w:bottom w:val="none" w:sz="0" w:space="0" w:color="auto"/>
            <w:right w:val="none" w:sz="0" w:space="0" w:color="auto"/>
          </w:divBdr>
        </w:div>
        <w:div w:id="1730028564">
          <w:marLeft w:val="0"/>
          <w:marRight w:val="0"/>
          <w:marTop w:val="0"/>
          <w:marBottom w:val="0"/>
          <w:divBdr>
            <w:top w:val="none" w:sz="0" w:space="0" w:color="auto"/>
            <w:left w:val="none" w:sz="0" w:space="0" w:color="auto"/>
            <w:bottom w:val="none" w:sz="0" w:space="0" w:color="auto"/>
            <w:right w:val="none" w:sz="0" w:space="0" w:color="auto"/>
          </w:divBdr>
        </w:div>
      </w:divsChild>
    </w:div>
    <w:div w:id="1793742469">
      <w:bodyDiv w:val="1"/>
      <w:marLeft w:val="0"/>
      <w:marRight w:val="0"/>
      <w:marTop w:val="0"/>
      <w:marBottom w:val="0"/>
      <w:divBdr>
        <w:top w:val="none" w:sz="0" w:space="0" w:color="auto"/>
        <w:left w:val="none" w:sz="0" w:space="0" w:color="auto"/>
        <w:bottom w:val="none" w:sz="0" w:space="0" w:color="auto"/>
        <w:right w:val="none" w:sz="0" w:space="0" w:color="auto"/>
      </w:divBdr>
      <w:divsChild>
        <w:div w:id="851647122">
          <w:marLeft w:val="0"/>
          <w:marRight w:val="0"/>
          <w:marTop w:val="0"/>
          <w:marBottom w:val="0"/>
          <w:divBdr>
            <w:top w:val="none" w:sz="0" w:space="0" w:color="auto"/>
            <w:left w:val="none" w:sz="0" w:space="0" w:color="auto"/>
            <w:bottom w:val="none" w:sz="0" w:space="0" w:color="auto"/>
            <w:right w:val="none" w:sz="0" w:space="0" w:color="auto"/>
          </w:divBdr>
        </w:div>
        <w:div w:id="1220477754">
          <w:marLeft w:val="0"/>
          <w:marRight w:val="0"/>
          <w:marTop w:val="0"/>
          <w:marBottom w:val="0"/>
          <w:divBdr>
            <w:top w:val="none" w:sz="0" w:space="0" w:color="auto"/>
            <w:left w:val="none" w:sz="0" w:space="0" w:color="auto"/>
            <w:bottom w:val="none" w:sz="0" w:space="0" w:color="auto"/>
            <w:right w:val="none" w:sz="0" w:space="0" w:color="auto"/>
          </w:divBdr>
        </w:div>
        <w:div w:id="1339505764">
          <w:marLeft w:val="0"/>
          <w:marRight w:val="0"/>
          <w:marTop w:val="0"/>
          <w:marBottom w:val="0"/>
          <w:divBdr>
            <w:top w:val="none" w:sz="0" w:space="0" w:color="auto"/>
            <w:left w:val="none" w:sz="0" w:space="0" w:color="auto"/>
            <w:bottom w:val="none" w:sz="0" w:space="0" w:color="auto"/>
            <w:right w:val="none" w:sz="0" w:space="0" w:color="auto"/>
          </w:divBdr>
        </w:div>
        <w:div w:id="1618490397">
          <w:marLeft w:val="0"/>
          <w:marRight w:val="0"/>
          <w:marTop w:val="0"/>
          <w:marBottom w:val="0"/>
          <w:divBdr>
            <w:top w:val="none" w:sz="0" w:space="0" w:color="auto"/>
            <w:left w:val="none" w:sz="0" w:space="0" w:color="auto"/>
            <w:bottom w:val="none" w:sz="0" w:space="0" w:color="auto"/>
            <w:right w:val="none" w:sz="0" w:space="0" w:color="auto"/>
          </w:divBdr>
        </w:div>
        <w:div w:id="1969579551">
          <w:marLeft w:val="0"/>
          <w:marRight w:val="0"/>
          <w:marTop w:val="0"/>
          <w:marBottom w:val="0"/>
          <w:divBdr>
            <w:top w:val="none" w:sz="0" w:space="0" w:color="auto"/>
            <w:left w:val="none" w:sz="0" w:space="0" w:color="auto"/>
            <w:bottom w:val="none" w:sz="0" w:space="0" w:color="auto"/>
            <w:right w:val="none" w:sz="0" w:space="0" w:color="auto"/>
          </w:divBdr>
        </w:div>
      </w:divsChild>
    </w:div>
    <w:div w:id="1800417619">
      <w:bodyDiv w:val="1"/>
      <w:marLeft w:val="0"/>
      <w:marRight w:val="0"/>
      <w:marTop w:val="0"/>
      <w:marBottom w:val="0"/>
      <w:divBdr>
        <w:top w:val="none" w:sz="0" w:space="0" w:color="auto"/>
        <w:left w:val="none" w:sz="0" w:space="0" w:color="auto"/>
        <w:bottom w:val="none" w:sz="0" w:space="0" w:color="auto"/>
        <w:right w:val="none" w:sz="0" w:space="0" w:color="auto"/>
      </w:divBdr>
      <w:divsChild>
        <w:div w:id="555242388">
          <w:marLeft w:val="0"/>
          <w:marRight w:val="0"/>
          <w:marTop w:val="0"/>
          <w:marBottom w:val="0"/>
          <w:divBdr>
            <w:top w:val="none" w:sz="0" w:space="0" w:color="auto"/>
            <w:left w:val="none" w:sz="0" w:space="0" w:color="auto"/>
            <w:bottom w:val="none" w:sz="0" w:space="0" w:color="auto"/>
            <w:right w:val="none" w:sz="0" w:space="0" w:color="auto"/>
          </w:divBdr>
          <w:divsChild>
            <w:div w:id="106194797">
              <w:marLeft w:val="0"/>
              <w:marRight w:val="0"/>
              <w:marTop w:val="0"/>
              <w:marBottom w:val="0"/>
              <w:divBdr>
                <w:top w:val="none" w:sz="0" w:space="0" w:color="auto"/>
                <w:left w:val="none" w:sz="0" w:space="0" w:color="auto"/>
                <w:bottom w:val="none" w:sz="0" w:space="0" w:color="auto"/>
                <w:right w:val="none" w:sz="0" w:space="0" w:color="auto"/>
              </w:divBdr>
            </w:div>
            <w:div w:id="764837532">
              <w:marLeft w:val="0"/>
              <w:marRight w:val="0"/>
              <w:marTop w:val="0"/>
              <w:marBottom w:val="0"/>
              <w:divBdr>
                <w:top w:val="none" w:sz="0" w:space="0" w:color="auto"/>
                <w:left w:val="none" w:sz="0" w:space="0" w:color="auto"/>
                <w:bottom w:val="none" w:sz="0" w:space="0" w:color="auto"/>
                <w:right w:val="none" w:sz="0" w:space="0" w:color="auto"/>
              </w:divBdr>
            </w:div>
            <w:div w:id="1550261644">
              <w:marLeft w:val="0"/>
              <w:marRight w:val="0"/>
              <w:marTop w:val="0"/>
              <w:marBottom w:val="0"/>
              <w:divBdr>
                <w:top w:val="none" w:sz="0" w:space="0" w:color="auto"/>
                <w:left w:val="none" w:sz="0" w:space="0" w:color="auto"/>
                <w:bottom w:val="none" w:sz="0" w:space="0" w:color="auto"/>
                <w:right w:val="none" w:sz="0" w:space="0" w:color="auto"/>
              </w:divBdr>
            </w:div>
            <w:div w:id="1671251515">
              <w:marLeft w:val="0"/>
              <w:marRight w:val="0"/>
              <w:marTop w:val="0"/>
              <w:marBottom w:val="0"/>
              <w:divBdr>
                <w:top w:val="none" w:sz="0" w:space="0" w:color="auto"/>
                <w:left w:val="none" w:sz="0" w:space="0" w:color="auto"/>
                <w:bottom w:val="none" w:sz="0" w:space="0" w:color="auto"/>
                <w:right w:val="none" w:sz="0" w:space="0" w:color="auto"/>
              </w:divBdr>
            </w:div>
            <w:div w:id="1714235321">
              <w:marLeft w:val="0"/>
              <w:marRight w:val="0"/>
              <w:marTop w:val="0"/>
              <w:marBottom w:val="0"/>
              <w:divBdr>
                <w:top w:val="none" w:sz="0" w:space="0" w:color="auto"/>
                <w:left w:val="none" w:sz="0" w:space="0" w:color="auto"/>
                <w:bottom w:val="none" w:sz="0" w:space="0" w:color="auto"/>
                <w:right w:val="none" w:sz="0" w:space="0" w:color="auto"/>
              </w:divBdr>
            </w:div>
          </w:divsChild>
        </w:div>
        <w:div w:id="1255939637">
          <w:marLeft w:val="0"/>
          <w:marRight w:val="0"/>
          <w:marTop w:val="0"/>
          <w:marBottom w:val="0"/>
          <w:divBdr>
            <w:top w:val="none" w:sz="0" w:space="0" w:color="auto"/>
            <w:left w:val="none" w:sz="0" w:space="0" w:color="auto"/>
            <w:bottom w:val="none" w:sz="0" w:space="0" w:color="auto"/>
            <w:right w:val="none" w:sz="0" w:space="0" w:color="auto"/>
          </w:divBdr>
        </w:div>
        <w:div w:id="1610895681">
          <w:marLeft w:val="0"/>
          <w:marRight w:val="0"/>
          <w:marTop w:val="0"/>
          <w:marBottom w:val="0"/>
          <w:divBdr>
            <w:top w:val="none" w:sz="0" w:space="0" w:color="auto"/>
            <w:left w:val="none" w:sz="0" w:space="0" w:color="auto"/>
            <w:bottom w:val="none" w:sz="0" w:space="0" w:color="auto"/>
            <w:right w:val="none" w:sz="0" w:space="0" w:color="auto"/>
          </w:divBdr>
        </w:div>
        <w:div w:id="1934120675">
          <w:marLeft w:val="0"/>
          <w:marRight w:val="0"/>
          <w:marTop w:val="0"/>
          <w:marBottom w:val="0"/>
          <w:divBdr>
            <w:top w:val="none" w:sz="0" w:space="0" w:color="auto"/>
            <w:left w:val="none" w:sz="0" w:space="0" w:color="auto"/>
            <w:bottom w:val="none" w:sz="0" w:space="0" w:color="auto"/>
            <w:right w:val="none" w:sz="0" w:space="0" w:color="auto"/>
          </w:divBdr>
        </w:div>
      </w:divsChild>
    </w:div>
    <w:div w:id="1801147661">
      <w:bodyDiv w:val="1"/>
      <w:marLeft w:val="0"/>
      <w:marRight w:val="0"/>
      <w:marTop w:val="0"/>
      <w:marBottom w:val="0"/>
      <w:divBdr>
        <w:top w:val="none" w:sz="0" w:space="0" w:color="auto"/>
        <w:left w:val="none" w:sz="0" w:space="0" w:color="auto"/>
        <w:bottom w:val="none" w:sz="0" w:space="0" w:color="auto"/>
        <w:right w:val="none" w:sz="0" w:space="0" w:color="auto"/>
      </w:divBdr>
      <w:divsChild>
        <w:div w:id="223756865">
          <w:marLeft w:val="0"/>
          <w:marRight w:val="0"/>
          <w:marTop w:val="0"/>
          <w:marBottom w:val="0"/>
          <w:divBdr>
            <w:top w:val="none" w:sz="0" w:space="0" w:color="auto"/>
            <w:left w:val="none" w:sz="0" w:space="0" w:color="auto"/>
            <w:bottom w:val="none" w:sz="0" w:space="0" w:color="auto"/>
            <w:right w:val="none" w:sz="0" w:space="0" w:color="auto"/>
          </w:divBdr>
        </w:div>
        <w:div w:id="427820409">
          <w:marLeft w:val="0"/>
          <w:marRight w:val="0"/>
          <w:marTop w:val="0"/>
          <w:marBottom w:val="0"/>
          <w:divBdr>
            <w:top w:val="none" w:sz="0" w:space="0" w:color="auto"/>
            <w:left w:val="none" w:sz="0" w:space="0" w:color="auto"/>
            <w:bottom w:val="none" w:sz="0" w:space="0" w:color="auto"/>
            <w:right w:val="none" w:sz="0" w:space="0" w:color="auto"/>
          </w:divBdr>
        </w:div>
        <w:div w:id="1516455036">
          <w:marLeft w:val="0"/>
          <w:marRight w:val="0"/>
          <w:marTop w:val="0"/>
          <w:marBottom w:val="0"/>
          <w:divBdr>
            <w:top w:val="none" w:sz="0" w:space="0" w:color="auto"/>
            <w:left w:val="none" w:sz="0" w:space="0" w:color="auto"/>
            <w:bottom w:val="none" w:sz="0" w:space="0" w:color="auto"/>
            <w:right w:val="none" w:sz="0" w:space="0" w:color="auto"/>
          </w:divBdr>
        </w:div>
      </w:divsChild>
    </w:div>
    <w:div w:id="1822887442">
      <w:bodyDiv w:val="1"/>
      <w:marLeft w:val="0"/>
      <w:marRight w:val="0"/>
      <w:marTop w:val="0"/>
      <w:marBottom w:val="0"/>
      <w:divBdr>
        <w:top w:val="none" w:sz="0" w:space="0" w:color="auto"/>
        <w:left w:val="none" w:sz="0" w:space="0" w:color="auto"/>
        <w:bottom w:val="none" w:sz="0" w:space="0" w:color="auto"/>
        <w:right w:val="none" w:sz="0" w:space="0" w:color="auto"/>
      </w:divBdr>
      <w:divsChild>
        <w:div w:id="60249149">
          <w:marLeft w:val="0"/>
          <w:marRight w:val="0"/>
          <w:marTop w:val="0"/>
          <w:marBottom w:val="0"/>
          <w:divBdr>
            <w:top w:val="none" w:sz="0" w:space="0" w:color="auto"/>
            <w:left w:val="none" w:sz="0" w:space="0" w:color="auto"/>
            <w:bottom w:val="none" w:sz="0" w:space="0" w:color="auto"/>
            <w:right w:val="none" w:sz="0" w:space="0" w:color="auto"/>
          </w:divBdr>
        </w:div>
        <w:div w:id="218591407">
          <w:marLeft w:val="0"/>
          <w:marRight w:val="0"/>
          <w:marTop w:val="0"/>
          <w:marBottom w:val="0"/>
          <w:divBdr>
            <w:top w:val="none" w:sz="0" w:space="0" w:color="auto"/>
            <w:left w:val="none" w:sz="0" w:space="0" w:color="auto"/>
            <w:bottom w:val="none" w:sz="0" w:space="0" w:color="auto"/>
            <w:right w:val="none" w:sz="0" w:space="0" w:color="auto"/>
          </w:divBdr>
        </w:div>
        <w:div w:id="374700466">
          <w:marLeft w:val="0"/>
          <w:marRight w:val="0"/>
          <w:marTop w:val="0"/>
          <w:marBottom w:val="0"/>
          <w:divBdr>
            <w:top w:val="none" w:sz="0" w:space="0" w:color="auto"/>
            <w:left w:val="none" w:sz="0" w:space="0" w:color="auto"/>
            <w:bottom w:val="none" w:sz="0" w:space="0" w:color="auto"/>
            <w:right w:val="none" w:sz="0" w:space="0" w:color="auto"/>
          </w:divBdr>
        </w:div>
        <w:div w:id="838889133">
          <w:marLeft w:val="0"/>
          <w:marRight w:val="0"/>
          <w:marTop w:val="0"/>
          <w:marBottom w:val="0"/>
          <w:divBdr>
            <w:top w:val="none" w:sz="0" w:space="0" w:color="auto"/>
            <w:left w:val="none" w:sz="0" w:space="0" w:color="auto"/>
            <w:bottom w:val="none" w:sz="0" w:space="0" w:color="auto"/>
            <w:right w:val="none" w:sz="0" w:space="0" w:color="auto"/>
          </w:divBdr>
        </w:div>
        <w:div w:id="1331369868">
          <w:marLeft w:val="0"/>
          <w:marRight w:val="0"/>
          <w:marTop w:val="0"/>
          <w:marBottom w:val="0"/>
          <w:divBdr>
            <w:top w:val="none" w:sz="0" w:space="0" w:color="auto"/>
            <w:left w:val="none" w:sz="0" w:space="0" w:color="auto"/>
            <w:bottom w:val="none" w:sz="0" w:space="0" w:color="auto"/>
            <w:right w:val="none" w:sz="0" w:space="0" w:color="auto"/>
          </w:divBdr>
        </w:div>
        <w:div w:id="1438989316">
          <w:marLeft w:val="0"/>
          <w:marRight w:val="0"/>
          <w:marTop w:val="0"/>
          <w:marBottom w:val="0"/>
          <w:divBdr>
            <w:top w:val="none" w:sz="0" w:space="0" w:color="auto"/>
            <w:left w:val="none" w:sz="0" w:space="0" w:color="auto"/>
            <w:bottom w:val="none" w:sz="0" w:space="0" w:color="auto"/>
            <w:right w:val="none" w:sz="0" w:space="0" w:color="auto"/>
          </w:divBdr>
        </w:div>
        <w:div w:id="2128499505">
          <w:marLeft w:val="0"/>
          <w:marRight w:val="0"/>
          <w:marTop w:val="0"/>
          <w:marBottom w:val="0"/>
          <w:divBdr>
            <w:top w:val="none" w:sz="0" w:space="0" w:color="auto"/>
            <w:left w:val="none" w:sz="0" w:space="0" w:color="auto"/>
            <w:bottom w:val="none" w:sz="0" w:space="0" w:color="auto"/>
            <w:right w:val="none" w:sz="0" w:space="0" w:color="auto"/>
          </w:divBdr>
        </w:div>
      </w:divsChild>
    </w:div>
    <w:div w:id="1874464573">
      <w:bodyDiv w:val="1"/>
      <w:marLeft w:val="0"/>
      <w:marRight w:val="0"/>
      <w:marTop w:val="0"/>
      <w:marBottom w:val="0"/>
      <w:divBdr>
        <w:top w:val="none" w:sz="0" w:space="0" w:color="auto"/>
        <w:left w:val="none" w:sz="0" w:space="0" w:color="auto"/>
        <w:bottom w:val="none" w:sz="0" w:space="0" w:color="auto"/>
        <w:right w:val="none" w:sz="0" w:space="0" w:color="auto"/>
      </w:divBdr>
      <w:divsChild>
        <w:div w:id="1442263900">
          <w:marLeft w:val="0"/>
          <w:marRight w:val="0"/>
          <w:marTop w:val="0"/>
          <w:marBottom w:val="0"/>
          <w:divBdr>
            <w:top w:val="none" w:sz="0" w:space="0" w:color="auto"/>
            <w:left w:val="none" w:sz="0" w:space="0" w:color="auto"/>
            <w:bottom w:val="none" w:sz="0" w:space="0" w:color="auto"/>
            <w:right w:val="none" w:sz="0" w:space="0" w:color="auto"/>
          </w:divBdr>
          <w:divsChild>
            <w:div w:id="286158135">
              <w:marLeft w:val="0"/>
              <w:marRight w:val="0"/>
              <w:marTop w:val="0"/>
              <w:marBottom w:val="0"/>
              <w:divBdr>
                <w:top w:val="none" w:sz="0" w:space="0" w:color="auto"/>
                <w:left w:val="none" w:sz="0" w:space="0" w:color="auto"/>
                <w:bottom w:val="none" w:sz="0" w:space="0" w:color="auto"/>
                <w:right w:val="none" w:sz="0" w:space="0" w:color="auto"/>
              </w:divBdr>
            </w:div>
            <w:div w:id="1305433450">
              <w:marLeft w:val="0"/>
              <w:marRight w:val="0"/>
              <w:marTop w:val="0"/>
              <w:marBottom w:val="0"/>
              <w:divBdr>
                <w:top w:val="none" w:sz="0" w:space="0" w:color="auto"/>
                <w:left w:val="none" w:sz="0" w:space="0" w:color="auto"/>
                <w:bottom w:val="none" w:sz="0" w:space="0" w:color="auto"/>
                <w:right w:val="none" w:sz="0" w:space="0" w:color="auto"/>
              </w:divBdr>
            </w:div>
            <w:div w:id="1587421490">
              <w:marLeft w:val="0"/>
              <w:marRight w:val="0"/>
              <w:marTop w:val="0"/>
              <w:marBottom w:val="0"/>
              <w:divBdr>
                <w:top w:val="none" w:sz="0" w:space="0" w:color="auto"/>
                <w:left w:val="none" w:sz="0" w:space="0" w:color="auto"/>
                <w:bottom w:val="none" w:sz="0" w:space="0" w:color="auto"/>
                <w:right w:val="none" w:sz="0" w:space="0" w:color="auto"/>
              </w:divBdr>
            </w:div>
          </w:divsChild>
        </w:div>
        <w:div w:id="1656379367">
          <w:marLeft w:val="0"/>
          <w:marRight w:val="0"/>
          <w:marTop w:val="0"/>
          <w:marBottom w:val="0"/>
          <w:divBdr>
            <w:top w:val="none" w:sz="0" w:space="0" w:color="auto"/>
            <w:left w:val="none" w:sz="0" w:space="0" w:color="auto"/>
            <w:bottom w:val="none" w:sz="0" w:space="0" w:color="auto"/>
            <w:right w:val="none" w:sz="0" w:space="0" w:color="auto"/>
          </w:divBdr>
          <w:divsChild>
            <w:div w:id="102770592">
              <w:marLeft w:val="0"/>
              <w:marRight w:val="0"/>
              <w:marTop w:val="0"/>
              <w:marBottom w:val="0"/>
              <w:divBdr>
                <w:top w:val="none" w:sz="0" w:space="0" w:color="auto"/>
                <w:left w:val="none" w:sz="0" w:space="0" w:color="auto"/>
                <w:bottom w:val="none" w:sz="0" w:space="0" w:color="auto"/>
                <w:right w:val="none" w:sz="0" w:space="0" w:color="auto"/>
              </w:divBdr>
            </w:div>
            <w:div w:id="1630622385">
              <w:marLeft w:val="0"/>
              <w:marRight w:val="0"/>
              <w:marTop w:val="0"/>
              <w:marBottom w:val="0"/>
              <w:divBdr>
                <w:top w:val="none" w:sz="0" w:space="0" w:color="auto"/>
                <w:left w:val="none" w:sz="0" w:space="0" w:color="auto"/>
                <w:bottom w:val="none" w:sz="0" w:space="0" w:color="auto"/>
                <w:right w:val="none" w:sz="0" w:space="0" w:color="auto"/>
              </w:divBdr>
            </w:div>
            <w:div w:id="1714189213">
              <w:marLeft w:val="0"/>
              <w:marRight w:val="0"/>
              <w:marTop w:val="0"/>
              <w:marBottom w:val="0"/>
              <w:divBdr>
                <w:top w:val="none" w:sz="0" w:space="0" w:color="auto"/>
                <w:left w:val="none" w:sz="0" w:space="0" w:color="auto"/>
                <w:bottom w:val="none" w:sz="0" w:space="0" w:color="auto"/>
                <w:right w:val="none" w:sz="0" w:space="0" w:color="auto"/>
              </w:divBdr>
            </w:div>
            <w:div w:id="2006005732">
              <w:marLeft w:val="0"/>
              <w:marRight w:val="0"/>
              <w:marTop w:val="0"/>
              <w:marBottom w:val="0"/>
              <w:divBdr>
                <w:top w:val="none" w:sz="0" w:space="0" w:color="auto"/>
                <w:left w:val="none" w:sz="0" w:space="0" w:color="auto"/>
                <w:bottom w:val="none" w:sz="0" w:space="0" w:color="auto"/>
                <w:right w:val="none" w:sz="0" w:space="0" w:color="auto"/>
              </w:divBdr>
            </w:div>
            <w:div w:id="2128545845">
              <w:marLeft w:val="0"/>
              <w:marRight w:val="0"/>
              <w:marTop w:val="0"/>
              <w:marBottom w:val="0"/>
              <w:divBdr>
                <w:top w:val="none" w:sz="0" w:space="0" w:color="auto"/>
                <w:left w:val="none" w:sz="0" w:space="0" w:color="auto"/>
                <w:bottom w:val="none" w:sz="0" w:space="0" w:color="auto"/>
                <w:right w:val="none" w:sz="0" w:space="0" w:color="auto"/>
              </w:divBdr>
            </w:div>
          </w:divsChild>
        </w:div>
        <w:div w:id="1660421657">
          <w:marLeft w:val="0"/>
          <w:marRight w:val="0"/>
          <w:marTop w:val="0"/>
          <w:marBottom w:val="0"/>
          <w:divBdr>
            <w:top w:val="none" w:sz="0" w:space="0" w:color="auto"/>
            <w:left w:val="none" w:sz="0" w:space="0" w:color="auto"/>
            <w:bottom w:val="none" w:sz="0" w:space="0" w:color="auto"/>
            <w:right w:val="none" w:sz="0" w:space="0" w:color="auto"/>
          </w:divBdr>
          <w:divsChild>
            <w:div w:id="1213884480">
              <w:marLeft w:val="0"/>
              <w:marRight w:val="0"/>
              <w:marTop w:val="0"/>
              <w:marBottom w:val="0"/>
              <w:divBdr>
                <w:top w:val="none" w:sz="0" w:space="0" w:color="auto"/>
                <w:left w:val="none" w:sz="0" w:space="0" w:color="auto"/>
                <w:bottom w:val="none" w:sz="0" w:space="0" w:color="auto"/>
                <w:right w:val="none" w:sz="0" w:space="0" w:color="auto"/>
              </w:divBdr>
            </w:div>
            <w:div w:id="1816294493">
              <w:marLeft w:val="0"/>
              <w:marRight w:val="0"/>
              <w:marTop w:val="0"/>
              <w:marBottom w:val="0"/>
              <w:divBdr>
                <w:top w:val="none" w:sz="0" w:space="0" w:color="auto"/>
                <w:left w:val="none" w:sz="0" w:space="0" w:color="auto"/>
                <w:bottom w:val="none" w:sz="0" w:space="0" w:color="auto"/>
                <w:right w:val="none" w:sz="0" w:space="0" w:color="auto"/>
              </w:divBdr>
            </w:div>
            <w:div w:id="19484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254">
      <w:bodyDiv w:val="1"/>
      <w:marLeft w:val="0"/>
      <w:marRight w:val="0"/>
      <w:marTop w:val="0"/>
      <w:marBottom w:val="0"/>
      <w:divBdr>
        <w:top w:val="none" w:sz="0" w:space="0" w:color="auto"/>
        <w:left w:val="none" w:sz="0" w:space="0" w:color="auto"/>
        <w:bottom w:val="none" w:sz="0" w:space="0" w:color="auto"/>
        <w:right w:val="none" w:sz="0" w:space="0" w:color="auto"/>
      </w:divBdr>
      <w:divsChild>
        <w:div w:id="492257741">
          <w:marLeft w:val="0"/>
          <w:marRight w:val="0"/>
          <w:marTop w:val="0"/>
          <w:marBottom w:val="0"/>
          <w:divBdr>
            <w:top w:val="none" w:sz="0" w:space="0" w:color="auto"/>
            <w:left w:val="none" w:sz="0" w:space="0" w:color="auto"/>
            <w:bottom w:val="none" w:sz="0" w:space="0" w:color="auto"/>
            <w:right w:val="none" w:sz="0" w:space="0" w:color="auto"/>
          </w:divBdr>
        </w:div>
        <w:div w:id="526259685">
          <w:marLeft w:val="0"/>
          <w:marRight w:val="0"/>
          <w:marTop w:val="0"/>
          <w:marBottom w:val="0"/>
          <w:divBdr>
            <w:top w:val="none" w:sz="0" w:space="0" w:color="auto"/>
            <w:left w:val="none" w:sz="0" w:space="0" w:color="auto"/>
            <w:bottom w:val="none" w:sz="0" w:space="0" w:color="auto"/>
            <w:right w:val="none" w:sz="0" w:space="0" w:color="auto"/>
          </w:divBdr>
        </w:div>
        <w:div w:id="955258725">
          <w:marLeft w:val="0"/>
          <w:marRight w:val="0"/>
          <w:marTop w:val="0"/>
          <w:marBottom w:val="0"/>
          <w:divBdr>
            <w:top w:val="none" w:sz="0" w:space="0" w:color="auto"/>
            <w:left w:val="none" w:sz="0" w:space="0" w:color="auto"/>
            <w:bottom w:val="none" w:sz="0" w:space="0" w:color="auto"/>
            <w:right w:val="none" w:sz="0" w:space="0" w:color="auto"/>
          </w:divBdr>
        </w:div>
        <w:div w:id="1039669650">
          <w:marLeft w:val="0"/>
          <w:marRight w:val="0"/>
          <w:marTop w:val="0"/>
          <w:marBottom w:val="0"/>
          <w:divBdr>
            <w:top w:val="none" w:sz="0" w:space="0" w:color="auto"/>
            <w:left w:val="none" w:sz="0" w:space="0" w:color="auto"/>
            <w:bottom w:val="none" w:sz="0" w:space="0" w:color="auto"/>
            <w:right w:val="none" w:sz="0" w:space="0" w:color="auto"/>
          </w:divBdr>
        </w:div>
        <w:div w:id="1862083871">
          <w:marLeft w:val="0"/>
          <w:marRight w:val="0"/>
          <w:marTop w:val="0"/>
          <w:marBottom w:val="0"/>
          <w:divBdr>
            <w:top w:val="none" w:sz="0" w:space="0" w:color="auto"/>
            <w:left w:val="none" w:sz="0" w:space="0" w:color="auto"/>
            <w:bottom w:val="none" w:sz="0" w:space="0" w:color="auto"/>
            <w:right w:val="none" w:sz="0" w:space="0" w:color="auto"/>
          </w:divBdr>
        </w:div>
        <w:div w:id="1931616224">
          <w:marLeft w:val="0"/>
          <w:marRight w:val="0"/>
          <w:marTop w:val="0"/>
          <w:marBottom w:val="0"/>
          <w:divBdr>
            <w:top w:val="none" w:sz="0" w:space="0" w:color="auto"/>
            <w:left w:val="none" w:sz="0" w:space="0" w:color="auto"/>
            <w:bottom w:val="none" w:sz="0" w:space="0" w:color="auto"/>
            <w:right w:val="none" w:sz="0" w:space="0" w:color="auto"/>
          </w:divBdr>
        </w:div>
        <w:div w:id="1990472881">
          <w:marLeft w:val="0"/>
          <w:marRight w:val="0"/>
          <w:marTop w:val="0"/>
          <w:marBottom w:val="0"/>
          <w:divBdr>
            <w:top w:val="none" w:sz="0" w:space="0" w:color="auto"/>
            <w:left w:val="none" w:sz="0" w:space="0" w:color="auto"/>
            <w:bottom w:val="none" w:sz="0" w:space="0" w:color="auto"/>
            <w:right w:val="none" w:sz="0" w:space="0" w:color="auto"/>
          </w:divBdr>
        </w:div>
        <w:div w:id="2017146213">
          <w:marLeft w:val="0"/>
          <w:marRight w:val="0"/>
          <w:marTop w:val="0"/>
          <w:marBottom w:val="0"/>
          <w:divBdr>
            <w:top w:val="none" w:sz="0" w:space="0" w:color="auto"/>
            <w:left w:val="none" w:sz="0" w:space="0" w:color="auto"/>
            <w:bottom w:val="none" w:sz="0" w:space="0" w:color="auto"/>
            <w:right w:val="none" w:sz="0" w:space="0" w:color="auto"/>
          </w:divBdr>
        </w:div>
        <w:div w:id="2070809579">
          <w:marLeft w:val="0"/>
          <w:marRight w:val="0"/>
          <w:marTop w:val="0"/>
          <w:marBottom w:val="0"/>
          <w:divBdr>
            <w:top w:val="none" w:sz="0" w:space="0" w:color="auto"/>
            <w:left w:val="none" w:sz="0" w:space="0" w:color="auto"/>
            <w:bottom w:val="none" w:sz="0" w:space="0" w:color="auto"/>
            <w:right w:val="none" w:sz="0" w:space="0" w:color="auto"/>
          </w:divBdr>
        </w:div>
      </w:divsChild>
    </w:div>
    <w:div w:id="1937010390">
      <w:bodyDiv w:val="1"/>
      <w:marLeft w:val="0"/>
      <w:marRight w:val="0"/>
      <w:marTop w:val="0"/>
      <w:marBottom w:val="0"/>
      <w:divBdr>
        <w:top w:val="none" w:sz="0" w:space="0" w:color="auto"/>
        <w:left w:val="none" w:sz="0" w:space="0" w:color="auto"/>
        <w:bottom w:val="none" w:sz="0" w:space="0" w:color="auto"/>
        <w:right w:val="none" w:sz="0" w:space="0" w:color="auto"/>
      </w:divBdr>
      <w:divsChild>
        <w:div w:id="809976268">
          <w:marLeft w:val="0"/>
          <w:marRight w:val="0"/>
          <w:marTop w:val="0"/>
          <w:marBottom w:val="0"/>
          <w:divBdr>
            <w:top w:val="none" w:sz="0" w:space="0" w:color="auto"/>
            <w:left w:val="none" w:sz="0" w:space="0" w:color="auto"/>
            <w:bottom w:val="none" w:sz="0" w:space="0" w:color="auto"/>
            <w:right w:val="none" w:sz="0" w:space="0" w:color="auto"/>
          </w:divBdr>
        </w:div>
        <w:div w:id="1358385486">
          <w:marLeft w:val="0"/>
          <w:marRight w:val="0"/>
          <w:marTop w:val="0"/>
          <w:marBottom w:val="0"/>
          <w:divBdr>
            <w:top w:val="none" w:sz="0" w:space="0" w:color="auto"/>
            <w:left w:val="none" w:sz="0" w:space="0" w:color="auto"/>
            <w:bottom w:val="none" w:sz="0" w:space="0" w:color="auto"/>
            <w:right w:val="none" w:sz="0" w:space="0" w:color="auto"/>
          </w:divBdr>
        </w:div>
        <w:div w:id="1487164182">
          <w:marLeft w:val="0"/>
          <w:marRight w:val="0"/>
          <w:marTop w:val="0"/>
          <w:marBottom w:val="0"/>
          <w:divBdr>
            <w:top w:val="none" w:sz="0" w:space="0" w:color="auto"/>
            <w:left w:val="none" w:sz="0" w:space="0" w:color="auto"/>
            <w:bottom w:val="none" w:sz="0" w:space="0" w:color="auto"/>
            <w:right w:val="none" w:sz="0" w:space="0" w:color="auto"/>
          </w:divBdr>
        </w:div>
        <w:div w:id="1958873872">
          <w:marLeft w:val="0"/>
          <w:marRight w:val="0"/>
          <w:marTop w:val="0"/>
          <w:marBottom w:val="0"/>
          <w:divBdr>
            <w:top w:val="none" w:sz="0" w:space="0" w:color="auto"/>
            <w:left w:val="none" w:sz="0" w:space="0" w:color="auto"/>
            <w:bottom w:val="none" w:sz="0" w:space="0" w:color="auto"/>
            <w:right w:val="none" w:sz="0" w:space="0" w:color="auto"/>
          </w:divBdr>
        </w:div>
      </w:divsChild>
    </w:div>
    <w:div w:id="1942489513">
      <w:bodyDiv w:val="1"/>
      <w:marLeft w:val="0"/>
      <w:marRight w:val="0"/>
      <w:marTop w:val="0"/>
      <w:marBottom w:val="0"/>
      <w:divBdr>
        <w:top w:val="none" w:sz="0" w:space="0" w:color="auto"/>
        <w:left w:val="none" w:sz="0" w:space="0" w:color="auto"/>
        <w:bottom w:val="none" w:sz="0" w:space="0" w:color="auto"/>
        <w:right w:val="none" w:sz="0" w:space="0" w:color="auto"/>
      </w:divBdr>
      <w:divsChild>
        <w:div w:id="87778115">
          <w:marLeft w:val="0"/>
          <w:marRight w:val="0"/>
          <w:marTop w:val="0"/>
          <w:marBottom w:val="0"/>
          <w:divBdr>
            <w:top w:val="none" w:sz="0" w:space="0" w:color="auto"/>
            <w:left w:val="none" w:sz="0" w:space="0" w:color="auto"/>
            <w:bottom w:val="none" w:sz="0" w:space="0" w:color="auto"/>
            <w:right w:val="none" w:sz="0" w:space="0" w:color="auto"/>
          </w:divBdr>
        </w:div>
        <w:div w:id="654647114">
          <w:marLeft w:val="0"/>
          <w:marRight w:val="0"/>
          <w:marTop w:val="0"/>
          <w:marBottom w:val="0"/>
          <w:divBdr>
            <w:top w:val="none" w:sz="0" w:space="0" w:color="auto"/>
            <w:left w:val="none" w:sz="0" w:space="0" w:color="auto"/>
            <w:bottom w:val="none" w:sz="0" w:space="0" w:color="auto"/>
            <w:right w:val="none" w:sz="0" w:space="0" w:color="auto"/>
          </w:divBdr>
        </w:div>
        <w:div w:id="667749830">
          <w:marLeft w:val="0"/>
          <w:marRight w:val="0"/>
          <w:marTop w:val="0"/>
          <w:marBottom w:val="0"/>
          <w:divBdr>
            <w:top w:val="none" w:sz="0" w:space="0" w:color="auto"/>
            <w:left w:val="none" w:sz="0" w:space="0" w:color="auto"/>
            <w:bottom w:val="none" w:sz="0" w:space="0" w:color="auto"/>
            <w:right w:val="none" w:sz="0" w:space="0" w:color="auto"/>
          </w:divBdr>
        </w:div>
        <w:div w:id="881286991">
          <w:marLeft w:val="0"/>
          <w:marRight w:val="0"/>
          <w:marTop w:val="0"/>
          <w:marBottom w:val="0"/>
          <w:divBdr>
            <w:top w:val="none" w:sz="0" w:space="0" w:color="auto"/>
            <w:left w:val="none" w:sz="0" w:space="0" w:color="auto"/>
            <w:bottom w:val="none" w:sz="0" w:space="0" w:color="auto"/>
            <w:right w:val="none" w:sz="0" w:space="0" w:color="auto"/>
          </w:divBdr>
        </w:div>
        <w:div w:id="2005009516">
          <w:marLeft w:val="0"/>
          <w:marRight w:val="0"/>
          <w:marTop w:val="0"/>
          <w:marBottom w:val="0"/>
          <w:divBdr>
            <w:top w:val="none" w:sz="0" w:space="0" w:color="auto"/>
            <w:left w:val="none" w:sz="0" w:space="0" w:color="auto"/>
            <w:bottom w:val="none" w:sz="0" w:space="0" w:color="auto"/>
            <w:right w:val="none" w:sz="0" w:space="0" w:color="auto"/>
          </w:divBdr>
        </w:div>
        <w:div w:id="2065256060">
          <w:marLeft w:val="0"/>
          <w:marRight w:val="0"/>
          <w:marTop w:val="0"/>
          <w:marBottom w:val="0"/>
          <w:divBdr>
            <w:top w:val="none" w:sz="0" w:space="0" w:color="auto"/>
            <w:left w:val="none" w:sz="0" w:space="0" w:color="auto"/>
            <w:bottom w:val="none" w:sz="0" w:space="0" w:color="auto"/>
            <w:right w:val="none" w:sz="0" w:space="0" w:color="auto"/>
          </w:divBdr>
        </w:div>
        <w:div w:id="2086954419">
          <w:marLeft w:val="0"/>
          <w:marRight w:val="0"/>
          <w:marTop w:val="0"/>
          <w:marBottom w:val="0"/>
          <w:divBdr>
            <w:top w:val="none" w:sz="0" w:space="0" w:color="auto"/>
            <w:left w:val="none" w:sz="0" w:space="0" w:color="auto"/>
            <w:bottom w:val="none" w:sz="0" w:space="0" w:color="auto"/>
            <w:right w:val="none" w:sz="0" w:space="0" w:color="auto"/>
          </w:divBdr>
        </w:div>
      </w:divsChild>
    </w:div>
    <w:div w:id="1944418717">
      <w:bodyDiv w:val="1"/>
      <w:marLeft w:val="0"/>
      <w:marRight w:val="0"/>
      <w:marTop w:val="0"/>
      <w:marBottom w:val="0"/>
      <w:divBdr>
        <w:top w:val="none" w:sz="0" w:space="0" w:color="auto"/>
        <w:left w:val="none" w:sz="0" w:space="0" w:color="auto"/>
        <w:bottom w:val="none" w:sz="0" w:space="0" w:color="auto"/>
        <w:right w:val="none" w:sz="0" w:space="0" w:color="auto"/>
      </w:divBdr>
      <w:divsChild>
        <w:div w:id="162743117">
          <w:marLeft w:val="0"/>
          <w:marRight w:val="0"/>
          <w:marTop w:val="0"/>
          <w:marBottom w:val="0"/>
          <w:divBdr>
            <w:top w:val="none" w:sz="0" w:space="0" w:color="auto"/>
            <w:left w:val="none" w:sz="0" w:space="0" w:color="auto"/>
            <w:bottom w:val="none" w:sz="0" w:space="0" w:color="auto"/>
            <w:right w:val="none" w:sz="0" w:space="0" w:color="auto"/>
          </w:divBdr>
        </w:div>
        <w:div w:id="902641793">
          <w:marLeft w:val="0"/>
          <w:marRight w:val="0"/>
          <w:marTop w:val="0"/>
          <w:marBottom w:val="0"/>
          <w:divBdr>
            <w:top w:val="none" w:sz="0" w:space="0" w:color="auto"/>
            <w:left w:val="none" w:sz="0" w:space="0" w:color="auto"/>
            <w:bottom w:val="none" w:sz="0" w:space="0" w:color="auto"/>
            <w:right w:val="none" w:sz="0" w:space="0" w:color="auto"/>
          </w:divBdr>
        </w:div>
        <w:div w:id="1190870244">
          <w:marLeft w:val="0"/>
          <w:marRight w:val="0"/>
          <w:marTop w:val="0"/>
          <w:marBottom w:val="0"/>
          <w:divBdr>
            <w:top w:val="none" w:sz="0" w:space="0" w:color="auto"/>
            <w:left w:val="none" w:sz="0" w:space="0" w:color="auto"/>
            <w:bottom w:val="none" w:sz="0" w:space="0" w:color="auto"/>
            <w:right w:val="none" w:sz="0" w:space="0" w:color="auto"/>
          </w:divBdr>
        </w:div>
        <w:div w:id="1268974067">
          <w:marLeft w:val="0"/>
          <w:marRight w:val="0"/>
          <w:marTop w:val="0"/>
          <w:marBottom w:val="0"/>
          <w:divBdr>
            <w:top w:val="none" w:sz="0" w:space="0" w:color="auto"/>
            <w:left w:val="none" w:sz="0" w:space="0" w:color="auto"/>
            <w:bottom w:val="none" w:sz="0" w:space="0" w:color="auto"/>
            <w:right w:val="none" w:sz="0" w:space="0" w:color="auto"/>
          </w:divBdr>
        </w:div>
        <w:div w:id="1288509154">
          <w:marLeft w:val="0"/>
          <w:marRight w:val="0"/>
          <w:marTop w:val="0"/>
          <w:marBottom w:val="0"/>
          <w:divBdr>
            <w:top w:val="none" w:sz="0" w:space="0" w:color="auto"/>
            <w:left w:val="none" w:sz="0" w:space="0" w:color="auto"/>
            <w:bottom w:val="none" w:sz="0" w:space="0" w:color="auto"/>
            <w:right w:val="none" w:sz="0" w:space="0" w:color="auto"/>
          </w:divBdr>
        </w:div>
        <w:div w:id="1422331581">
          <w:marLeft w:val="0"/>
          <w:marRight w:val="0"/>
          <w:marTop w:val="0"/>
          <w:marBottom w:val="0"/>
          <w:divBdr>
            <w:top w:val="none" w:sz="0" w:space="0" w:color="auto"/>
            <w:left w:val="none" w:sz="0" w:space="0" w:color="auto"/>
            <w:bottom w:val="none" w:sz="0" w:space="0" w:color="auto"/>
            <w:right w:val="none" w:sz="0" w:space="0" w:color="auto"/>
          </w:divBdr>
        </w:div>
        <w:div w:id="1711608885">
          <w:marLeft w:val="0"/>
          <w:marRight w:val="0"/>
          <w:marTop w:val="0"/>
          <w:marBottom w:val="0"/>
          <w:divBdr>
            <w:top w:val="none" w:sz="0" w:space="0" w:color="auto"/>
            <w:left w:val="none" w:sz="0" w:space="0" w:color="auto"/>
            <w:bottom w:val="none" w:sz="0" w:space="0" w:color="auto"/>
            <w:right w:val="none" w:sz="0" w:space="0" w:color="auto"/>
          </w:divBdr>
        </w:div>
        <w:div w:id="2075662602">
          <w:marLeft w:val="0"/>
          <w:marRight w:val="0"/>
          <w:marTop w:val="0"/>
          <w:marBottom w:val="0"/>
          <w:divBdr>
            <w:top w:val="none" w:sz="0" w:space="0" w:color="auto"/>
            <w:left w:val="none" w:sz="0" w:space="0" w:color="auto"/>
            <w:bottom w:val="none" w:sz="0" w:space="0" w:color="auto"/>
            <w:right w:val="none" w:sz="0" w:space="0" w:color="auto"/>
          </w:divBdr>
        </w:div>
      </w:divsChild>
    </w:div>
    <w:div w:id="1982341000">
      <w:bodyDiv w:val="1"/>
      <w:marLeft w:val="0"/>
      <w:marRight w:val="0"/>
      <w:marTop w:val="0"/>
      <w:marBottom w:val="0"/>
      <w:divBdr>
        <w:top w:val="none" w:sz="0" w:space="0" w:color="auto"/>
        <w:left w:val="none" w:sz="0" w:space="0" w:color="auto"/>
        <w:bottom w:val="none" w:sz="0" w:space="0" w:color="auto"/>
        <w:right w:val="none" w:sz="0" w:space="0" w:color="auto"/>
      </w:divBdr>
      <w:divsChild>
        <w:div w:id="864370241">
          <w:marLeft w:val="0"/>
          <w:marRight w:val="0"/>
          <w:marTop w:val="0"/>
          <w:marBottom w:val="0"/>
          <w:divBdr>
            <w:top w:val="none" w:sz="0" w:space="0" w:color="auto"/>
            <w:left w:val="none" w:sz="0" w:space="0" w:color="auto"/>
            <w:bottom w:val="none" w:sz="0" w:space="0" w:color="auto"/>
            <w:right w:val="none" w:sz="0" w:space="0" w:color="auto"/>
          </w:divBdr>
        </w:div>
        <w:div w:id="1507744661">
          <w:marLeft w:val="0"/>
          <w:marRight w:val="0"/>
          <w:marTop w:val="0"/>
          <w:marBottom w:val="0"/>
          <w:divBdr>
            <w:top w:val="none" w:sz="0" w:space="0" w:color="auto"/>
            <w:left w:val="none" w:sz="0" w:space="0" w:color="auto"/>
            <w:bottom w:val="none" w:sz="0" w:space="0" w:color="auto"/>
            <w:right w:val="none" w:sz="0" w:space="0" w:color="auto"/>
          </w:divBdr>
        </w:div>
        <w:div w:id="1574049335">
          <w:marLeft w:val="0"/>
          <w:marRight w:val="0"/>
          <w:marTop w:val="0"/>
          <w:marBottom w:val="0"/>
          <w:divBdr>
            <w:top w:val="none" w:sz="0" w:space="0" w:color="auto"/>
            <w:left w:val="none" w:sz="0" w:space="0" w:color="auto"/>
            <w:bottom w:val="none" w:sz="0" w:space="0" w:color="auto"/>
            <w:right w:val="none" w:sz="0" w:space="0" w:color="auto"/>
          </w:divBdr>
        </w:div>
        <w:div w:id="1927613319">
          <w:marLeft w:val="0"/>
          <w:marRight w:val="0"/>
          <w:marTop w:val="0"/>
          <w:marBottom w:val="0"/>
          <w:divBdr>
            <w:top w:val="none" w:sz="0" w:space="0" w:color="auto"/>
            <w:left w:val="none" w:sz="0" w:space="0" w:color="auto"/>
            <w:bottom w:val="none" w:sz="0" w:space="0" w:color="auto"/>
            <w:right w:val="none" w:sz="0" w:space="0" w:color="auto"/>
          </w:divBdr>
        </w:div>
        <w:div w:id="2137331283">
          <w:marLeft w:val="0"/>
          <w:marRight w:val="0"/>
          <w:marTop w:val="0"/>
          <w:marBottom w:val="0"/>
          <w:divBdr>
            <w:top w:val="none" w:sz="0" w:space="0" w:color="auto"/>
            <w:left w:val="none" w:sz="0" w:space="0" w:color="auto"/>
            <w:bottom w:val="none" w:sz="0" w:space="0" w:color="auto"/>
            <w:right w:val="none" w:sz="0" w:space="0" w:color="auto"/>
          </w:divBdr>
        </w:div>
      </w:divsChild>
    </w:div>
    <w:div w:id="1984893848">
      <w:bodyDiv w:val="1"/>
      <w:marLeft w:val="0"/>
      <w:marRight w:val="0"/>
      <w:marTop w:val="0"/>
      <w:marBottom w:val="0"/>
      <w:divBdr>
        <w:top w:val="none" w:sz="0" w:space="0" w:color="auto"/>
        <w:left w:val="none" w:sz="0" w:space="0" w:color="auto"/>
        <w:bottom w:val="none" w:sz="0" w:space="0" w:color="auto"/>
        <w:right w:val="none" w:sz="0" w:space="0" w:color="auto"/>
      </w:divBdr>
      <w:divsChild>
        <w:div w:id="279995086">
          <w:marLeft w:val="0"/>
          <w:marRight w:val="0"/>
          <w:marTop w:val="0"/>
          <w:marBottom w:val="0"/>
          <w:divBdr>
            <w:top w:val="none" w:sz="0" w:space="0" w:color="auto"/>
            <w:left w:val="none" w:sz="0" w:space="0" w:color="auto"/>
            <w:bottom w:val="none" w:sz="0" w:space="0" w:color="auto"/>
            <w:right w:val="none" w:sz="0" w:space="0" w:color="auto"/>
          </w:divBdr>
        </w:div>
        <w:div w:id="348918698">
          <w:marLeft w:val="0"/>
          <w:marRight w:val="0"/>
          <w:marTop w:val="0"/>
          <w:marBottom w:val="0"/>
          <w:divBdr>
            <w:top w:val="none" w:sz="0" w:space="0" w:color="auto"/>
            <w:left w:val="none" w:sz="0" w:space="0" w:color="auto"/>
            <w:bottom w:val="none" w:sz="0" w:space="0" w:color="auto"/>
            <w:right w:val="none" w:sz="0" w:space="0" w:color="auto"/>
          </w:divBdr>
          <w:divsChild>
            <w:div w:id="68236674">
              <w:marLeft w:val="0"/>
              <w:marRight w:val="0"/>
              <w:marTop w:val="0"/>
              <w:marBottom w:val="0"/>
              <w:divBdr>
                <w:top w:val="none" w:sz="0" w:space="0" w:color="auto"/>
                <w:left w:val="none" w:sz="0" w:space="0" w:color="auto"/>
                <w:bottom w:val="none" w:sz="0" w:space="0" w:color="auto"/>
                <w:right w:val="none" w:sz="0" w:space="0" w:color="auto"/>
              </w:divBdr>
            </w:div>
            <w:div w:id="68892374">
              <w:marLeft w:val="0"/>
              <w:marRight w:val="0"/>
              <w:marTop w:val="0"/>
              <w:marBottom w:val="0"/>
              <w:divBdr>
                <w:top w:val="none" w:sz="0" w:space="0" w:color="auto"/>
                <w:left w:val="none" w:sz="0" w:space="0" w:color="auto"/>
                <w:bottom w:val="none" w:sz="0" w:space="0" w:color="auto"/>
                <w:right w:val="none" w:sz="0" w:space="0" w:color="auto"/>
              </w:divBdr>
            </w:div>
            <w:div w:id="644092157">
              <w:marLeft w:val="0"/>
              <w:marRight w:val="0"/>
              <w:marTop w:val="0"/>
              <w:marBottom w:val="0"/>
              <w:divBdr>
                <w:top w:val="none" w:sz="0" w:space="0" w:color="auto"/>
                <w:left w:val="none" w:sz="0" w:space="0" w:color="auto"/>
                <w:bottom w:val="none" w:sz="0" w:space="0" w:color="auto"/>
                <w:right w:val="none" w:sz="0" w:space="0" w:color="auto"/>
              </w:divBdr>
            </w:div>
            <w:div w:id="944506440">
              <w:marLeft w:val="0"/>
              <w:marRight w:val="0"/>
              <w:marTop w:val="0"/>
              <w:marBottom w:val="0"/>
              <w:divBdr>
                <w:top w:val="none" w:sz="0" w:space="0" w:color="auto"/>
                <w:left w:val="none" w:sz="0" w:space="0" w:color="auto"/>
                <w:bottom w:val="none" w:sz="0" w:space="0" w:color="auto"/>
                <w:right w:val="none" w:sz="0" w:space="0" w:color="auto"/>
              </w:divBdr>
            </w:div>
            <w:div w:id="1011758721">
              <w:marLeft w:val="0"/>
              <w:marRight w:val="0"/>
              <w:marTop w:val="0"/>
              <w:marBottom w:val="0"/>
              <w:divBdr>
                <w:top w:val="none" w:sz="0" w:space="0" w:color="auto"/>
                <w:left w:val="none" w:sz="0" w:space="0" w:color="auto"/>
                <w:bottom w:val="none" w:sz="0" w:space="0" w:color="auto"/>
                <w:right w:val="none" w:sz="0" w:space="0" w:color="auto"/>
              </w:divBdr>
            </w:div>
            <w:div w:id="1416395124">
              <w:marLeft w:val="0"/>
              <w:marRight w:val="0"/>
              <w:marTop w:val="0"/>
              <w:marBottom w:val="0"/>
              <w:divBdr>
                <w:top w:val="none" w:sz="0" w:space="0" w:color="auto"/>
                <w:left w:val="none" w:sz="0" w:space="0" w:color="auto"/>
                <w:bottom w:val="none" w:sz="0" w:space="0" w:color="auto"/>
                <w:right w:val="none" w:sz="0" w:space="0" w:color="auto"/>
              </w:divBdr>
            </w:div>
            <w:div w:id="1904900453">
              <w:marLeft w:val="0"/>
              <w:marRight w:val="0"/>
              <w:marTop w:val="0"/>
              <w:marBottom w:val="0"/>
              <w:divBdr>
                <w:top w:val="none" w:sz="0" w:space="0" w:color="auto"/>
                <w:left w:val="none" w:sz="0" w:space="0" w:color="auto"/>
                <w:bottom w:val="none" w:sz="0" w:space="0" w:color="auto"/>
                <w:right w:val="none" w:sz="0" w:space="0" w:color="auto"/>
              </w:divBdr>
            </w:div>
          </w:divsChild>
        </w:div>
        <w:div w:id="1342198133">
          <w:marLeft w:val="0"/>
          <w:marRight w:val="0"/>
          <w:marTop w:val="0"/>
          <w:marBottom w:val="0"/>
          <w:divBdr>
            <w:top w:val="none" w:sz="0" w:space="0" w:color="auto"/>
            <w:left w:val="none" w:sz="0" w:space="0" w:color="auto"/>
            <w:bottom w:val="none" w:sz="0" w:space="0" w:color="auto"/>
            <w:right w:val="none" w:sz="0" w:space="0" w:color="auto"/>
          </w:divBdr>
        </w:div>
      </w:divsChild>
    </w:div>
    <w:div w:id="2001037940">
      <w:bodyDiv w:val="1"/>
      <w:marLeft w:val="0"/>
      <w:marRight w:val="0"/>
      <w:marTop w:val="0"/>
      <w:marBottom w:val="0"/>
      <w:divBdr>
        <w:top w:val="none" w:sz="0" w:space="0" w:color="auto"/>
        <w:left w:val="none" w:sz="0" w:space="0" w:color="auto"/>
        <w:bottom w:val="none" w:sz="0" w:space="0" w:color="auto"/>
        <w:right w:val="none" w:sz="0" w:space="0" w:color="auto"/>
      </w:divBdr>
      <w:divsChild>
        <w:div w:id="440687884">
          <w:marLeft w:val="0"/>
          <w:marRight w:val="0"/>
          <w:marTop w:val="0"/>
          <w:marBottom w:val="0"/>
          <w:divBdr>
            <w:top w:val="none" w:sz="0" w:space="0" w:color="auto"/>
            <w:left w:val="none" w:sz="0" w:space="0" w:color="auto"/>
            <w:bottom w:val="none" w:sz="0" w:space="0" w:color="auto"/>
            <w:right w:val="none" w:sz="0" w:space="0" w:color="auto"/>
          </w:divBdr>
        </w:div>
        <w:div w:id="518011107">
          <w:marLeft w:val="0"/>
          <w:marRight w:val="0"/>
          <w:marTop w:val="0"/>
          <w:marBottom w:val="0"/>
          <w:divBdr>
            <w:top w:val="none" w:sz="0" w:space="0" w:color="auto"/>
            <w:left w:val="none" w:sz="0" w:space="0" w:color="auto"/>
            <w:bottom w:val="none" w:sz="0" w:space="0" w:color="auto"/>
            <w:right w:val="none" w:sz="0" w:space="0" w:color="auto"/>
          </w:divBdr>
        </w:div>
        <w:div w:id="950824938">
          <w:marLeft w:val="0"/>
          <w:marRight w:val="0"/>
          <w:marTop w:val="0"/>
          <w:marBottom w:val="0"/>
          <w:divBdr>
            <w:top w:val="none" w:sz="0" w:space="0" w:color="auto"/>
            <w:left w:val="none" w:sz="0" w:space="0" w:color="auto"/>
            <w:bottom w:val="none" w:sz="0" w:space="0" w:color="auto"/>
            <w:right w:val="none" w:sz="0" w:space="0" w:color="auto"/>
          </w:divBdr>
        </w:div>
        <w:div w:id="1011032981">
          <w:marLeft w:val="0"/>
          <w:marRight w:val="0"/>
          <w:marTop w:val="0"/>
          <w:marBottom w:val="0"/>
          <w:divBdr>
            <w:top w:val="none" w:sz="0" w:space="0" w:color="auto"/>
            <w:left w:val="none" w:sz="0" w:space="0" w:color="auto"/>
            <w:bottom w:val="none" w:sz="0" w:space="0" w:color="auto"/>
            <w:right w:val="none" w:sz="0" w:space="0" w:color="auto"/>
          </w:divBdr>
        </w:div>
        <w:div w:id="1279217701">
          <w:marLeft w:val="0"/>
          <w:marRight w:val="0"/>
          <w:marTop w:val="0"/>
          <w:marBottom w:val="0"/>
          <w:divBdr>
            <w:top w:val="none" w:sz="0" w:space="0" w:color="auto"/>
            <w:left w:val="none" w:sz="0" w:space="0" w:color="auto"/>
            <w:bottom w:val="none" w:sz="0" w:space="0" w:color="auto"/>
            <w:right w:val="none" w:sz="0" w:space="0" w:color="auto"/>
          </w:divBdr>
        </w:div>
        <w:div w:id="2090610366">
          <w:marLeft w:val="0"/>
          <w:marRight w:val="0"/>
          <w:marTop w:val="0"/>
          <w:marBottom w:val="0"/>
          <w:divBdr>
            <w:top w:val="none" w:sz="0" w:space="0" w:color="auto"/>
            <w:left w:val="none" w:sz="0" w:space="0" w:color="auto"/>
            <w:bottom w:val="none" w:sz="0" w:space="0" w:color="auto"/>
            <w:right w:val="none" w:sz="0" w:space="0" w:color="auto"/>
          </w:divBdr>
        </w:div>
      </w:divsChild>
    </w:div>
    <w:div w:id="2010448857">
      <w:bodyDiv w:val="1"/>
      <w:marLeft w:val="0"/>
      <w:marRight w:val="0"/>
      <w:marTop w:val="0"/>
      <w:marBottom w:val="0"/>
      <w:divBdr>
        <w:top w:val="none" w:sz="0" w:space="0" w:color="auto"/>
        <w:left w:val="none" w:sz="0" w:space="0" w:color="auto"/>
        <w:bottom w:val="none" w:sz="0" w:space="0" w:color="auto"/>
        <w:right w:val="none" w:sz="0" w:space="0" w:color="auto"/>
      </w:divBdr>
      <w:divsChild>
        <w:div w:id="153185373">
          <w:marLeft w:val="0"/>
          <w:marRight w:val="0"/>
          <w:marTop w:val="0"/>
          <w:marBottom w:val="0"/>
          <w:divBdr>
            <w:top w:val="none" w:sz="0" w:space="0" w:color="auto"/>
            <w:left w:val="none" w:sz="0" w:space="0" w:color="auto"/>
            <w:bottom w:val="none" w:sz="0" w:space="0" w:color="auto"/>
            <w:right w:val="none" w:sz="0" w:space="0" w:color="auto"/>
          </w:divBdr>
        </w:div>
        <w:div w:id="346251761">
          <w:marLeft w:val="0"/>
          <w:marRight w:val="0"/>
          <w:marTop w:val="0"/>
          <w:marBottom w:val="0"/>
          <w:divBdr>
            <w:top w:val="none" w:sz="0" w:space="0" w:color="auto"/>
            <w:left w:val="none" w:sz="0" w:space="0" w:color="auto"/>
            <w:bottom w:val="none" w:sz="0" w:space="0" w:color="auto"/>
            <w:right w:val="none" w:sz="0" w:space="0" w:color="auto"/>
          </w:divBdr>
        </w:div>
        <w:div w:id="814564302">
          <w:marLeft w:val="0"/>
          <w:marRight w:val="0"/>
          <w:marTop w:val="0"/>
          <w:marBottom w:val="0"/>
          <w:divBdr>
            <w:top w:val="none" w:sz="0" w:space="0" w:color="auto"/>
            <w:left w:val="none" w:sz="0" w:space="0" w:color="auto"/>
            <w:bottom w:val="none" w:sz="0" w:space="0" w:color="auto"/>
            <w:right w:val="none" w:sz="0" w:space="0" w:color="auto"/>
          </w:divBdr>
        </w:div>
        <w:div w:id="893586918">
          <w:marLeft w:val="0"/>
          <w:marRight w:val="0"/>
          <w:marTop w:val="0"/>
          <w:marBottom w:val="0"/>
          <w:divBdr>
            <w:top w:val="none" w:sz="0" w:space="0" w:color="auto"/>
            <w:left w:val="none" w:sz="0" w:space="0" w:color="auto"/>
            <w:bottom w:val="none" w:sz="0" w:space="0" w:color="auto"/>
            <w:right w:val="none" w:sz="0" w:space="0" w:color="auto"/>
          </w:divBdr>
        </w:div>
        <w:div w:id="1307248850">
          <w:marLeft w:val="0"/>
          <w:marRight w:val="0"/>
          <w:marTop w:val="0"/>
          <w:marBottom w:val="0"/>
          <w:divBdr>
            <w:top w:val="none" w:sz="0" w:space="0" w:color="auto"/>
            <w:left w:val="none" w:sz="0" w:space="0" w:color="auto"/>
            <w:bottom w:val="none" w:sz="0" w:space="0" w:color="auto"/>
            <w:right w:val="none" w:sz="0" w:space="0" w:color="auto"/>
          </w:divBdr>
        </w:div>
        <w:div w:id="1383360536">
          <w:marLeft w:val="0"/>
          <w:marRight w:val="0"/>
          <w:marTop w:val="0"/>
          <w:marBottom w:val="0"/>
          <w:divBdr>
            <w:top w:val="none" w:sz="0" w:space="0" w:color="auto"/>
            <w:left w:val="none" w:sz="0" w:space="0" w:color="auto"/>
            <w:bottom w:val="none" w:sz="0" w:space="0" w:color="auto"/>
            <w:right w:val="none" w:sz="0" w:space="0" w:color="auto"/>
          </w:divBdr>
        </w:div>
        <w:div w:id="1735855522">
          <w:marLeft w:val="0"/>
          <w:marRight w:val="0"/>
          <w:marTop w:val="0"/>
          <w:marBottom w:val="0"/>
          <w:divBdr>
            <w:top w:val="none" w:sz="0" w:space="0" w:color="auto"/>
            <w:left w:val="none" w:sz="0" w:space="0" w:color="auto"/>
            <w:bottom w:val="none" w:sz="0" w:space="0" w:color="auto"/>
            <w:right w:val="none" w:sz="0" w:space="0" w:color="auto"/>
          </w:divBdr>
        </w:div>
      </w:divsChild>
    </w:div>
    <w:div w:id="2027631249">
      <w:bodyDiv w:val="1"/>
      <w:marLeft w:val="0"/>
      <w:marRight w:val="0"/>
      <w:marTop w:val="0"/>
      <w:marBottom w:val="0"/>
      <w:divBdr>
        <w:top w:val="none" w:sz="0" w:space="0" w:color="auto"/>
        <w:left w:val="none" w:sz="0" w:space="0" w:color="auto"/>
        <w:bottom w:val="none" w:sz="0" w:space="0" w:color="auto"/>
        <w:right w:val="none" w:sz="0" w:space="0" w:color="auto"/>
      </w:divBdr>
      <w:divsChild>
        <w:div w:id="302345113">
          <w:marLeft w:val="0"/>
          <w:marRight w:val="0"/>
          <w:marTop w:val="0"/>
          <w:marBottom w:val="0"/>
          <w:divBdr>
            <w:top w:val="none" w:sz="0" w:space="0" w:color="auto"/>
            <w:left w:val="none" w:sz="0" w:space="0" w:color="auto"/>
            <w:bottom w:val="none" w:sz="0" w:space="0" w:color="auto"/>
            <w:right w:val="none" w:sz="0" w:space="0" w:color="auto"/>
          </w:divBdr>
        </w:div>
        <w:div w:id="599990357">
          <w:marLeft w:val="0"/>
          <w:marRight w:val="0"/>
          <w:marTop w:val="0"/>
          <w:marBottom w:val="0"/>
          <w:divBdr>
            <w:top w:val="none" w:sz="0" w:space="0" w:color="auto"/>
            <w:left w:val="none" w:sz="0" w:space="0" w:color="auto"/>
            <w:bottom w:val="none" w:sz="0" w:space="0" w:color="auto"/>
            <w:right w:val="none" w:sz="0" w:space="0" w:color="auto"/>
          </w:divBdr>
        </w:div>
        <w:div w:id="847255851">
          <w:marLeft w:val="0"/>
          <w:marRight w:val="0"/>
          <w:marTop w:val="0"/>
          <w:marBottom w:val="0"/>
          <w:divBdr>
            <w:top w:val="none" w:sz="0" w:space="0" w:color="auto"/>
            <w:left w:val="none" w:sz="0" w:space="0" w:color="auto"/>
            <w:bottom w:val="none" w:sz="0" w:space="0" w:color="auto"/>
            <w:right w:val="none" w:sz="0" w:space="0" w:color="auto"/>
          </w:divBdr>
        </w:div>
        <w:div w:id="956448075">
          <w:marLeft w:val="0"/>
          <w:marRight w:val="0"/>
          <w:marTop w:val="0"/>
          <w:marBottom w:val="0"/>
          <w:divBdr>
            <w:top w:val="none" w:sz="0" w:space="0" w:color="auto"/>
            <w:left w:val="none" w:sz="0" w:space="0" w:color="auto"/>
            <w:bottom w:val="none" w:sz="0" w:space="0" w:color="auto"/>
            <w:right w:val="none" w:sz="0" w:space="0" w:color="auto"/>
          </w:divBdr>
        </w:div>
        <w:div w:id="1845198631">
          <w:marLeft w:val="0"/>
          <w:marRight w:val="0"/>
          <w:marTop w:val="0"/>
          <w:marBottom w:val="0"/>
          <w:divBdr>
            <w:top w:val="none" w:sz="0" w:space="0" w:color="auto"/>
            <w:left w:val="none" w:sz="0" w:space="0" w:color="auto"/>
            <w:bottom w:val="none" w:sz="0" w:space="0" w:color="auto"/>
            <w:right w:val="none" w:sz="0" w:space="0" w:color="auto"/>
          </w:divBdr>
        </w:div>
      </w:divsChild>
    </w:div>
    <w:div w:id="2032490781">
      <w:bodyDiv w:val="1"/>
      <w:marLeft w:val="0"/>
      <w:marRight w:val="0"/>
      <w:marTop w:val="0"/>
      <w:marBottom w:val="0"/>
      <w:divBdr>
        <w:top w:val="none" w:sz="0" w:space="0" w:color="auto"/>
        <w:left w:val="none" w:sz="0" w:space="0" w:color="auto"/>
        <w:bottom w:val="none" w:sz="0" w:space="0" w:color="auto"/>
        <w:right w:val="none" w:sz="0" w:space="0" w:color="auto"/>
      </w:divBdr>
      <w:divsChild>
        <w:div w:id="87121563">
          <w:marLeft w:val="0"/>
          <w:marRight w:val="0"/>
          <w:marTop w:val="0"/>
          <w:marBottom w:val="0"/>
          <w:divBdr>
            <w:top w:val="none" w:sz="0" w:space="0" w:color="auto"/>
            <w:left w:val="none" w:sz="0" w:space="0" w:color="auto"/>
            <w:bottom w:val="none" w:sz="0" w:space="0" w:color="auto"/>
            <w:right w:val="none" w:sz="0" w:space="0" w:color="auto"/>
          </w:divBdr>
        </w:div>
        <w:div w:id="780612293">
          <w:marLeft w:val="0"/>
          <w:marRight w:val="0"/>
          <w:marTop w:val="0"/>
          <w:marBottom w:val="0"/>
          <w:divBdr>
            <w:top w:val="none" w:sz="0" w:space="0" w:color="auto"/>
            <w:left w:val="none" w:sz="0" w:space="0" w:color="auto"/>
            <w:bottom w:val="none" w:sz="0" w:space="0" w:color="auto"/>
            <w:right w:val="none" w:sz="0" w:space="0" w:color="auto"/>
          </w:divBdr>
        </w:div>
        <w:div w:id="953171613">
          <w:marLeft w:val="0"/>
          <w:marRight w:val="0"/>
          <w:marTop w:val="0"/>
          <w:marBottom w:val="0"/>
          <w:divBdr>
            <w:top w:val="none" w:sz="0" w:space="0" w:color="auto"/>
            <w:left w:val="none" w:sz="0" w:space="0" w:color="auto"/>
            <w:bottom w:val="none" w:sz="0" w:space="0" w:color="auto"/>
            <w:right w:val="none" w:sz="0" w:space="0" w:color="auto"/>
          </w:divBdr>
        </w:div>
        <w:div w:id="1277374033">
          <w:marLeft w:val="0"/>
          <w:marRight w:val="0"/>
          <w:marTop w:val="0"/>
          <w:marBottom w:val="0"/>
          <w:divBdr>
            <w:top w:val="none" w:sz="0" w:space="0" w:color="auto"/>
            <w:left w:val="none" w:sz="0" w:space="0" w:color="auto"/>
            <w:bottom w:val="none" w:sz="0" w:space="0" w:color="auto"/>
            <w:right w:val="none" w:sz="0" w:space="0" w:color="auto"/>
          </w:divBdr>
        </w:div>
        <w:div w:id="1507791175">
          <w:marLeft w:val="0"/>
          <w:marRight w:val="0"/>
          <w:marTop w:val="0"/>
          <w:marBottom w:val="0"/>
          <w:divBdr>
            <w:top w:val="none" w:sz="0" w:space="0" w:color="auto"/>
            <w:left w:val="none" w:sz="0" w:space="0" w:color="auto"/>
            <w:bottom w:val="none" w:sz="0" w:space="0" w:color="auto"/>
            <w:right w:val="none" w:sz="0" w:space="0" w:color="auto"/>
          </w:divBdr>
        </w:div>
        <w:div w:id="1535456628">
          <w:marLeft w:val="0"/>
          <w:marRight w:val="0"/>
          <w:marTop w:val="0"/>
          <w:marBottom w:val="0"/>
          <w:divBdr>
            <w:top w:val="none" w:sz="0" w:space="0" w:color="auto"/>
            <w:left w:val="none" w:sz="0" w:space="0" w:color="auto"/>
            <w:bottom w:val="none" w:sz="0" w:space="0" w:color="auto"/>
            <w:right w:val="none" w:sz="0" w:space="0" w:color="auto"/>
          </w:divBdr>
        </w:div>
        <w:div w:id="1536430695">
          <w:marLeft w:val="0"/>
          <w:marRight w:val="0"/>
          <w:marTop w:val="0"/>
          <w:marBottom w:val="0"/>
          <w:divBdr>
            <w:top w:val="none" w:sz="0" w:space="0" w:color="auto"/>
            <w:left w:val="none" w:sz="0" w:space="0" w:color="auto"/>
            <w:bottom w:val="none" w:sz="0" w:space="0" w:color="auto"/>
            <w:right w:val="none" w:sz="0" w:space="0" w:color="auto"/>
          </w:divBdr>
        </w:div>
        <w:div w:id="1628926578">
          <w:marLeft w:val="0"/>
          <w:marRight w:val="0"/>
          <w:marTop w:val="0"/>
          <w:marBottom w:val="0"/>
          <w:divBdr>
            <w:top w:val="none" w:sz="0" w:space="0" w:color="auto"/>
            <w:left w:val="none" w:sz="0" w:space="0" w:color="auto"/>
            <w:bottom w:val="none" w:sz="0" w:space="0" w:color="auto"/>
            <w:right w:val="none" w:sz="0" w:space="0" w:color="auto"/>
          </w:divBdr>
        </w:div>
        <w:div w:id="1635672561">
          <w:marLeft w:val="0"/>
          <w:marRight w:val="0"/>
          <w:marTop w:val="0"/>
          <w:marBottom w:val="0"/>
          <w:divBdr>
            <w:top w:val="none" w:sz="0" w:space="0" w:color="auto"/>
            <w:left w:val="none" w:sz="0" w:space="0" w:color="auto"/>
            <w:bottom w:val="none" w:sz="0" w:space="0" w:color="auto"/>
            <w:right w:val="none" w:sz="0" w:space="0" w:color="auto"/>
          </w:divBdr>
        </w:div>
        <w:div w:id="1925990477">
          <w:marLeft w:val="0"/>
          <w:marRight w:val="0"/>
          <w:marTop w:val="0"/>
          <w:marBottom w:val="0"/>
          <w:divBdr>
            <w:top w:val="none" w:sz="0" w:space="0" w:color="auto"/>
            <w:left w:val="none" w:sz="0" w:space="0" w:color="auto"/>
            <w:bottom w:val="none" w:sz="0" w:space="0" w:color="auto"/>
            <w:right w:val="none" w:sz="0" w:space="0" w:color="auto"/>
          </w:divBdr>
        </w:div>
        <w:div w:id="2044398902">
          <w:marLeft w:val="0"/>
          <w:marRight w:val="0"/>
          <w:marTop w:val="0"/>
          <w:marBottom w:val="0"/>
          <w:divBdr>
            <w:top w:val="none" w:sz="0" w:space="0" w:color="auto"/>
            <w:left w:val="none" w:sz="0" w:space="0" w:color="auto"/>
            <w:bottom w:val="none" w:sz="0" w:space="0" w:color="auto"/>
            <w:right w:val="none" w:sz="0" w:space="0" w:color="auto"/>
          </w:divBdr>
        </w:div>
      </w:divsChild>
    </w:div>
    <w:div w:id="2032607738">
      <w:bodyDiv w:val="1"/>
      <w:marLeft w:val="0"/>
      <w:marRight w:val="0"/>
      <w:marTop w:val="0"/>
      <w:marBottom w:val="0"/>
      <w:divBdr>
        <w:top w:val="none" w:sz="0" w:space="0" w:color="auto"/>
        <w:left w:val="none" w:sz="0" w:space="0" w:color="auto"/>
        <w:bottom w:val="none" w:sz="0" w:space="0" w:color="auto"/>
        <w:right w:val="none" w:sz="0" w:space="0" w:color="auto"/>
      </w:divBdr>
      <w:divsChild>
        <w:div w:id="592399984">
          <w:marLeft w:val="0"/>
          <w:marRight w:val="0"/>
          <w:marTop w:val="0"/>
          <w:marBottom w:val="0"/>
          <w:divBdr>
            <w:top w:val="none" w:sz="0" w:space="0" w:color="auto"/>
            <w:left w:val="none" w:sz="0" w:space="0" w:color="auto"/>
            <w:bottom w:val="none" w:sz="0" w:space="0" w:color="auto"/>
            <w:right w:val="none" w:sz="0" w:space="0" w:color="auto"/>
          </w:divBdr>
        </w:div>
        <w:div w:id="1299264273">
          <w:marLeft w:val="0"/>
          <w:marRight w:val="0"/>
          <w:marTop w:val="0"/>
          <w:marBottom w:val="0"/>
          <w:divBdr>
            <w:top w:val="none" w:sz="0" w:space="0" w:color="auto"/>
            <w:left w:val="none" w:sz="0" w:space="0" w:color="auto"/>
            <w:bottom w:val="none" w:sz="0" w:space="0" w:color="auto"/>
            <w:right w:val="none" w:sz="0" w:space="0" w:color="auto"/>
          </w:divBdr>
        </w:div>
        <w:div w:id="1338119192">
          <w:marLeft w:val="0"/>
          <w:marRight w:val="0"/>
          <w:marTop w:val="0"/>
          <w:marBottom w:val="0"/>
          <w:divBdr>
            <w:top w:val="none" w:sz="0" w:space="0" w:color="auto"/>
            <w:left w:val="none" w:sz="0" w:space="0" w:color="auto"/>
            <w:bottom w:val="none" w:sz="0" w:space="0" w:color="auto"/>
            <w:right w:val="none" w:sz="0" w:space="0" w:color="auto"/>
          </w:divBdr>
        </w:div>
        <w:div w:id="2022512154">
          <w:marLeft w:val="0"/>
          <w:marRight w:val="0"/>
          <w:marTop w:val="0"/>
          <w:marBottom w:val="0"/>
          <w:divBdr>
            <w:top w:val="none" w:sz="0" w:space="0" w:color="auto"/>
            <w:left w:val="none" w:sz="0" w:space="0" w:color="auto"/>
            <w:bottom w:val="none" w:sz="0" w:space="0" w:color="auto"/>
            <w:right w:val="none" w:sz="0" w:space="0" w:color="auto"/>
          </w:divBdr>
        </w:div>
        <w:div w:id="2078357754">
          <w:marLeft w:val="0"/>
          <w:marRight w:val="0"/>
          <w:marTop w:val="0"/>
          <w:marBottom w:val="0"/>
          <w:divBdr>
            <w:top w:val="none" w:sz="0" w:space="0" w:color="auto"/>
            <w:left w:val="none" w:sz="0" w:space="0" w:color="auto"/>
            <w:bottom w:val="none" w:sz="0" w:space="0" w:color="auto"/>
            <w:right w:val="none" w:sz="0" w:space="0" w:color="auto"/>
          </w:divBdr>
        </w:div>
      </w:divsChild>
    </w:div>
    <w:div w:id="2046639642">
      <w:bodyDiv w:val="1"/>
      <w:marLeft w:val="0"/>
      <w:marRight w:val="0"/>
      <w:marTop w:val="0"/>
      <w:marBottom w:val="0"/>
      <w:divBdr>
        <w:top w:val="none" w:sz="0" w:space="0" w:color="auto"/>
        <w:left w:val="none" w:sz="0" w:space="0" w:color="auto"/>
        <w:bottom w:val="none" w:sz="0" w:space="0" w:color="auto"/>
        <w:right w:val="none" w:sz="0" w:space="0" w:color="auto"/>
      </w:divBdr>
      <w:divsChild>
        <w:div w:id="684525917">
          <w:marLeft w:val="0"/>
          <w:marRight w:val="0"/>
          <w:marTop w:val="0"/>
          <w:marBottom w:val="0"/>
          <w:divBdr>
            <w:top w:val="none" w:sz="0" w:space="0" w:color="auto"/>
            <w:left w:val="none" w:sz="0" w:space="0" w:color="auto"/>
            <w:bottom w:val="none" w:sz="0" w:space="0" w:color="auto"/>
            <w:right w:val="none" w:sz="0" w:space="0" w:color="auto"/>
          </w:divBdr>
        </w:div>
        <w:div w:id="1208954389">
          <w:marLeft w:val="0"/>
          <w:marRight w:val="0"/>
          <w:marTop w:val="0"/>
          <w:marBottom w:val="0"/>
          <w:divBdr>
            <w:top w:val="none" w:sz="0" w:space="0" w:color="auto"/>
            <w:left w:val="none" w:sz="0" w:space="0" w:color="auto"/>
            <w:bottom w:val="none" w:sz="0" w:space="0" w:color="auto"/>
            <w:right w:val="none" w:sz="0" w:space="0" w:color="auto"/>
          </w:divBdr>
        </w:div>
        <w:div w:id="1309900584">
          <w:marLeft w:val="0"/>
          <w:marRight w:val="0"/>
          <w:marTop w:val="0"/>
          <w:marBottom w:val="0"/>
          <w:divBdr>
            <w:top w:val="none" w:sz="0" w:space="0" w:color="auto"/>
            <w:left w:val="none" w:sz="0" w:space="0" w:color="auto"/>
            <w:bottom w:val="none" w:sz="0" w:space="0" w:color="auto"/>
            <w:right w:val="none" w:sz="0" w:space="0" w:color="auto"/>
          </w:divBdr>
        </w:div>
        <w:div w:id="1349789340">
          <w:marLeft w:val="0"/>
          <w:marRight w:val="0"/>
          <w:marTop w:val="0"/>
          <w:marBottom w:val="0"/>
          <w:divBdr>
            <w:top w:val="none" w:sz="0" w:space="0" w:color="auto"/>
            <w:left w:val="none" w:sz="0" w:space="0" w:color="auto"/>
            <w:bottom w:val="none" w:sz="0" w:space="0" w:color="auto"/>
            <w:right w:val="none" w:sz="0" w:space="0" w:color="auto"/>
          </w:divBdr>
        </w:div>
        <w:div w:id="2023899310">
          <w:marLeft w:val="0"/>
          <w:marRight w:val="0"/>
          <w:marTop w:val="0"/>
          <w:marBottom w:val="0"/>
          <w:divBdr>
            <w:top w:val="none" w:sz="0" w:space="0" w:color="auto"/>
            <w:left w:val="none" w:sz="0" w:space="0" w:color="auto"/>
            <w:bottom w:val="none" w:sz="0" w:space="0" w:color="auto"/>
            <w:right w:val="none" w:sz="0" w:space="0" w:color="auto"/>
          </w:divBdr>
        </w:div>
      </w:divsChild>
    </w:div>
    <w:div w:id="2066681005">
      <w:bodyDiv w:val="1"/>
      <w:marLeft w:val="0"/>
      <w:marRight w:val="0"/>
      <w:marTop w:val="0"/>
      <w:marBottom w:val="0"/>
      <w:divBdr>
        <w:top w:val="none" w:sz="0" w:space="0" w:color="auto"/>
        <w:left w:val="none" w:sz="0" w:space="0" w:color="auto"/>
        <w:bottom w:val="none" w:sz="0" w:space="0" w:color="auto"/>
        <w:right w:val="none" w:sz="0" w:space="0" w:color="auto"/>
      </w:divBdr>
      <w:divsChild>
        <w:div w:id="353111834">
          <w:marLeft w:val="0"/>
          <w:marRight w:val="0"/>
          <w:marTop w:val="0"/>
          <w:marBottom w:val="0"/>
          <w:divBdr>
            <w:top w:val="none" w:sz="0" w:space="0" w:color="auto"/>
            <w:left w:val="none" w:sz="0" w:space="0" w:color="auto"/>
            <w:bottom w:val="none" w:sz="0" w:space="0" w:color="auto"/>
            <w:right w:val="none" w:sz="0" w:space="0" w:color="auto"/>
          </w:divBdr>
        </w:div>
        <w:div w:id="684669047">
          <w:marLeft w:val="0"/>
          <w:marRight w:val="0"/>
          <w:marTop w:val="0"/>
          <w:marBottom w:val="0"/>
          <w:divBdr>
            <w:top w:val="none" w:sz="0" w:space="0" w:color="auto"/>
            <w:left w:val="none" w:sz="0" w:space="0" w:color="auto"/>
            <w:bottom w:val="none" w:sz="0" w:space="0" w:color="auto"/>
            <w:right w:val="none" w:sz="0" w:space="0" w:color="auto"/>
          </w:divBdr>
        </w:div>
        <w:div w:id="834615240">
          <w:marLeft w:val="0"/>
          <w:marRight w:val="0"/>
          <w:marTop w:val="0"/>
          <w:marBottom w:val="0"/>
          <w:divBdr>
            <w:top w:val="none" w:sz="0" w:space="0" w:color="auto"/>
            <w:left w:val="none" w:sz="0" w:space="0" w:color="auto"/>
            <w:bottom w:val="none" w:sz="0" w:space="0" w:color="auto"/>
            <w:right w:val="none" w:sz="0" w:space="0" w:color="auto"/>
          </w:divBdr>
        </w:div>
        <w:div w:id="887108816">
          <w:marLeft w:val="0"/>
          <w:marRight w:val="0"/>
          <w:marTop w:val="0"/>
          <w:marBottom w:val="0"/>
          <w:divBdr>
            <w:top w:val="none" w:sz="0" w:space="0" w:color="auto"/>
            <w:left w:val="none" w:sz="0" w:space="0" w:color="auto"/>
            <w:bottom w:val="none" w:sz="0" w:space="0" w:color="auto"/>
            <w:right w:val="none" w:sz="0" w:space="0" w:color="auto"/>
          </w:divBdr>
        </w:div>
        <w:div w:id="1001084803">
          <w:marLeft w:val="0"/>
          <w:marRight w:val="0"/>
          <w:marTop w:val="0"/>
          <w:marBottom w:val="0"/>
          <w:divBdr>
            <w:top w:val="none" w:sz="0" w:space="0" w:color="auto"/>
            <w:left w:val="none" w:sz="0" w:space="0" w:color="auto"/>
            <w:bottom w:val="none" w:sz="0" w:space="0" w:color="auto"/>
            <w:right w:val="none" w:sz="0" w:space="0" w:color="auto"/>
          </w:divBdr>
        </w:div>
        <w:div w:id="1054278544">
          <w:marLeft w:val="0"/>
          <w:marRight w:val="0"/>
          <w:marTop w:val="0"/>
          <w:marBottom w:val="0"/>
          <w:divBdr>
            <w:top w:val="none" w:sz="0" w:space="0" w:color="auto"/>
            <w:left w:val="none" w:sz="0" w:space="0" w:color="auto"/>
            <w:bottom w:val="none" w:sz="0" w:space="0" w:color="auto"/>
            <w:right w:val="none" w:sz="0" w:space="0" w:color="auto"/>
          </w:divBdr>
        </w:div>
        <w:div w:id="1079526428">
          <w:marLeft w:val="0"/>
          <w:marRight w:val="0"/>
          <w:marTop w:val="0"/>
          <w:marBottom w:val="0"/>
          <w:divBdr>
            <w:top w:val="none" w:sz="0" w:space="0" w:color="auto"/>
            <w:left w:val="none" w:sz="0" w:space="0" w:color="auto"/>
            <w:bottom w:val="none" w:sz="0" w:space="0" w:color="auto"/>
            <w:right w:val="none" w:sz="0" w:space="0" w:color="auto"/>
          </w:divBdr>
        </w:div>
        <w:div w:id="1496602942">
          <w:marLeft w:val="0"/>
          <w:marRight w:val="0"/>
          <w:marTop w:val="0"/>
          <w:marBottom w:val="0"/>
          <w:divBdr>
            <w:top w:val="none" w:sz="0" w:space="0" w:color="auto"/>
            <w:left w:val="none" w:sz="0" w:space="0" w:color="auto"/>
            <w:bottom w:val="none" w:sz="0" w:space="0" w:color="auto"/>
            <w:right w:val="none" w:sz="0" w:space="0" w:color="auto"/>
          </w:divBdr>
        </w:div>
        <w:div w:id="1863981249">
          <w:marLeft w:val="0"/>
          <w:marRight w:val="0"/>
          <w:marTop w:val="0"/>
          <w:marBottom w:val="0"/>
          <w:divBdr>
            <w:top w:val="none" w:sz="0" w:space="0" w:color="auto"/>
            <w:left w:val="none" w:sz="0" w:space="0" w:color="auto"/>
            <w:bottom w:val="none" w:sz="0" w:space="0" w:color="auto"/>
            <w:right w:val="none" w:sz="0" w:space="0" w:color="auto"/>
          </w:divBdr>
        </w:div>
      </w:divsChild>
    </w:div>
    <w:div w:id="2066828682">
      <w:bodyDiv w:val="1"/>
      <w:marLeft w:val="0"/>
      <w:marRight w:val="0"/>
      <w:marTop w:val="0"/>
      <w:marBottom w:val="0"/>
      <w:divBdr>
        <w:top w:val="none" w:sz="0" w:space="0" w:color="auto"/>
        <w:left w:val="none" w:sz="0" w:space="0" w:color="auto"/>
        <w:bottom w:val="none" w:sz="0" w:space="0" w:color="auto"/>
        <w:right w:val="none" w:sz="0" w:space="0" w:color="auto"/>
      </w:divBdr>
      <w:divsChild>
        <w:div w:id="187718908">
          <w:marLeft w:val="0"/>
          <w:marRight w:val="0"/>
          <w:marTop w:val="0"/>
          <w:marBottom w:val="0"/>
          <w:divBdr>
            <w:top w:val="none" w:sz="0" w:space="0" w:color="auto"/>
            <w:left w:val="none" w:sz="0" w:space="0" w:color="auto"/>
            <w:bottom w:val="none" w:sz="0" w:space="0" w:color="auto"/>
            <w:right w:val="none" w:sz="0" w:space="0" w:color="auto"/>
          </w:divBdr>
        </w:div>
        <w:div w:id="741222625">
          <w:marLeft w:val="0"/>
          <w:marRight w:val="0"/>
          <w:marTop w:val="0"/>
          <w:marBottom w:val="0"/>
          <w:divBdr>
            <w:top w:val="none" w:sz="0" w:space="0" w:color="auto"/>
            <w:left w:val="none" w:sz="0" w:space="0" w:color="auto"/>
            <w:bottom w:val="none" w:sz="0" w:space="0" w:color="auto"/>
            <w:right w:val="none" w:sz="0" w:space="0" w:color="auto"/>
          </w:divBdr>
        </w:div>
        <w:div w:id="754940144">
          <w:marLeft w:val="0"/>
          <w:marRight w:val="0"/>
          <w:marTop w:val="0"/>
          <w:marBottom w:val="0"/>
          <w:divBdr>
            <w:top w:val="none" w:sz="0" w:space="0" w:color="auto"/>
            <w:left w:val="none" w:sz="0" w:space="0" w:color="auto"/>
            <w:bottom w:val="none" w:sz="0" w:space="0" w:color="auto"/>
            <w:right w:val="none" w:sz="0" w:space="0" w:color="auto"/>
          </w:divBdr>
        </w:div>
        <w:div w:id="1045712621">
          <w:marLeft w:val="0"/>
          <w:marRight w:val="0"/>
          <w:marTop w:val="0"/>
          <w:marBottom w:val="0"/>
          <w:divBdr>
            <w:top w:val="none" w:sz="0" w:space="0" w:color="auto"/>
            <w:left w:val="none" w:sz="0" w:space="0" w:color="auto"/>
            <w:bottom w:val="none" w:sz="0" w:space="0" w:color="auto"/>
            <w:right w:val="none" w:sz="0" w:space="0" w:color="auto"/>
          </w:divBdr>
        </w:div>
        <w:div w:id="1212616393">
          <w:marLeft w:val="0"/>
          <w:marRight w:val="0"/>
          <w:marTop w:val="0"/>
          <w:marBottom w:val="0"/>
          <w:divBdr>
            <w:top w:val="none" w:sz="0" w:space="0" w:color="auto"/>
            <w:left w:val="none" w:sz="0" w:space="0" w:color="auto"/>
            <w:bottom w:val="none" w:sz="0" w:space="0" w:color="auto"/>
            <w:right w:val="none" w:sz="0" w:space="0" w:color="auto"/>
          </w:divBdr>
        </w:div>
        <w:div w:id="1547402560">
          <w:marLeft w:val="0"/>
          <w:marRight w:val="0"/>
          <w:marTop w:val="0"/>
          <w:marBottom w:val="0"/>
          <w:divBdr>
            <w:top w:val="none" w:sz="0" w:space="0" w:color="auto"/>
            <w:left w:val="none" w:sz="0" w:space="0" w:color="auto"/>
            <w:bottom w:val="none" w:sz="0" w:space="0" w:color="auto"/>
            <w:right w:val="none" w:sz="0" w:space="0" w:color="auto"/>
          </w:divBdr>
        </w:div>
        <w:div w:id="1612006326">
          <w:marLeft w:val="0"/>
          <w:marRight w:val="0"/>
          <w:marTop w:val="0"/>
          <w:marBottom w:val="0"/>
          <w:divBdr>
            <w:top w:val="none" w:sz="0" w:space="0" w:color="auto"/>
            <w:left w:val="none" w:sz="0" w:space="0" w:color="auto"/>
            <w:bottom w:val="none" w:sz="0" w:space="0" w:color="auto"/>
            <w:right w:val="none" w:sz="0" w:space="0" w:color="auto"/>
          </w:divBdr>
        </w:div>
      </w:divsChild>
    </w:div>
    <w:div w:id="2083091857">
      <w:bodyDiv w:val="1"/>
      <w:marLeft w:val="0"/>
      <w:marRight w:val="0"/>
      <w:marTop w:val="0"/>
      <w:marBottom w:val="0"/>
      <w:divBdr>
        <w:top w:val="none" w:sz="0" w:space="0" w:color="auto"/>
        <w:left w:val="none" w:sz="0" w:space="0" w:color="auto"/>
        <w:bottom w:val="none" w:sz="0" w:space="0" w:color="auto"/>
        <w:right w:val="none" w:sz="0" w:space="0" w:color="auto"/>
      </w:divBdr>
    </w:div>
    <w:div w:id="2107145594">
      <w:bodyDiv w:val="1"/>
      <w:marLeft w:val="0"/>
      <w:marRight w:val="0"/>
      <w:marTop w:val="0"/>
      <w:marBottom w:val="0"/>
      <w:divBdr>
        <w:top w:val="none" w:sz="0" w:space="0" w:color="auto"/>
        <w:left w:val="none" w:sz="0" w:space="0" w:color="auto"/>
        <w:bottom w:val="none" w:sz="0" w:space="0" w:color="auto"/>
        <w:right w:val="none" w:sz="0" w:space="0" w:color="auto"/>
      </w:divBdr>
      <w:divsChild>
        <w:div w:id="737214877">
          <w:marLeft w:val="0"/>
          <w:marRight w:val="0"/>
          <w:marTop w:val="0"/>
          <w:marBottom w:val="0"/>
          <w:divBdr>
            <w:top w:val="none" w:sz="0" w:space="0" w:color="auto"/>
            <w:left w:val="none" w:sz="0" w:space="0" w:color="auto"/>
            <w:bottom w:val="none" w:sz="0" w:space="0" w:color="auto"/>
            <w:right w:val="none" w:sz="0" w:space="0" w:color="auto"/>
          </w:divBdr>
        </w:div>
        <w:div w:id="1511407470">
          <w:marLeft w:val="0"/>
          <w:marRight w:val="0"/>
          <w:marTop w:val="0"/>
          <w:marBottom w:val="0"/>
          <w:divBdr>
            <w:top w:val="none" w:sz="0" w:space="0" w:color="auto"/>
            <w:left w:val="none" w:sz="0" w:space="0" w:color="auto"/>
            <w:bottom w:val="none" w:sz="0" w:space="0" w:color="auto"/>
            <w:right w:val="none" w:sz="0" w:space="0" w:color="auto"/>
          </w:divBdr>
        </w:div>
        <w:div w:id="2030833856">
          <w:marLeft w:val="0"/>
          <w:marRight w:val="0"/>
          <w:marTop w:val="0"/>
          <w:marBottom w:val="0"/>
          <w:divBdr>
            <w:top w:val="none" w:sz="0" w:space="0" w:color="auto"/>
            <w:left w:val="none" w:sz="0" w:space="0" w:color="auto"/>
            <w:bottom w:val="none" w:sz="0" w:space="0" w:color="auto"/>
            <w:right w:val="none" w:sz="0" w:space="0" w:color="auto"/>
          </w:divBdr>
        </w:div>
        <w:div w:id="2042586388">
          <w:marLeft w:val="0"/>
          <w:marRight w:val="0"/>
          <w:marTop w:val="0"/>
          <w:marBottom w:val="0"/>
          <w:divBdr>
            <w:top w:val="none" w:sz="0" w:space="0" w:color="auto"/>
            <w:left w:val="none" w:sz="0" w:space="0" w:color="auto"/>
            <w:bottom w:val="none" w:sz="0" w:space="0" w:color="auto"/>
            <w:right w:val="none" w:sz="0" w:space="0" w:color="auto"/>
          </w:divBdr>
        </w:div>
        <w:div w:id="2141880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ca.ga.gov/safe-affordable-housing/rental-housing-development/housing-tax-credit-program-lihtc/qualified-0/2022" TargetMode="External"/><Relationship Id="rId21" Type="http://schemas.openxmlformats.org/officeDocument/2006/relationships/hyperlink" Target="mailto:Felecia.Speakman@dca.ga.gov" TargetMode="External"/><Relationship Id="rId34" Type="http://schemas.openxmlformats.org/officeDocument/2006/relationships/hyperlink" Target="https://www.dca.ga.gov/safe-affordable-housing/rental-housing-development/housing-tax-credit-program-lihtc/qualified-0-0" TargetMode="External"/><Relationship Id="rId42" Type="http://schemas.openxmlformats.org/officeDocument/2006/relationships/hyperlink" Target="https://www.dca.ga.gov/safe-affordable-housing/rental-housing-development/housing-tax-credit-program-lihtc/qualified-0-0" TargetMode="External"/><Relationship Id="rId47" Type="http://schemas.openxmlformats.org/officeDocument/2006/relationships/image" Target="media/image4.png"/><Relationship Id="rId50" Type="http://schemas.openxmlformats.org/officeDocument/2006/relationships/hyperlink" Target="https://www.dca.ga.gov/safe-affordable-housing/rental-housing-development/housing-tax-credit-program-lihtc/qualified-0-0" TargetMode="External"/><Relationship Id="rId55" Type="http://schemas.openxmlformats.org/officeDocument/2006/relationships/hyperlink" Target="https://www.dca.ga.gov/safe-affordable-housing/rental-housing-development/housing-tax-credit-program-lihtc/qualified-0-0" TargetMode="External"/><Relationship Id="rId63" Type="http://schemas.openxmlformats.org/officeDocument/2006/relationships/hyperlink" Target="https://www.dca.ga.gov/node/7818"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dca.ga.gov/node/8085" TargetMode="External"/><Relationship Id="rId29" Type="http://schemas.openxmlformats.org/officeDocument/2006/relationships/hyperlink" Target="https://www.dca.ga.gov/safe-affordable-housing/rental-housing-development/housing-tax-credit-program-lihtc/qualified-0-0" TargetMode="External"/><Relationship Id="rId11" Type="http://schemas.openxmlformats.org/officeDocument/2006/relationships/image" Target="media/image1.emf"/><Relationship Id="rId24" Type="http://schemas.openxmlformats.org/officeDocument/2006/relationships/hyperlink" Target="https://www.gadoe.org/CCRPI/Pages/default.aspx" TargetMode="External"/><Relationship Id="rId32" Type="http://schemas.openxmlformats.org/officeDocument/2006/relationships/hyperlink" Target="https://www.dca.ga.gov/node/7815" TargetMode="External"/><Relationship Id="rId37" Type="http://schemas.openxmlformats.org/officeDocument/2006/relationships/hyperlink" Target="https://dcaqap.formstack.com/forms/2022_taxcredit_questions" TargetMode="External"/><Relationship Id="rId40" Type="http://schemas.openxmlformats.org/officeDocument/2006/relationships/hyperlink" Target="https://www.dca.ga.gov/node/7805" TargetMode="External"/><Relationship Id="rId45" Type="http://schemas.openxmlformats.org/officeDocument/2006/relationships/hyperlink" Target="https://georgia-dca.maps.arcgis.com/apps/View/index.html?appid=f40de6a6f3ca455988ccb28f25c8a80e" TargetMode="External"/><Relationship Id="rId53" Type="http://schemas.openxmlformats.org/officeDocument/2006/relationships/hyperlink" Target="https://www.gadoe.org/CCRPI/Pages/default.aspx" TargetMode="External"/><Relationship Id="rId58" Type="http://schemas.openxmlformats.org/officeDocument/2006/relationships/hyperlink" Target="https://www.dca.ga.gov/node/7804" TargetMode="External"/><Relationship Id="rId66"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hyperlink" Target="https://www.dca.ga.gov/safe-affordable-housing/rental-housing-development/housing-tax-credit-program-lihtc/application" TargetMode="External"/><Relationship Id="rId19" Type="http://schemas.openxmlformats.org/officeDocument/2006/relationships/image" Target="media/image2.png"/><Relationship Id="rId14" Type="http://schemas.openxmlformats.org/officeDocument/2006/relationships/hyperlink" Target="mailto:hfdround@dca.ga.gov" TargetMode="External"/><Relationship Id="rId22" Type="http://schemas.openxmlformats.org/officeDocument/2006/relationships/hyperlink" Target="mailto:Sanjana.Zahin@dca.ga.gov" TargetMode="External"/><Relationship Id="rId27" Type="http://schemas.openxmlformats.org/officeDocument/2006/relationships/hyperlink" Target="https://www.dca.ga.gov/node/7805" TargetMode="External"/><Relationship Id="rId30" Type="http://schemas.openxmlformats.org/officeDocument/2006/relationships/hyperlink" Target="https://www.dca.ga.gov/safe-affordable-housing/rental-housing-development/housing-tax-credit-program-lihtc/qualified-0/2022" TargetMode="External"/><Relationship Id="rId35" Type="http://schemas.openxmlformats.org/officeDocument/2006/relationships/hyperlink" Target="https://www.dca.ga.gov/safe-affordable-housing/rental-housing-development/compliance-monitoring/utility-allowances" TargetMode="External"/><Relationship Id="rId43" Type="http://schemas.openxmlformats.org/officeDocument/2006/relationships/hyperlink" Target="https://www.dca.ga.gov/safe-affordable-housing/rental-housing-development/housing-tax-credit-program-lihtc/qualified-0-0" TargetMode="External"/><Relationship Id="rId48" Type="http://schemas.openxmlformats.org/officeDocument/2006/relationships/image" Target="media/image5.png"/><Relationship Id="rId56" Type="http://schemas.openxmlformats.org/officeDocument/2006/relationships/hyperlink" Target="https://www.dca.ga.gov/safe-affordable-housing/rental-housing-development/housing-tax-credit-program-lihtc/qualified-0-1"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dca.ga.gov/safe-affordable-housing/rental-housing-development/housing-tax-credit-program-lihtc/qualified-0-0" TargetMode="External"/><Relationship Id="rId3" Type="http://schemas.openxmlformats.org/officeDocument/2006/relationships/customXml" Target="../customXml/item3.xml"/><Relationship Id="rId12" Type="http://schemas.openxmlformats.org/officeDocument/2006/relationships/hyperlink" Target="https://www.dca.ga.gov/safe-affordable-housing/rental-housing-development/housing-tax-credit-program-lihtc/qualified-0/2022" TargetMode="External"/><Relationship Id="rId17" Type="http://schemas.openxmlformats.org/officeDocument/2006/relationships/hyperlink" Target="https://www.dca.ga.gov/sites/default/files/dca_income_averaging_policy_revised_2.3.21_0.pdf" TargetMode="External"/><Relationship Id="rId25" Type="http://schemas.openxmlformats.org/officeDocument/2006/relationships/hyperlink" Target="https://www.dca.ga.gov/safe-affordable-housing/rental-housing-development/housing-tax-credit-program-lihtc/qualified-0-0" TargetMode="External"/><Relationship Id="rId33" Type="http://schemas.openxmlformats.org/officeDocument/2006/relationships/hyperlink" Target="http://dcaqap.formstack.com/forms/yearround_qap_survey" TargetMode="External"/><Relationship Id="rId38" Type="http://schemas.openxmlformats.org/officeDocument/2006/relationships/hyperlink" Target="https://www.dca.ga.gov/safe-affordable-housing/rental-housing-development/housing-tax-credit-program-lihtc/qualified-0-0" TargetMode="External"/><Relationship Id="rId46" Type="http://schemas.openxmlformats.org/officeDocument/2006/relationships/image" Target="media/image3.png"/><Relationship Id="rId59" Type="http://schemas.openxmlformats.org/officeDocument/2006/relationships/hyperlink" Target="https://www.dca.ga.gov/node/7804" TargetMode="External"/><Relationship Id="rId67" Type="http://schemas.openxmlformats.org/officeDocument/2006/relationships/fontTable" Target="fontTable.xml"/><Relationship Id="rId20" Type="http://schemas.openxmlformats.org/officeDocument/2006/relationships/hyperlink" Target="http://ccrpi.gadoe.org/Reports/Views/Shared/_Layout.html" TargetMode="External"/><Relationship Id="rId41" Type="http://schemas.openxmlformats.org/officeDocument/2006/relationships/hyperlink" Target="https://www.dca.ga.gov/safe-affordable-housing/rental-housing-development/housing-tax-credit-program-lihtc/application" TargetMode="External"/><Relationship Id="rId54" Type="http://schemas.openxmlformats.org/officeDocument/2006/relationships/hyperlink" Target="https://www.gadoe.org/CCRPI/Pages/-Archived-CCRPI-Data-Files.aspx?" TargetMode="External"/><Relationship Id="rId62" Type="http://schemas.openxmlformats.org/officeDocument/2006/relationships/hyperlink" Target="https://www.dca.ga.gov/node/781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dca.ga.gov/node/7817" TargetMode="External"/><Relationship Id="rId23" Type="http://schemas.openxmlformats.org/officeDocument/2006/relationships/hyperlink" Target="https://www.dca.ga.gov/node/8085" TargetMode="External"/><Relationship Id="rId28" Type="http://schemas.openxmlformats.org/officeDocument/2006/relationships/hyperlink" Target="https://www.dca.ga.gov/node/7817" TargetMode="External"/><Relationship Id="rId36" Type="http://schemas.openxmlformats.org/officeDocument/2006/relationships/hyperlink" Target="https://consumer.georgia.gov/consumer-topics/health-care-professionals" TargetMode="External"/><Relationship Id="rId49" Type="http://schemas.openxmlformats.org/officeDocument/2006/relationships/hyperlink" Target="https://www.youtube.com/watch?v=VozXGGf8Ueg&amp;t=503s" TargetMode="External"/><Relationship Id="rId57" Type="http://schemas.openxmlformats.org/officeDocument/2006/relationships/hyperlink" Target="https://www.dca.ga.gov/safe-affordable-housing/rental-housing-development/compliance-monitoring" TargetMode="External"/><Relationship Id="rId10" Type="http://schemas.openxmlformats.org/officeDocument/2006/relationships/endnotes" Target="endnotes.xml"/><Relationship Id="rId31" Type="http://schemas.openxmlformats.org/officeDocument/2006/relationships/hyperlink" Target="https://www.dca.ga.gov/safe-affordable-housing/rental-housing-development/housing-tax-credit-program-lihtc/qualified-0/2022" TargetMode="External"/><Relationship Id="rId44" Type="http://schemas.openxmlformats.org/officeDocument/2006/relationships/hyperlink" Target="https://www.dca.ga.gov/safe-affordable-housing/rental-housing-development/housing-tax-credit-program-lihtc/qualified-0-0" TargetMode="External"/><Relationship Id="rId52" Type="http://schemas.openxmlformats.org/officeDocument/2006/relationships/hyperlink" Target="https://www.dca.ga.gov/safe-affordable-housing/rental-housing-development/housing-tax-credit-program-lihtc/application" TargetMode="External"/><Relationship Id="rId60" Type="http://schemas.openxmlformats.org/officeDocument/2006/relationships/hyperlink" Target="https://www.dca.ga.gov/safe-affordable-housing/rental-housing-development/compliance-monitoring"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hfdround@dca.ga.gov" TargetMode="External"/><Relationship Id="rId18" Type="http://schemas.openxmlformats.org/officeDocument/2006/relationships/hyperlink" Target="https://www.dca.ga.gov/node/8085" TargetMode="External"/><Relationship Id="rId39" Type="http://schemas.openxmlformats.org/officeDocument/2006/relationships/hyperlink" Target="https://www.dca.ga.gov/safe-affordable-housing/rental-housing-development/compliance-monitoring/utility-allowa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31100d4-4470-42c1-96bc-46686c1829a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BC28513F06E9409310364D80ACD8FD" ma:contentTypeVersion="6" ma:contentTypeDescription="Create a new document." ma:contentTypeScope="" ma:versionID="ae0e050481ac1421d4f3fab99e1b59c0">
  <xsd:schema xmlns:xsd="http://www.w3.org/2001/XMLSchema" xmlns:xs="http://www.w3.org/2001/XMLSchema" xmlns:p="http://schemas.microsoft.com/office/2006/metadata/properties" xmlns:ns2="0b389fdf-c1cd-4589-91b6-850ba51ff85c" xmlns:ns3="431100d4-4470-42c1-96bc-46686c1829ae" targetNamespace="http://schemas.microsoft.com/office/2006/metadata/properties" ma:root="true" ma:fieldsID="de0fd987dc613b5d370f5f94535d9e2f" ns2:_="" ns3:_="">
    <xsd:import namespace="0b389fdf-c1cd-4589-91b6-850ba51ff85c"/>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89fdf-c1cd-4589-91b6-850ba51ff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CA9A69-CD3B-44FD-A2A0-AD4169BB2B1F}">
  <ds:schemaRefs>
    <ds:schemaRef ds:uri="http://schemas.microsoft.com/office/infopath/2007/PartnerControls"/>
    <ds:schemaRef ds:uri="http://www.w3.org/XML/1998/namespace"/>
    <ds:schemaRef ds:uri="http://purl.org/dc/terms/"/>
    <ds:schemaRef ds:uri="0b389fdf-c1cd-4589-91b6-850ba51ff85c"/>
    <ds:schemaRef ds:uri="http://purl.org/dc/elements/1.1/"/>
    <ds:schemaRef ds:uri="431100d4-4470-42c1-96bc-46686c1829ae"/>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3CB819E-9CCA-4FCD-90F4-6C873F64136A}">
  <ds:schemaRefs>
    <ds:schemaRef ds:uri="http://schemas.microsoft.com/sharepoint/v3/contenttype/forms"/>
  </ds:schemaRefs>
</ds:datastoreItem>
</file>

<file path=customXml/itemProps3.xml><?xml version="1.0" encoding="utf-8"?>
<ds:datastoreItem xmlns:ds="http://schemas.openxmlformats.org/officeDocument/2006/customXml" ds:itemID="{C48830A2-3A51-48E6-8C47-BC7C7E17F3D6}">
  <ds:schemaRefs>
    <ds:schemaRef ds:uri="http://schemas.openxmlformats.org/officeDocument/2006/bibliography"/>
  </ds:schemaRefs>
</ds:datastoreItem>
</file>

<file path=customXml/itemProps4.xml><?xml version="1.0" encoding="utf-8"?>
<ds:datastoreItem xmlns:ds="http://schemas.openxmlformats.org/officeDocument/2006/customXml" ds:itemID="{BB2DBEFE-31C7-4EE9-9265-9E44134A4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89fdf-c1cd-4589-91b6-850ba51ff85c"/>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25614</Words>
  <Characters>146001</Characters>
  <Application>Microsoft Office Word</Application>
  <DocSecurity>0</DocSecurity>
  <Lines>1216</Lines>
  <Paragraphs>342</Paragraphs>
  <ScaleCrop>false</ScaleCrop>
  <Company/>
  <LinksUpToDate>false</LinksUpToDate>
  <CharactersWithSpaces>171273</CharactersWithSpaces>
  <SharedDoc>false</SharedDoc>
  <HLinks>
    <vt:vector size="288" baseType="variant">
      <vt:variant>
        <vt:i4>5242944</vt:i4>
      </vt:variant>
      <vt:variant>
        <vt:i4>141</vt:i4>
      </vt:variant>
      <vt:variant>
        <vt:i4>0</vt:i4>
      </vt:variant>
      <vt:variant>
        <vt:i4>5</vt:i4>
      </vt:variant>
      <vt:variant>
        <vt:lpwstr>https://www.dca.ga.gov/node/7818</vt:lpwstr>
      </vt:variant>
      <vt:variant>
        <vt:lpwstr/>
      </vt:variant>
      <vt:variant>
        <vt:i4>5242944</vt:i4>
      </vt:variant>
      <vt:variant>
        <vt:i4>138</vt:i4>
      </vt:variant>
      <vt:variant>
        <vt:i4>0</vt:i4>
      </vt:variant>
      <vt:variant>
        <vt:i4>5</vt:i4>
      </vt:variant>
      <vt:variant>
        <vt:lpwstr>https://www.dca.ga.gov/node/7818</vt:lpwstr>
      </vt:variant>
      <vt:variant>
        <vt:lpwstr/>
      </vt:variant>
      <vt:variant>
        <vt:i4>7340131</vt:i4>
      </vt:variant>
      <vt:variant>
        <vt:i4>135</vt:i4>
      </vt:variant>
      <vt:variant>
        <vt:i4>0</vt:i4>
      </vt:variant>
      <vt:variant>
        <vt:i4>5</vt:i4>
      </vt:variant>
      <vt:variant>
        <vt:lpwstr>https://www.dca.ga.gov/safe-affordable-housing/rental-housing-development/housing-tax-credit-program-lihtc/application</vt:lpwstr>
      </vt:variant>
      <vt:variant>
        <vt:lpwstr/>
      </vt:variant>
      <vt:variant>
        <vt:i4>7209084</vt:i4>
      </vt:variant>
      <vt:variant>
        <vt:i4>132</vt:i4>
      </vt:variant>
      <vt:variant>
        <vt:i4>0</vt:i4>
      </vt:variant>
      <vt:variant>
        <vt:i4>5</vt:i4>
      </vt:variant>
      <vt:variant>
        <vt:lpwstr>https://www.dca.ga.gov/safe-affordable-housing/rental-housing-development/compliance-monitoring</vt:lpwstr>
      </vt:variant>
      <vt:variant>
        <vt:lpwstr/>
      </vt:variant>
      <vt:variant>
        <vt:i4>6029377</vt:i4>
      </vt:variant>
      <vt:variant>
        <vt:i4>129</vt:i4>
      </vt:variant>
      <vt:variant>
        <vt:i4>0</vt:i4>
      </vt:variant>
      <vt:variant>
        <vt:i4>5</vt:i4>
      </vt:variant>
      <vt:variant>
        <vt:lpwstr>https://www.dca.ga.gov/node/7804</vt:lpwstr>
      </vt:variant>
      <vt:variant>
        <vt:lpwstr/>
      </vt:variant>
      <vt:variant>
        <vt:i4>6029377</vt:i4>
      </vt:variant>
      <vt:variant>
        <vt:i4>126</vt:i4>
      </vt:variant>
      <vt:variant>
        <vt:i4>0</vt:i4>
      </vt:variant>
      <vt:variant>
        <vt:i4>5</vt:i4>
      </vt:variant>
      <vt:variant>
        <vt:lpwstr>https://www.dca.ga.gov/node/7804</vt:lpwstr>
      </vt:variant>
      <vt:variant>
        <vt:lpwstr/>
      </vt:variant>
      <vt:variant>
        <vt:i4>7209084</vt:i4>
      </vt:variant>
      <vt:variant>
        <vt:i4>123</vt:i4>
      </vt:variant>
      <vt:variant>
        <vt:i4>0</vt:i4>
      </vt:variant>
      <vt:variant>
        <vt:i4>5</vt:i4>
      </vt:variant>
      <vt:variant>
        <vt:lpwstr>https://www.dca.ga.gov/safe-affordable-housing/rental-housing-development/compliance-monitoring</vt:lpwstr>
      </vt:variant>
      <vt:variant>
        <vt:lpwstr/>
      </vt:variant>
      <vt:variant>
        <vt:i4>1769501</vt:i4>
      </vt:variant>
      <vt:variant>
        <vt:i4>120</vt:i4>
      </vt:variant>
      <vt:variant>
        <vt:i4>0</vt:i4>
      </vt:variant>
      <vt:variant>
        <vt:i4>5</vt:i4>
      </vt:variant>
      <vt:variant>
        <vt:lpwstr>https://www.dca.ga.gov/safe-affordable-housing/rental-housing-development/housing-tax-credit-program-lihtc/qualified-0-1</vt:lpwstr>
      </vt:variant>
      <vt:variant>
        <vt:lpwstr/>
      </vt:variant>
      <vt:variant>
        <vt:i4>1703965</vt:i4>
      </vt:variant>
      <vt:variant>
        <vt:i4>117</vt:i4>
      </vt:variant>
      <vt:variant>
        <vt:i4>0</vt:i4>
      </vt:variant>
      <vt:variant>
        <vt:i4>5</vt:i4>
      </vt:variant>
      <vt:variant>
        <vt:lpwstr>https://www.dca.ga.gov/safe-affordable-housing/rental-housing-development/housing-tax-credit-program-lihtc/qualified-0-0</vt:lpwstr>
      </vt:variant>
      <vt:variant>
        <vt:lpwstr/>
      </vt:variant>
      <vt:variant>
        <vt:i4>6815867</vt:i4>
      </vt:variant>
      <vt:variant>
        <vt:i4>114</vt:i4>
      </vt:variant>
      <vt:variant>
        <vt:i4>0</vt:i4>
      </vt:variant>
      <vt:variant>
        <vt:i4>5</vt:i4>
      </vt:variant>
      <vt:variant>
        <vt:lpwstr>https://www.gadoe.org/CCRPI/Pages/-Archived-CCRPI-Data-Files.aspx?</vt:lpwstr>
      </vt:variant>
      <vt:variant>
        <vt:lpwstr/>
      </vt:variant>
      <vt:variant>
        <vt:i4>7274528</vt:i4>
      </vt:variant>
      <vt:variant>
        <vt:i4>111</vt:i4>
      </vt:variant>
      <vt:variant>
        <vt:i4>0</vt:i4>
      </vt:variant>
      <vt:variant>
        <vt:i4>5</vt:i4>
      </vt:variant>
      <vt:variant>
        <vt:lpwstr>https://www.gadoe.org/CCRPI/Pages/default.aspx</vt:lpwstr>
      </vt:variant>
      <vt:variant>
        <vt:lpwstr/>
      </vt:variant>
      <vt:variant>
        <vt:i4>7340131</vt:i4>
      </vt:variant>
      <vt:variant>
        <vt:i4>108</vt:i4>
      </vt:variant>
      <vt:variant>
        <vt:i4>0</vt:i4>
      </vt:variant>
      <vt:variant>
        <vt:i4>5</vt:i4>
      </vt:variant>
      <vt:variant>
        <vt:lpwstr>https://www.dca.ga.gov/safe-affordable-housing/rental-housing-development/housing-tax-credit-program-lihtc/application</vt:lpwstr>
      </vt:variant>
      <vt:variant>
        <vt:lpwstr/>
      </vt:variant>
      <vt:variant>
        <vt:i4>1703965</vt:i4>
      </vt:variant>
      <vt:variant>
        <vt:i4>105</vt:i4>
      </vt:variant>
      <vt:variant>
        <vt:i4>0</vt:i4>
      </vt:variant>
      <vt:variant>
        <vt:i4>5</vt:i4>
      </vt:variant>
      <vt:variant>
        <vt:lpwstr>https://www.dca.ga.gov/safe-affordable-housing/rental-housing-development/housing-tax-credit-program-lihtc/qualified-0-0</vt:lpwstr>
      </vt:variant>
      <vt:variant>
        <vt:lpwstr/>
      </vt:variant>
      <vt:variant>
        <vt:i4>1703965</vt:i4>
      </vt:variant>
      <vt:variant>
        <vt:i4>102</vt:i4>
      </vt:variant>
      <vt:variant>
        <vt:i4>0</vt:i4>
      </vt:variant>
      <vt:variant>
        <vt:i4>5</vt:i4>
      </vt:variant>
      <vt:variant>
        <vt:lpwstr>https://www.dca.ga.gov/safe-affordable-housing/rental-housing-development/housing-tax-credit-program-lihtc/qualified-0-0</vt:lpwstr>
      </vt:variant>
      <vt:variant>
        <vt:lpwstr/>
      </vt:variant>
      <vt:variant>
        <vt:i4>2752546</vt:i4>
      </vt:variant>
      <vt:variant>
        <vt:i4>99</vt:i4>
      </vt:variant>
      <vt:variant>
        <vt:i4>0</vt:i4>
      </vt:variant>
      <vt:variant>
        <vt:i4>5</vt:i4>
      </vt:variant>
      <vt:variant>
        <vt:lpwstr>https://www.youtube.com/watch?v=VozXGGf8Ueg&amp;t=503s</vt:lpwstr>
      </vt:variant>
      <vt:variant>
        <vt:lpwstr/>
      </vt:variant>
      <vt:variant>
        <vt:i4>3670127</vt:i4>
      </vt:variant>
      <vt:variant>
        <vt:i4>96</vt:i4>
      </vt:variant>
      <vt:variant>
        <vt:i4>0</vt:i4>
      </vt:variant>
      <vt:variant>
        <vt:i4>5</vt:i4>
      </vt:variant>
      <vt:variant>
        <vt:lpwstr>https://georgia-dca.maps.arcgis.com/apps/View/index.html?appid=f40de6a6f3ca455988ccb28f25c8a80e</vt:lpwstr>
      </vt:variant>
      <vt:variant>
        <vt:lpwstr/>
      </vt:variant>
      <vt:variant>
        <vt:i4>1703965</vt:i4>
      </vt:variant>
      <vt:variant>
        <vt:i4>93</vt:i4>
      </vt:variant>
      <vt:variant>
        <vt:i4>0</vt:i4>
      </vt:variant>
      <vt:variant>
        <vt:i4>5</vt:i4>
      </vt:variant>
      <vt:variant>
        <vt:lpwstr>https://www.dca.ga.gov/safe-affordable-housing/rental-housing-development/housing-tax-credit-program-lihtc/qualified-0-0</vt:lpwstr>
      </vt:variant>
      <vt:variant>
        <vt:lpwstr/>
      </vt:variant>
      <vt:variant>
        <vt:i4>1703965</vt:i4>
      </vt:variant>
      <vt:variant>
        <vt:i4>90</vt:i4>
      </vt:variant>
      <vt:variant>
        <vt:i4>0</vt:i4>
      </vt:variant>
      <vt:variant>
        <vt:i4>5</vt:i4>
      </vt:variant>
      <vt:variant>
        <vt:lpwstr>https://www.dca.ga.gov/safe-affordable-housing/rental-housing-development/housing-tax-credit-program-lihtc/qualified-0-0</vt:lpwstr>
      </vt:variant>
      <vt:variant>
        <vt:lpwstr/>
      </vt:variant>
      <vt:variant>
        <vt:i4>1703965</vt:i4>
      </vt:variant>
      <vt:variant>
        <vt:i4>87</vt:i4>
      </vt:variant>
      <vt:variant>
        <vt:i4>0</vt:i4>
      </vt:variant>
      <vt:variant>
        <vt:i4>5</vt:i4>
      </vt:variant>
      <vt:variant>
        <vt:lpwstr>https://www.dca.ga.gov/safe-affordable-housing/rental-housing-development/housing-tax-credit-program-lihtc/qualified-0-0</vt:lpwstr>
      </vt:variant>
      <vt:variant>
        <vt:lpwstr/>
      </vt:variant>
      <vt:variant>
        <vt:i4>7340131</vt:i4>
      </vt:variant>
      <vt:variant>
        <vt:i4>84</vt:i4>
      </vt:variant>
      <vt:variant>
        <vt:i4>0</vt:i4>
      </vt:variant>
      <vt:variant>
        <vt:i4>5</vt:i4>
      </vt:variant>
      <vt:variant>
        <vt:lpwstr>https://www.dca.ga.gov/safe-affordable-housing/rental-housing-development/housing-tax-credit-program-lihtc/application</vt:lpwstr>
      </vt:variant>
      <vt:variant>
        <vt:lpwstr/>
      </vt:variant>
      <vt:variant>
        <vt:i4>6094913</vt:i4>
      </vt:variant>
      <vt:variant>
        <vt:i4>81</vt:i4>
      </vt:variant>
      <vt:variant>
        <vt:i4>0</vt:i4>
      </vt:variant>
      <vt:variant>
        <vt:i4>5</vt:i4>
      </vt:variant>
      <vt:variant>
        <vt:lpwstr>https://www.dca.ga.gov/node/7805</vt:lpwstr>
      </vt:variant>
      <vt:variant>
        <vt:lpwstr/>
      </vt:variant>
      <vt:variant>
        <vt:i4>7471206</vt:i4>
      </vt:variant>
      <vt:variant>
        <vt:i4>78</vt:i4>
      </vt:variant>
      <vt:variant>
        <vt:i4>0</vt:i4>
      </vt:variant>
      <vt:variant>
        <vt:i4>5</vt:i4>
      </vt:variant>
      <vt:variant>
        <vt:lpwstr>https://www.dca.ga.gov/safe-affordable-housing/rental-housing-development/compliance-monitoring/utility-allowances</vt:lpwstr>
      </vt:variant>
      <vt:variant>
        <vt:lpwstr/>
      </vt:variant>
      <vt:variant>
        <vt:i4>1703965</vt:i4>
      </vt:variant>
      <vt:variant>
        <vt:i4>75</vt:i4>
      </vt:variant>
      <vt:variant>
        <vt:i4>0</vt:i4>
      </vt:variant>
      <vt:variant>
        <vt:i4>5</vt:i4>
      </vt:variant>
      <vt:variant>
        <vt:lpwstr>https://www.dca.ga.gov/safe-affordable-housing/rental-housing-development/housing-tax-credit-program-lihtc/qualified-0-0</vt:lpwstr>
      </vt:variant>
      <vt:variant>
        <vt:lpwstr/>
      </vt:variant>
      <vt:variant>
        <vt:i4>7864383</vt:i4>
      </vt:variant>
      <vt:variant>
        <vt:i4>72</vt:i4>
      </vt:variant>
      <vt:variant>
        <vt:i4>0</vt:i4>
      </vt:variant>
      <vt:variant>
        <vt:i4>5</vt:i4>
      </vt:variant>
      <vt:variant>
        <vt:lpwstr>https://dcaqap.formstack.com/forms/2022_taxcredit_questions</vt:lpwstr>
      </vt:variant>
      <vt:variant>
        <vt:lpwstr/>
      </vt:variant>
      <vt:variant>
        <vt:i4>6815865</vt:i4>
      </vt:variant>
      <vt:variant>
        <vt:i4>69</vt:i4>
      </vt:variant>
      <vt:variant>
        <vt:i4>0</vt:i4>
      </vt:variant>
      <vt:variant>
        <vt:i4>5</vt:i4>
      </vt:variant>
      <vt:variant>
        <vt:lpwstr>https://consumer.georgia.gov/consumer-topics/health-care-professionals</vt:lpwstr>
      </vt:variant>
      <vt:variant>
        <vt:lpwstr/>
      </vt:variant>
      <vt:variant>
        <vt:i4>7471206</vt:i4>
      </vt:variant>
      <vt:variant>
        <vt:i4>66</vt:i4>
      </vt:variant>
      <vt:variant>
        <vt:i4>0</vt:i4>
      </vt:variant>
      <vt:variant>
        <vt:i4>5</vt:i4>
      </vt:variant>
      <vt:variant>
        <vt:lpwstr>https://www.dca.ga.gov/safe-affordable-housing/rental-housing-development/compliance-monitoring/utility-allowances</vt:lpwstr>
      </vt:variant>
      <vt:variant>
        <vt:lpwstr/>
      </vt:variant>
      <vt:variant>
        <vt:i4>1703965</vt:i4>
      </vt:variant>
      <vt:variant>
        <vt:i4>63</vt:i4>
      </vt:variant>
      <vt:variant>
        <vt:i4>0</vt:i4>
      </vt:variant>
      <vt:variant>
        <vt:i4>5</vt:i4>
      </vt:variant>
      <vt:variant>
        <vt:lpwstr>https://www.dca.ga.gov/safe-affordable-housing/rental-housing-development/housing-tax-credit-program-lihtc/qualified-0-0</vt:lpwstr>
      </vt:variant>
      <vt:variant>
        <vt:lpwstr/>
      </vt:variant>
      <vt:variant>
        <vt:i4>3801201</vt:i4>
      </vt:variant>
      <vt:variant>
        <vt:i4>60</vt:i4>
      </vt:variant>
      <vt:variant>
        <vt:i4>0</vt:i4>
      </vt:variant>
      <vt:variant>
        <vt:i4>5</vt:i4>
      </vt:variant>
      <vt:variant>
        <vt:lpwstr>http://dcaqap.formstack.com/forms/yearround_qap_survey</vt:lpwstr>
      </vt:variant>
      <vt:variant>
        <vt:lpwstr/>
      </vt:variant>
      <vt:variant>
        <vt:i4>6094912</vt:i4>
      </vt:variant>
      <vt:variant>
        <vt:i4>57</vt:i4>
      </vt:variant>
      <vt:variant>
        <vt:i4>0</vt:i4>
      </vt:variant>
      <vt:variant>
        <vt:i4>5</vt:i4>
      </vt:variant>
      <vt:variant>
        <vt:lpwstr>https://www.dca.ga.gov/node/7815</vt:lpwstr>
      </vt:variant>
      <vt:variant>
        <vt:lpwstr/>
      </vt:variant>
      <vt:variant>
        <vt:i4>2752559</vt:i4>
      </vt:variant>
      <vt:variant>
        <vt:i4>54</vt:i4>
      </vt:variant>
      <vt:variant>
        <vt:i4>0</vt:i4>
      </vt:variant>
      <vt:variant>
        <vt:i4>5</vt:i4>
      </vt:variant>
      <vt:variant>
        <vt:lpwstr>https://www.dca.ga.gov/safe-affordable-housing/rental-housing-development/housing-tax-credit-program-lihtc/qualified-0/2022</vt:lpwstr>
      </vt:variant>
      <vt:variant>
        <vt:lpwstr/>
      </vt:variant>
      <vt:variant>
        <vt:i4>2752559</vt:i4>
      </vt:variant>
      <vt:variant>
        <vt:i4>51</vt:i4>
      </vt:variant>
      <vt:variant>
        <vt:i4>0</vt:i4>
      </vt:variant>
      <vt:variant>
        <vt:i4>5</vt:i4>
      </vt:variant>
      <vt:variant>
        <vt:lpwstr>https://www.dca.ga.gov/safe-affordable-housing/rental-housing-development/housing-tax-credit-program-lihtc/qualified-0/2022</vt:lpwstr>
      </vt:variant>
      <vt:variant>
        <vt:lpwstr/>
      </vt:variant>
      <vt:variant>
        <vt:i4>1703965</vt:i4>
      </vt:variant>
      <vt:variant>
        <vt:i4>48</vt:i4>
      </vt:variant>
      <vt:variant>
        <vt:i4>0</vt:i4>
      </vt:variant>
      <vt:variant>
        <vt:i4>5</vt:i4>
      </vt:variant>
      <vt:variant>
        <vt:lpwstr>https://www.dca.ga.gov/safe-affordable-housing/rental-housing-development/housing-tax-credit-program-lihtc/qualified-0-0</vt:lpwstr>
      </vt:variant>
      <vt:variant>
        <vt:lpwstr/>
      </vt:variant>
      <vt:variant>
        <vt:i4>6225984</vt:i4>
      </vt:variant>
      <vt:variant>
        <vt:i4>45</vt:i4>
      </vt:variant>
      <vt:variant>
        <vt:i4>0</vt:i4>
      </vt:variant>
      <vt:variant>
        <vt:i4>5</vt:i4>
      </vt:variant>
      <vt:variant>
        <vt:lpwstr>https://www.dca.ga.gov/node/7817</vt:lpwstr>
      </vt:variant>
      <vt:variant>
        <vt:lpwstr/>
      </vt:variant>
      <vt:variant>
        <vt:i4>6094913</vt:i4>
      </vt:variant>
      <vt:variant>
        <vt:i4>42</vt:i4>
      </vt:variant>
      <vt:variant>
        <vt:i4>0</vt:i4>
      </vt:variant>
      <vt:variant>
        <vt:i4>5</vt:i4>
      </vt:variant>
      <vt:variant>
        <vt:lpwstr>https://www.dca.ga.gov/node/7805</vt:lpwstr>
      </vt:variant>
      <vt:variant>
        <vt:lpwstr/>
      </vt:variant>
      <vt:variant>
        <vt:i4>2752559</vt:i4>
      </vt:variant>
      <vt:variant>
        <vt:i4>39</vt:i4>
      </vt:variant>
      <vt:variant>
        <vt:i4>0</vt:i4>
      </vt:variant>
      <vt:variant>
        <vt:i4>5</vt:i4>
      </vt:variant>
      <vt:variant>
        <vt:lpwstr>https://www.dca.ga.gov/safe-affordable-housing/rental-housing-development/housing-tax-credit-program-lihtc/qualified-0/2022</vt:lpwstr>
      </vt:variant>
      <vt:variant>
        <vt:lpwstr/>
      </vt:variant>
      <vt:variant>
        <vt:i4>1703965</vt:i4>
      </vt:variant>
      <vt:variant>
        <vt:i4>36</vt:i4>
      </vt:variant>
      <vt:variant>
        <vt:i4>0</vt:i4>
      </vt:variant>
      <vt:variant>
        <vt:i4>5</vt:i4>
      </vt:variant>
      <vt:variant>
        <vt:lpwstr>https://www.dca.ga.gov/safe-affordable-housing/rental-housing-development/housing-tax-credit-program-lihtc/qualified-0-0</vt:lpwstr>
      </vt:variant>
      <vt:variant>
        <vt:lpwstr/>
      </vt:variant>
      <vt:variant>
        <vt:i4>7274528</vt:i4>
      </vt:variant>
      <vt:variant>
        <vt:i4>33</vt:i4>
      </vt:variant>
      <vt:variant>
        <vt:i4>0</vt:i4>
      </vt:variant>
      <vt:variant>
        <vt:i4>5</vt:i4>
      </vt:variant>
      <vt:variant>
        <vt:lpwstr>https://www.gadoe.org/CCRPI/Pages/default.aspx</vt:lpwstr>
      </vt:variant>
      <vt:variant>
        <vt:lpwstr/>
      </vt:variant>
      <vt:variant>
        <vt:i4>5570630</vt:i4>
      </vt:variant>
      <vt:variant>
        <vt:i4>30</vt:i4>
      </vt:variant>
      <vt:variant>
        <vt:i4>0</vt:i4>
      </vt:variant>
      <vt:variant>
        <vt:i4>5</vt:i4>
      </vt:variant>
      <vt:variant>
        <vt:lpwstr>https://www.dca.ga.gov/node/8085</vt:lpwstr>
      </vt:variant>
      <vt:variant>
        <vt:lpwstr/>
      </vt:variant>
      <vt:variant>
        <vt:i4>2097154</vt:i4>
      </vt:variant>
      <vt:variant>
        <vt:i4>27</vt:i4>
      </vt:variant>
      <vt:variant>
        <vt:i4>0</vt:i4>
      </vt:variant>
      <vt:variant>
        <vt:i4>5</vt:i4>
      </vt:variant>
      <vt:variant>
        <vt:lpwstr>mailto:Sanjana.Zahin@dca.ga.gov</vt:lpwstr>
      </vt:variant>
      <vt:variant>
        <vt:lpwstr/>
      </vt:variant>
      <vt:variant>
        <vt:i4>720956</vt:i4>
      </vt:variant>
      <vt:variant>
        <vt:i4>24</vt:i4>
      </vt:variant>
      <vt:variant>
        <vt:i4>0</vt:i4>
      </vt:variant>
      <vt:variant>
        <vt:i4>5</vt:i4>
      </vt:variant>
      <vt:variant>
        <vt:lpwstr>mailto:Felecia.Speakman@dca.ga.gov</vt:lpwstr>
      </vt:variant>
      <vt:variant>
        <vt:lpwstr/>
      </vt:variant>
      <vt:variant>
        <vt:i4>5242999</vt:i4>
      </vt:variant>
      <vt:variant>
        <vt:i4>21</vt:i4>
      </vt:variant>
      <vt:variant>
        <vt:i4>0</vt:i4>
      </vt:variant>
      <vt:variant>
        <vt:i4>5</vt:i4>
      </vt:variant>
      <vt:variant>
        <vt:lpwstr>http://ccrpi.gadoe.org/Reports/Views/Shared/_Layout.html</vt:lpwstr>
      </vt:variant>
      <vt:variant>
        <vt:lpwstr/>
      </vt:variant>
      <vt:variant>
        <vt:i4>5570630</vt:i4>
      </vt:variant>
      <vt:variant>
        <vt:i4>18</vt:i4>
      </vt:variant>
      <vt:variant>
        <vt:i4>0</vt:i4>
      </vt:variant>
      <vt:variant>
        <vt:i4>5</vt:i4>
      </vt:variant>
      <vt:variant>
        <vt:lpwstr>https://www.dca.ga.gov/node/8085</vt:lpwstr>
      </vt:variant>
      <vt:variant>
        <vt:lpwstr/>
      </vt:variant>
      <vt:variant>
        <vt:i4>6160479</vt:i4>
      </vt:variant>
      <vt:variant>
        <vt:i4>15</vt:i4>
      </vt:variant>
      <vt:variant>
        <vt:i4>0</vt:i4>
      </vt:variant>
      <vt:variant>
        <vt:i4>5</vt:i4>
      </vt:variant>
      <vt:variant>
        <vt:lpwstr>https://www.dca.ga.gov/sites/default/files/dca_income_averaging_policy_revised_2.3.21_0.pdf</vt:lpwstr>
      </vt:variant>
      <vt:variant>
        <vt:lpwstr/>
      </vt:variant>
      <vt:variant>
        <vt:i4>5570630</vt:i4>
      </vt:variant>
      <vt:variant>
        <vt:i4>12</vt:i4>
      </vt:variant>
      <vt:variant>
        <vt:i4>0</vt:i4>
      </vt:variant>
      <vt:variant>
        <vt:i4>5</vt:i4>
      </vt:variant>
      <vt:variant>
        <vt:lpwstr>https://www.dca.ga.gov/node/8085</vt:lpwstr>
      </vt:variant>
      <vt:variant>
        <vt:lpwstr/>
      </vt:variant>
      <vt:variant>
        <vt:i4>6225984</vt:i4>
      </vt:variant>
      <vt:variant>
        <vt:i4>9</vt:i4>
      </vt:variant>
      <vt:variant>
        <vt:i4>0</vt:i4>
      </vt:variant>
      <vt:variant>
        <vt:i4>5</vt:i4>
      </vt:variant>
      <vt:variant>
        <vt:lpwstr>https://www.dca.ga.gov/node/7817</vt:lpwstr>
      </vt:variant>
      <vt:variant>
        <vt:lpwstr/>
      </vt:variant>
      <vt:variant>
        <vt:i4>1179756</vt:i4>
      </vt:variant>
      <vt:variant>
        <vt:i4>6</vt:i4>
      </vt:variant>
      <vt:variant>
        <vt:i4>0</vt:i4>
      </vt:variant>
      <vt:variant>
        <vt:i4>5</vt:i4>
      </vt:variant>
      <vt:variant>
        <vt:lpwstr>mailto:hfdround@dca.ga.gov</vt:lpwstr>
      </vt:variant>
      <vt:variant>
        <vt:lpwstr/>
      </vt:variant>
      <vt:variant>
        <vt:i4>1179756</vt:i4>
      </vt:variant>
      <vt:variant>
        <vt:i4>3</vt:i4>
      </vt:variant>
      <vt:variant>
        <vt:i4>0</vt:i4>
      </vt:variant>
      <vt:variant>
        <vt:i4>5</vt:i4>
      </vt:variant>
      <vt:variant>
        <vt:lpwstr>mailto:hfdround@dca.ga.gov</vt:lpwstr>
      </vt:variant>
      <vt:variant>
        <vt:lpwstr/>
      </vt:variant>
      <vt:variant>
        <vt:i4>2752559</vt:i4>
      </vt:variant>
      <vt:variant>
        <vt:i4>0</vt:i4>
      </vt:variant>
      <vt:variant>
        <vt:i4>0</vt:i4>
      </vt:variant>
      <vt:variant>
        <vt:i4>5</vt:i4>
      </vt:variant>
      <vt:variant>
        <vt:lpwstr>https://www.dca.ga.gov/safe-affordable-housing/rental-housing-development/housing-tax-credit-program-lihtc/qualified-0/2022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Popper</dc:creator>
  <cp:keywords/>
  <dc:description/>
  <cp:lastModifiedBy>Meagan Cutler</cp:lastModifiedBy>
  <cp:revision>2</cp:revision>
  <dcterms:created xsi:type="dcterms:W3CDTF">2022-10-12T21:19:00Z</dcterms:created>
  <dcterms:modified xsi:type="dcterms:W3CDTF">2022-10-12T21:19:00Z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0x010100F2BC28513F06E9409310364D80ACD8FD</vt:lpwstr>
  </property>
  <property fmtid="{D5CDD505-2E9C-101B-9397-08002B2CF9AE}" pid="3" name="Order">
    <vt:r8>1034800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