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A51C7" w14:textId="78ECFEB2" w:rsidR="00A10327" w:rsidRDefault="003216A3" w:rsidP="003216A3">
      <w:pPr>
        <w:pStyle w:val="Heading1"/>
        <w:jc w:val="center"/>
      </w:pPr>
      <w:bookmarkStart w:id="0" w:name="_GoBack"/>
      <w:bookmarkEnd w:id="0"/>
      <w:r>
        <w:t xml:space="preserve">DRAFT - </w:t>
      </w:r>
      <w:r w:rsidR="001353FF" w:rsidRPr="008F2E03">
        <w:t xml:space="preserve">Low-Income Housing Tax Credit vs. Section 811 PRA </w:t>
      </w:r>
      <w:r>
        <w:t xml:space="preserve">Occupancy </w:t>
      </w:r>
      <w:r w:rsidR="001353FF" w:rsidRPr="008F2E03">
        <w:t>Requirements</w:t>
      </w:r>
      <w:r>
        <w:t xml:space="preserve"> </w:t>
      </w:r>
      <w:r w:rsidR="00A10327">
        <w:t>–</w:t>
      </w:r>
      <w:r>
        <w:t xml:space="preserve"> DRAFT</w:t>
      </w:r>
    </w:p>
    <w:p w14:paraId="36F3EEAC" w14:textId="493D4879" w:rsidR="00A10327" w:rsidRDefault="00A10327" w:rsidP="00A10327"/>
    <w:p w14:paraId="68282927" w14:textId="77777777" w:rsidR="00A10327" w:rsidRDefault="00A10327" w:rsidP="00A10327">
      <w:r>
        <w:t xml:space="preserve">The Section 811 PRA program is funded and regulated by the U.S Department of Housing and Urban Development (HUD) to provide rental assistance for extremely low-income persons with disabilities in properties financed by State Housing Agencies (HAs). Properties financed by Low-Income Housing Tax Credits (HTC) that participate in the Section 811 PRA program have to maintain compliance with both the HTC and the Section 811 PRA program.  </w:t>
      </w:r>
    </w:p>
    <w:p w14:paraId="67BFB62D" w14:textId="77777777" w:rsidR="00A10327" w:rsidRDefault="00A10327" w:rsidP="00A10327">
      <w:pPr>
        <w:pStyle w:val="Heading2"/>
      </w:pPr>
      <w:r>
        <w:t>Low-Income Housing Tax Credit (HTC) Program</w:t>
      </w:r>
    </w:p>
    <w:p w14:paraId="40BCC399" w14:textId="77777777" w:rsidR="00A10327" w:rsidRDefault="00A10327" w:rsidP="00A10327">
      <w:r>
        <w:t>The HTC program, regulated by the Internal Revenue Service, provides financing for affordable housing through HAs, who are responsible for compliance with the program. Properties must follow the following regulations for the HTC program:</w:t>
      </w:r>
    </w:p>
    <w:p w14:paraId="24A8A9F6" w14:textId="77777777" w:rsidR="00A10327" w:rsidRDefault="00A10327" w:rsidP="00A10327">
      <w:pPr>
        <w:pStyle w:val="ListParagraph"/>
        <w:numPr>
          <w:ilvl w:val="0"/>
          <w:numId w:val="27"/>
        </w:numPr>
      </w:pPr>
      <w:r>
        <w:t>Internal Revenue Code Section 42</w:t>
      </w:r>
    </w:p>
    <w:p w14:paraId="758D12FD" w14:textId="77777777" w:rsidR="00A10327" w:rsidRDefault="00A10327" w:rsidP="00A10327">
      <w:pPr>
        <w:pStyle w:val="ListParagraph"/>
        <w:numPr>
          <w:ilvl w:val="0"/>
          <w:numId w:val="27"/>
        </w:numPr>
      </w:pPr>
      <w:r>
        <w:t>Additional Treasury regulations, typically through Private Letter Rulings</w:t>
      </w:r>
    </w:p>
    <w:p w14:paraId="401E5ED5" w14:textId="77777777" w:rsidR="00A10327" w:rsidRDefault="00A10327" w:rsidP="00A10327">
      <w:pPr>
        <w:pStyle w:val="ListParagraph"/>
        <w:numPr>
          <w:ilvl w:val="0"/>
          <w:numId w:val="27"/>
        </w:numPr>
      </w:pPr>
      <w:r>
        <w:t>State HA rules and regulations</w:t>
      </w:r>
    </w:p>
    <w:p w14:paraId="6828F302" w14:textId="77777777" w:rsidR="00A10327" w:rsidRDefault="00A10327" w:rsidP="00A10327">
      <w:pPr>
        <w:pStyle w:val="Heading2"/>
      </w:pPr>
      <w:r>
        <w:t>Section 811 PRA Program</w:t>
      </w:r>
    </w:p>
    <w:p w14:paraId="05FF8792" w14:textId="77777777" w:rsidR="00A10327" w:rsidRDefault="00A10327" w:rsidP="00A10327">
      <w:r>
        <w:t>The Section 811 PRA program, a project-based rental assistance program, is regulated by HUD, which provides Section 811 PRA funds to state HAs which in turn award those funds to properties.  Properties participating in the Section 811 PRA program must follow the following regulations:</w:t>
      </w:r>
    </w:p>
    <w:p w14:paraId="37009879" w14:textId="77777777" w:rsidR="00A10327" w:rsidRDefault="00A10327" w:rsidP="00A10327">
      <w:pPr>
        <w:pStyle w:val="ListParagraph"/>
        <w:numPr>
          <w:ilvl w:val="0"/>
          <w:numId w:val="28"/>
        </w:numPr>
      </w:pPr>
      <w:r>
        <w:t>Owner requirements listed in the Section 811 PRA Cooperative Agreement between HUD and the HA</w:t>
      </w:r>
    </w:p>
    <w:p w14:paraId="2CE628C8" w14:textId="77777777" w:rsidR="00A10327" w:rsidRDefault="00A10327" w:rsidP="00A10327">
      <w:pPr>
        <w:pStyle w:val="ListParagraph"/>
        <w:numPr>
          <w:ilvl w:val="0"/>
          <w:numId w:val="28"/>
        </w:numPr>
      </w:pPr>
      <w:r>
        <w:t>Rental Assistance Contract Parts I and II</w:t>
      </w:r>
    </w:p>
    <w:p w14:paraId="14B75DCC" w14:textId="77777777" w:rsidR="00A10327" w:rsidRDefault="00A10327" w:rsidP="00A10327">
      <w:pPr>
        <w:pStyle w:val="ListParagraph"/>
        <w:numPr>
          <w:ilvl w:val="0"/>
          <w:numId w:val="28"/>
        </w:numPr>
      </w:pPr>
      <w:r>
        <w:t>HUD Handbook 4350.3 and related notices</w:t>
      </w:r>
    </w:p>
    <w:p w14:paraId="5996061E" w14:textId="77777777" w:rsidR="00A10327" w:rsidRDefault="00A10327" w:rsidP="00A10327">
      <w:pPr>
        <w:pStyle w:val="ListParagraph"/>
        <w:numPr>
          <w:ilvl w:val="0"/>
          <w:numId w:val="28"/>
        </w:numPr>
      </w:pPr>
      <w:r>
        <w:t>State HA rules and regulations</w:t>
      </w:r>
    </w:p>
    <w:p w14:paraId="558C4C27" w14:textId="73D6B8C8" w:rsidR="00A10327" w:rsidRDefault="00A10327">
      <w:pPr>
        <w:rPr>
          <w:rFonts w:asciiTheme="majorHAnsi" w:eastAsiaTheme="majorEastAsia" w:hAnsiTheme="majorHAnsi" w:cstheme="majorBidi"/>
          <w:color w:val="2E74B5" w:themeColor="accent1" w:themeShade="BF"/>
          <w:sz w:val="32"/>
          <w:szCs w:val="32"/>
        </w:rPr>
      </w:pPr>
      <w:r>
        <w:t xml:space="preserve">At times, the occupancy requirements for the PRA and the HTC programs may not align perfectly.  The attached provides guidance in a number of these areas, identifying when the Owner should follow PRA guidance, HTC guidance or both.  This is a “work in progress”.  If you identify other areas that require additional clarification, please contact Ellen Fitzpatrick at TAC </w:t>
      </w:r>
      <w:hyperlink r:id="rId8" w:history="1">
        <w:r w:rsidRPr="00E66ED7">
          <w:rPr>
            <w:rStyle w:val="Hyperlink"/>
          </w:rPr>
          <w:t>efitzpatrick@tacinc.org</w:t>
        </w:r>
      </w:hyperlink>
      <w:r>
        <w:t>.</w:t>
      </w:r>
      <w:r>
        <w:br w:type="page"/>
      </w:r>
    </w:p>
    <w:tbl>
      <w:tblPr>
        <w:tblStyle w:val="TableGrid"/>
        <w:tblW w:w="12950" w:type="dxa"/>
        <w:tblLook w:val="04A0" w:firstRow="1" w:lastRow="0" w:firstColumn="1" w:lastColumn="0" w:noHBand="0" w:noVBand="1"/>
      </w:tblPr>
      <w:tblGrid>
        <w:gridCol w:w="1643"/>
        <w:gridCol w:w="3954"/>
        <w:gridCol w:w="3858"/>
        <w:gridCol w:w="3495"/>
      </w:tblGrid>
      <w:tr w:rsidR="00F442A3" w:rsidRPr="00E65E77" w14:paraId="5B9E8C1B" w14:textId="77777777" w:rsidTr="00B0215B">
        <w:trPr>
          <w:tblHeader/>
        </w:trPr>
        <w:tc>
          <w:tcPr>
            <w:tcW w:w="1643" w:type="dxa"/>
            <w:shd w:val="clear" w:color="auto" w:fill="2E74B5" w:themeFill="accent1" w:themeFillShade="BF"/>
          </w:tcPr>
          <w:p w14:paraId="12900C9F" w14:textId="77777777" w:rsidR="00BE0BEA" w:rsidRPr="00E65E77" w:rsidRDefault="00BE0BEA" w:rsidP="000D7C8C">
            <w:pPr>
              <w:jc w:val="center"/>
              <w:rPr>
                <w:b/>
              </w:rPr>
            </w:pPr>
            <w:r w:rsidRPr="00E65E77">
              <w:rPr>
                <w:b/>
              </w:rPr>
              <w:lastRenderedPageBreak/>
              <w:t>Topic</w:t>
            </w:r>
          </w:p>
        </w:tc>
        <w:tc>
          <w:tcPr>
            <w:tcW w:w="3954" w:type="dxa"/>
            <w:shd w:val="clear" w:color="auto" w:fill="2E74B5" w:themeFill="accent1" w:themeFillShade="BF"/>
          </w:tcPr>
          <w:p w14:paraId="3B40F49F" w14:textId="77777777" w:rsidR="00BE0BEA" w:rsidRPr="00E65E77" w:rsidRDefault="00BE0BEA" w:rsidP="000D7C8C">
            <w:pPr>
              <w:jc w:val="center"/>
              <w:rPr>
                <w:b/>
              </w:rPr>
            </w:pPr>
            <w:r w:rsidRPr="00E65E77">
              <w:rPr>
                <w:b/>
              </w:rPr>
              <w:t xml:space="preserve">Section 811 PRA Program </w:t>
            </w:r>
            <w:r>
              <w:rPr>
                <w:b/>
              </w:rPr>
              <w:t>Requirement</w:t>
            </w:r>
            <w:r w:rsidR="00950F91">
              <w:rPr>
                <w:b/>
              </w:rPr>
              <w:t>s</w:t>
            </w:r>
          </w:p>
          <w:p w14:paraId="45F54ED4" w14:textId="77777777" w:rsidR="00BE0BEA" w:rsidRPr="00E65E77" w:rsidRDefault="00BE0BEA" w:rsidP="000D7C8C">
            <w:pPr>
              <w:jc w:val="center"/>
              <w:rPr>
                <w:b/>
              </w:rPr>
            </w:pPr>
          </w:p>
        </w:tc>
        <w:tc>
          <w:tcPr>
            <w:tcW w:w="3858" w:type="dxa"/>
            <w:shd w:val="clear" w:color="auto" w:fill="2E74B5" w:themeFill="accent1" w:themeFillShade="BF"/>
          </w:tcPr>
          <w:p w14:paraId="6EDDF766" w14:textId="77777777" w:rsidR="00BE0BEA" w:rsidRPr="00E65E77" w:rsidRDefault="00BE0BEA" w:rsidP="000D7C8C">
            <w:pPr>
              <w:jc w:val="center"/>
              <w:rPr>
                <w:b/>
              </w:rPr>
            </w:pPr>
            <w:r w:rsidRPr="00E65E77">
              <w:rPr>
                <w:b/>
              </w:rPr>
              <w:t>Low-Income Housing Tax Credit (HTC) Requirement</w:t>
            </w:r>
            <w:r w:rsidR="00950F91">
              <w:rPr>
                <w:b/>
              </w:rPr>
              <w:t>s</w:t>
            </w:r>
          </w:p>
        </w:tc>
        <w:tc>
          <w:tcPr>
            <w:tcW w:w="3495" w:type="dxa"/>
            <w:shd w:val="clear" w:color="auto" w:fill="2E74B5" w:themeFill="accent1" w:themeFillShade="BF"/>
          </w:tcPr>
          <w:p w14:paraId="546902D5" w14:textId="77777777" w:rsidR="00BE0BEA" w:rsidRPr="00E65E77" w:rsidRDefault="00F51588" w:rsidP="000D7C8C">
            <w:pPr>
              <w:jc w:val="center"/>
              <w:rPr>
                <w:b/>
              </w:rPr>
            </w:pPr>
            <w:r>
              <w:rPr>
                <w:b/>
              </w:rPr>
              <w:t>Impact of</w:t>
            </w:r>
            <w:r w:rsidR="00BE0BEA">
              <w:rPr>
                <w:b/>
              </w:rPr>
              <w:t xml:space="preserve"> Section 811 PRA units in HTC P</w:t>
            </w:r>
            <w:r w:rsidR="002C02B6">
              <w:rPr>
                <w:b/>
              </w:rPr>
              <w:t>roperties</w:t>
            </w:r>
          </w:p>
        </w:tc>
      </w:tr>
      <w:tr w:rsidR="00EC08E8" w:rsidRPr="00E65E77" w14:paraId="6349ED09" w14:textId="77777777" w:rsidTr="00B0215B">
        <w:tc>
          <w:tcPr>
            <w:tcW w:w="12950" w:type="dxa"/>
            <w:gridSpan w:val="4"/>
            <w:shd w:val="clear" w:color="auto" w:fill="DEEAF6" w:themeFill="accent1" w:themeFillTint="33"/>
          </w:tcPr>
          <w:p w14:paraId="6C71C2C5" w14:textId="77777777" w:rsidR="00EC08E8" w:rsidRPr="00ED191B" w:rsidRDefault="00EC08E8" w:rsidP="001F799C">
            <w:pPr>
              <w:spacing w:after="160" w:line="259" w:lineRule="auto"/>
              <w:rPr>
                <w:rFonts w:eastAsia="Times New Roman" w:cs="Arial"/>
                <w:b/>
              </w:rPr>
            </w:pPr>
            <w:r w:rsidRPr="00ED191B">
              <w:rPr>
                <w:rFonts w:eastAsia="Times New Roman" w:cs="Arial"/>
                <w:b/>
              </w:rPr>
              <w:t xml:space="preserve">Property Should </w:t>
            </w:r>
            <w:r w:rsidRPr="00ED191B">
              <w:rPr>
                <w:rFonts w:eastAsia="Times New Roman" w:cs="Arial"/>
                <w:b/>
                <w:shd w:val="clear" w:color="auto" w:fill="DEEAF6" w:themeFill="accent1" w:themeFillTint="33"/>
              </w:rPr>
              <w:t>Follow Section 811 PRA Rules</w:t>
            </w:r>
          </w:p>
        </w:tc>
      </w:tr>
      <w:tr w:rsidR="00B619CA" w:rsidRPr="00E65E77" w14:paraId="505BEB24" w14:textId="77777777" w:rsidTr="00B0215B">
        <w:trPr>
          <w:trHeight w:val="1439"/>
        </w:trPr>
        <w:tc>
          <w:tcPr>
            <w:tcW w:w="1643" w:type="dxa"/>
            <w:shd w:val="clear" w:color="auto" w:fill="FFFFFF" w:themeFill="background1"/>
          </w:tcPr>
          <w:p w14:paraId="26175AA6" w14:textId="77777777" w:rsidR="00B619CA" w:rsidRPr="007463B4" w:rsidRDefault="00B619CA" w:rsidP="00B619CA">
            <w:pPr>
              <w:pStyle w:val="NoSpacing"/>
              <w:rPr>
                <w:b/>
                <w:sz w:val="22"/>
                <w:shd w:val="clear" w:color="auto" w:fill="FFFFFF"/>
              </w:rPr>
            </w:pPr>
            <w:r w:rsidRPr="007463B4">
              <w:rPr>
                <w:b/>
                <w:sz w:val="22"/>
                <w:shd w:val="clear" w:color="auto" w:fill="FFFFFF"/>
              </w:rPr>
              <w:t>Student Status of Resident</w:t>
            </w:r>
          </w:p>
        </w:tc>
        <w:tc>
          <w:tcPr>
            <w:tcW w:w="3954" w:type="dxa"/>
            <w:shd w:val="clear" w:color="auto" w:fill="FFFFFF" w:themeFill="background1"/>
          </w:tcPr>
          <w:p w14:paraId="68FD46C1" w14:textId="77777777" w:rsidR="00B619CA" w:rsidRPr="00A76E02" w:rsidRDefault="00B619CA" w:rsidP="00D836BA">
            <w:pPr>
              <w:spacing w:after="160" w:line="259" w:lineRule="auto"/>
              <w:rPr>
                <w:rFonts w:cs="Arial"/>
              </w:rPr>
            </w:pPr>
            <w:r>
              <w:rPr>
                <w:rFonts w:cs="Arial"/>
              </w:rPr>
              <w:t>Allows full-time students, but the student must prove independence from parents in order for the PRA program to not consider the income of parents.</w:t>
            </w:r>
          </w:p>
        </w:tc>
        <w:tc>
          <w:tcPr>
            <w:tcW w:w="3858" w:type="dxa"/>
            <w:shd w:val="clear" w:color="auto" w:fill="FFFFFF" w:themeFill="background1"/>
          </w:tcPr>
          <w:p w14:paraId="579039A5" w14:textId="77777777" w:rsidR="00B619CA" w:rsidRPr="00A76E02" w:rsidRDefault="00B619CA" w:rsidP="00B619CA">
            <w:pPr>
              <w:spacing w:after="160" w:line="259" w:lineRule="auto"/>
              <w:rPr>
                <w:rFonts w:eastAsia="Times New Roman" w:cs="Arial"/>
              </w:rPr>
            </w:pPr>
            <w:r>
              <w:rPr>
                <w:rFonts w:eastAsia="Times New Roman" w:cs="Arial"/>
              </w:rPr>
              <w:t xml:space="preserve">Does not allow a household made up entirely of full-time students, unless the household meets certain exceptions. </w:t>
            </w:r>
          </w:p>
        </w:tc>
        <w:tc>
          <w:tcPr>
            <w:tcW w:w="3495" w:type="dxa"/>
            <w:shd w:val="clear" w:color="auto" w:fill="FFFFFF" w:themeFill="background1"/>
          </w:tcPr>
          <w:p w14:paraId="53005F7C" w14:textId="77777777" w:rsidR="00B619CA" w:rsidRDefault="00B619CA" w:rsidP="00B619CA">
            <w:pPr>
              <w:spacing w:after="160" w:line="259" w:lineRule="auto"/>
              <w:rPr>
                <w:rFonts w:eastAsia="Times New Roman" w:cs="Arial"/>
              </w:rPr>
            </w:pPr>
            <w:r>
              <w:rPr>
                <w:rFonts w:eastAsia="Times New Roman" w:cs="Arial"/>
              </w:rPr>
              <w:t>Cannot evict a Section 811 PRA tenant based on LIHTC student requirements, but the 811 tenant must prove independence from parents.</w:t>
            </w:r>
          </w:p>
        </w:tc>
      </w:tr>
      <w:tr w:rsidR="00871483" w:rsidRPr="00E65E77" w14:paraId="748C439A" w14:textId="77777777" w:rsidTr="00B0215B">
        <w:tc>
          <w:tcPr>
            <w:tcW w:w="1643" w:type="dxa"/>
            <w:shd w:val="clear" w:color="auto" w:fill="FFFFFF" w:themeFill="background1"/>
          </w:tcPr>
          <w:p w14:paraId="7158AEC6" w14:textId="77777777" w:rsidR="00871483" w:rsidRPr="007463B4" w:rsidRDefault="00871483" w:rsidP="00871483">
            <w:pPr>
              <w:spacing w:after="160" w:line="259" w:lineRule="auto"/>
              <w:rPr>
                <w:rFonts w:eastAsia="Times New Roman" w:cs="Arial"/>
                <w:b/>
                <w:shd w:val="clear" w:color="auto" w:fill="FFFFFF"/>
              </w:rPr>
            </w:pPr>
            <w:r w:rsidRPr="007463B4">
              <w:rPr>
                <w:rFonts w:eastAsia="Times New Roman" w:cs="Arial"/>
                <w:b/>
                <w:shd w:val="clear" w:color="auto" w:fill="FFFFFF"/>
              </w:rPr>
              <w:t>SSN</w:t>
            </w:r>
          </w:p>
        </w:tc>
        <w:tc>
          <w:tcPr>
            <w:tcW w:w="3954" w:type="dxa"/>
            <w:shd w:val="clear" w:color="auto" w:fill="FFFFFF" w:themeFill="background1"/>
          </w:tcPr>
          <w:p w14:paraId="7235D4F1" w14:textId="77777777" w:rsidR="00871483" w:rsidRPr="00F15A67" w:rsidRDefault="00871483" w:rsidP="00871483">
            <w:pPr>
              <w:autoSpaceDE w:val="0"/>
              <w:autoSpaceDN w:val="0"/>
              <w:adjustRightInd w:val="0"/>
              <w:rPr>
                <w:rFonts w:cs="Arial"/>
                <w:bCs/>
              </w:rPr>
            </w:pPr>
            <w:r>
              <w:rPr>
                <w:rFonts w:cs="Arial"/>
                <w:bCs/>
              </w:rPr>
              <w:t xml:space="preserve">Applicants and tenants must disclose SSNs for all household members.  Individuals who do not contend eligible immigration status must sign a certification that will be used to support the individual not being subject to disclose an SSN. </w:t>
            </w:r>
          </w:p>
          <w:p w14:paraId="16371ADD" w14:textId="77777777" w:rsidR="00871483" w:rsidRPr="00E65E77" w:rsidRDefault="00871483" w:rsidP="00871483">
            <w:pPr>
              <w:autoSpaceDE w:val="0"/>
              <w:autoSpaceDN w:val="0"/>
              <w:adjustRightInd w:val="0"/>
              <w:rPr>
                <w:rFonts w:cs="Arial"/>
                <w:u w:val="single"/>
              </w:rPr>
            </w:pPr>
          </w:p>
        </w:tc>
        <w:tc>
          <w:tcPr>
            <w:tcW w:w="3858" w:type="dxa"/>
            <w:shd w:val="clear" w:color="auto" w:fill="FFFFFF" w:themeFill="background1"/>
          </w:tcPr>
          <w:p w14:paraId="5B0E46C2" w14:textId="77777777" w:rsidR="00871483" w:rsidRPr="00E65E77" w:rsidRDefault="00871483" w:rsidP="00871483">
            <w:pPr>
              <w:spacing w:after="160" w:line="259" w:lineRule="auto"/>
              <w:rPr>
                <w:rFonts w:eastAsia="Times New Roman" w:cs="Arial"/>
              </w:rPr>
            </w:pPr>
            <w:r w:rsidRPr="00E65E77">
              <w:rPr>
                <w:rFonts w:eastAsia="Times New Roman" w:cs="Arial"/>
              </w:rPr>
              <w:t xml:space="preserve">No Requirements regarding SSN </w:t>
            </w:r>
          </w:p>
        </w:tc>
        <w:tc>
          <w:tcPr>
            <w:tcW w:w="3495" w:type="dxa"/>
            <w:shd w:val="clear" w:color="auto" w:fill="FFFFFF" w:themeFill="background1"/>
          </w:tcPr>
          <w:p w14:paraId="4DBD5C57" w14:textId="0D9BD1C7" w:rsidR="00871483" w:rsidRPr="00E65E77" w:rsidRDefault="00871483" w:rsidP="00871483">
            <w:pPr>
              <w:spacing w:after="160" w:line="259" w:lineRule="auto"/>
              <w:rPr>
                <w:rFonts w:eastAsia="Times New Roman" w:cs="Arial"/>
              </w:rPr>
            </w:pPr>
            <w:r>
              <w:rPr>
                <w:rFonts w:eastAsia="Times New Roman" w:cs="Arial"/>
              </w:rPr>
              <w:t xml:space="preserve">All Section 811 PRA tenants must disclose SSNs or </w:t>
            </w:r>
            <w:r w:rsidR="008933AB">
              <w:rPr>
                <w:rFonts w:eastAsia="Times New Roman" w:cs="Arial"/>
              </w:rPr>
              <w:t>certify</w:t>
            </w:r>
            <w:r>
              <w:rPr>
                <w:rFonts w:eastAsia="Times New Roman" w:cs="Arial"/>
              </w:rPr>
              <w:t xml:space="preserve"> that the household is not subject to disclosure.</w:t>
            </w:r>
          </w:p>
        </w:tc>
      </w:tr>
      <w:tr w:rsidR="00871483" w:rsidRPr="00E65E77" w14:paraId="5D4A25E8" w14:textId="77777777" w:rsidTr="00B0215B">
        <w:tc>
          <w:tcPr>
            <w:tcW w:w="1643" w:type="dxa"/>
            <w:shd w:val="clear" w:color="auto" w:fill="FFFFFF" w:themeFill="background1"/>
          </w:tcPr>
          <w:p w14:paraId="440A6E85" w14:textId="77777777" w:rsidR="00871483" w:rsidRPr="007463B4" w:rsidRDefault="00871483" w:rsidP="00871483">
            <w:pPr>
              <w:rPr>
                <w:rFonts w:eastAsia="Times New Roman" w:cs="Arial"/>
                <w:b/>
                <w:shd w:val="clear" w:color="auto" w:fill="FFFFFF"/>
              </w:rPr>
            </w:pPr>
            <w:r w:rsidRPr="007463B4">
              <w:rPr>
                <w:rFonts w:eastAsia="Times New Roman" w:cs="Arial"/>
                <w:b/>
                <w:shd w:val="clear" w:color="auto" w:fill="FFFFFF"/>
              </w:rPr>
              <w:t xml:space="preserve">Income Eligibility </w:t>
            </w:r>
          </w:p>
          <w:p w14:paraId="5F3EBCA8" w14:textId="77777777" w:rsidR="008933AB" w:rsidRPr="007463B4" w:rsidRDefault="008933AB" w:rsidP="00871483">
            <w:pPr>
              <w:rPr>
                <w:rFonts w:eastAsia="Times New Roman" w:cs="Arial"/>
                <w:b/>
                <w:shd w:val="clear" w:color="auto" w:fill="FFFFFF"/>
              </w:rPr>
            </w:pPr>
            <w:r w:rsidRPr="007463B4">
              <w:rPr>
                <w:rFonts w:eastAsia="Times New Roman" w:cs="Arial"/>
                <w:b/>
                <w:shd w:val="clear" w:color="auto" w:fill="FFFFFF"/>
              </w:rPr>
              <w:t>(Initial)</w:t>
            </w:r>
          </w:p>
        </w:tc>
        <w:tc>
          <w:tcPr>
            <w:tcW w:w="3954" w:type="dxa"/>
            <w:shd w:val="clear" w:color="auto" w:fill="FFFFFF" w:themeFill="background1"/>
          </w:tcPr>
          <w:p w14:paraId="04D858CB" w14:textId="77777777" w:rsidR="00871483" w:rsidRPr="00731DA3" w:rsidRDefault="00871483" w:rsidP="00871483">
            <w:r>
              <w:t>Must use the HUD definition of a household at or below 30% AMI with adjustments for smaller and larger families.</w:t>
            </w:r>
          </w:p>
          <w:p w14:paraId="7AD31C77" w14:textId="77777777" w:rsidR="00871483" w:rsidRPr="005D53AD" w:rsidRDefault="00871483" w:rsidP="00871483"/>
        </w:tc>
        <w:tc>
          <w:tcPr>
            <w:tcW w:w="3858" w:type="dxa"/>
            <w:shd w:val="clear" w:color="auto" w:fill="FFFFFF" w:themeFill="background1"/>
          </w:tcPr>
          <w:p w14:paraId="0FF7EE54" w14:textId="77777777" w:rsidR="00871483" w:rsidRPr="00E65E77" w:rsidRDefault="00871483" w:rsidP="00871483">
            <w:pPr>
              <w:ind w:left="-18" w:firstLine="18"/>
              <w:rPr>
                <w:rFonts w:eastAsia="Times New Roman" w:cs="Arial"/>
              </w:rPr>
            </w:pPr>
            <w:r>
              <w:rPr>
                <w:rFonts w:eastAsia="Times New Roman" w:cs="Times New Roman"/>
                <w:bCs/>
                <w:shd w:val="clear" w:color="auto" w:fill="FFFFFF"/>
              </w:rPr>
              <w:t>IRS requires either 20% or more of the units are targeted to at or below 50% AMI or 40% or more are targeted to at or below 60% AMI.</w:t>
            </w:r>
          </w:p>
        </w:tc>
        <w:tc>
          <w:tcPr>
            <w:tcW w:w="3495" w:type="dxa"/>
            <w:shd w:val="clear" w:color="auto" w:fill="FFFFFF" w:themeFill="background1"/>
          </w:tcPr>
          <w:p w14:paraId="357ED1FA" w14:textId="7AB03EEF" w:rsidR="00871483" w:rsidRDefault="00871483" w:rsidP="00871483">
            <w:pPr>
              <w:ind w:left="-18" w:firstLine="18"/>
              <w:rPr>
                <w:rFonts w:eastAsia="Times New Roman" w:cs="Times New Roman"/>
                <w:bCs/>
                <w:shd w:val="clear" w:color="auto" w:fill="FFFFFF"/>
              </w:rPr>
            </w:pPr>
            <w:r>
              <w:rPr>
                <w:rFonts w:eastAsia="Times New Roman" w:cs="Times New Roman"/>
                <w:bCs/>
                <w:shd w:val="clear" w:color="auto" w:fill="FFFFFF"/>
              </w:rPr>
              <w:t>All Section 811 PRA tenants must be at or below 30% AMI</w:t>
            </w:r>
            <w:r w:rsidR="007178FB">
              <w:rPr>
                <w:rFonts w:eastAsia="Times New Roman" w:cs="Times New Roman"/>
                <w:bCs/>
                <w:shd w:val="clear" w:color="auto" w:fill="FFFFFF"/>
              </w:rPr>
              <w:t xml:space="preserve"> at initial occupancy</w:t>
            </w:r>
          </w:p>
        </w:tc>
      </w:tr>
      <w:tr w:rsidR="00C72DE9" w:rsidRPr="00E65E77" w14:paraId="6D55893B" w14:textId="77777777" w:rsidTr="00B0215B">
        <w:tc>
          <w:tcPr>
            <w:tcW w:w="1643" w:type="dxa"/>
            <w:shd w:val="clear" w:color="auto" w:fill="FFFFFF" w:themeFill="background1"/>
          </w:tcPr>
          <w:p w14:paraId="009D1711" w14:textId="77777777" w:rsidR="00C72DE9" w:rsidRPr="007463B4" w:rsidRDefault="00C72DE9" w:rsidP="00C72DE9">
            <w:pPr>
              <w:rPr>
                <w:rFonts w:eastAsia="Times New Roman" w:cs="Arial"/>
                <w:b/>
                <w:shd w:val="clear" w:color="auto" w:fill="FFFFFF"/>
              </w:rPr>
            </w:pPr>
            <w:r w:rsidRPr="007463B4">
              <w:rPr>
                <w:rFonts w:eastAsia="Times New Roman" w:cs="Arial"/>
                <w:b/>
                <w:shd w:val="clear" w:color="auto" w:fill="FFFFFF"/>
              </w:rPr>
              <w:t>Occupancy Standards</w:t>
            </w:r>
          </w:p>
        </w:tc>
        <w:tc>
          <w:tcPr>
            <w:tcW w:w="3954" w:type="dxa"/>
            <w:shd w:val="clear" w:color="auto" w:fill="FFFFFF" w:themeFill="background1"/>
          </w:tcPr>
          <w:p w14:paraId="258A9C3A" w14:textId="124D2A73" w:rsidR="00C72DE9" w:rsidRPr="00E65E77" w:rsidRDefault="008933AB" w:rsidP="008933AB">
            <w:r>
              <w:t>HA</w:t>
            </w:r>
            <w:r w:rsidR="00C72DE9">
              <w:t xml:space="preserve"> must create </w:t>
            </w:r>
            <w:r>
              <w:t>o</w:t>
            </w:r>
            <w:r w:rsidR="00C72DE9">
              <w:t xml:space="preserve">ccupancy </w:t>
            </w:r>
            <w:r>
              <w:t>s</w:t>
            </w:r>
            <w:r w:rsidR="00C72DE9">
              <w:t xml:space="preserve">tandards for the Section 811 PRA Program.  </w:t>
            </w:r>
          </w:p>
        </w:tc>
        <w:tc>
          <w:tcPr>
            <w:tcW w:w="3858" w:type="dxa"/>
            <w:shd w:val="clear" w:color="auto" w:fill="FFFFFF" w:themeFill="background1"/>
          </w:tcPr>
          <w:p w14:paraId="519827A0" w14:textId="77777777" w:rsidR="00C72DE9" w:rsidRPr="00E65E77" w:rsidRDefault="00C72DE9" w:rsidP="00C72DE9">
            <w:pPr>
              <w:shd w:val="clear" w:color="auto" w:fill="FFFFFF"/>
              <w:spacing w:before="100" w:beforeAutospacing="1" w:after="100" w:afterAutospacing="1" w:line="324" w:lineRule="atLeast"/>
            </w:pPr>
            <w:r>
              <w:t>No occupancy standards</w:t>
            </w:r>
          </w:p>
        </w:tc>
        <w:tc>
          <w:tcPr>
            <w:tcW w:w="3495" w:type="dxa"/>
            <w:shd w:val="clear" w:color="auto" w:fill="FFFFFF" w:themeFill="background1"/>
          </w:tcPr>
          <w:p w14:paraId="55350033" w14:textId="11C0AB08" w:rsidR="00C72DE9" w:rsidRDefault="00C72DE9" w:rsidP="008933AB">
            <w:pPr>
              <w:shd w:val="clear" w:color="auto" w:fill="FFFFFF"/>
              <w:spacing w:before="100" w:beforeAutospacing="1" w:after="100" w:afterAutospacing="1" w:line="324" w:lineRule="atLeast"/>
            </w:pPr>
            <w:r>
              <w:t xml:space="preserve">The owner must follow the </w:t>
            </w:r>
            <w:r w:rsidR="008933AB">
              <w:t>o</w:t>
            </w:r>
            <w:r>
              <w:t xml:space="preserve">ccupancy standards for Section 811 PRA units as set by the </w:t>
            </w:r>
            <w:r w:rsidR="008933AB">
              <w:t>HA</w:t>
            </w:r>
            <w:r>
              <w:t>.</w:t>
            </w:r>
          </w:p>
        </w:tc>
      </w:tr>
      <w:tr w:rsidR="00C72DE9" w:rsidRPr="00E65E77" w14:paraId="1C106D31" w14:textId="77777777" w:rsidTr="00B0215B">
        <w:tc>
          <w:tcPr>
            <w:tcW w:w="1643" w:type="dxa"/>
            <w:shd w:val="clear" w:color="auto" w:fill="FFFFFF" w:themeFill="background1"/>
          </w:tcPr>
          <w:p w14:paraId="057E7B12" w14:textId="77777777" w:rsidR="00C72DE9" w:rsidRPr="007463B4" w:rsidRDefault="00C72DE9" w:rsidP="00C72DE9">
            <w:pPr>
              <w:rPr>
                <w:rFonts w:eastAsia="Times New Roman" w:cs="Arial"/>
                <w:b/>
                <w:shd w:val="clear" w:color="auto" w:fill="FFFFFF"/>
              </w:rPr>
            </w:pPr>
            <w:r w:rsidRPr="007463B4">
              <w:rPr>
                <w:rFonts w:eastAsia="Times New Roman" w:cs="Arial"/>
                <w:b/>
                <w:shd w:val="clear" w:color="auto" w:fill="FFFFFF"/>
              </w:rPr>
              <w:t>Section 504</w:t>
            </w:r>
          </w:p>
        </w:tc>
        <w:tc>
          <w:tcPr>
            <w:tcW w:w="3954" w:type="dxa"/>
            <w:shd w:val="clear" w:color="auto" w:fill="FFFFFF" w:themeFill="background1"/>
          </w:tcPr>
          <w:p w14:paraId="604424E6" w14:textId="276E0E60" w:rsidR="00C72DE9" w:rsidRPr="00E65E77" w:rsidRDefault="008933AB" w:rsidP="00C72DE9">
            <w:pPr>
              <w:pStyle w:val="NormalWeb"/>
              <w:shd w:val="clear" w:color="auto" w:fill="FFFFFF"/>
              <w:spacing w:before="0" w:beforeAutospacing="0" w:after="150" w:afterAutospacing="0" w:line="300" w:lineRule="atLeast"/>
              <w:rPr>
                <w:rFonts w:asciiTheme="minorHAnsi" w:hAnsiTheme="minorHAnsi" w:cs="Arial"/>
                <w:szCs w:val="22"/>
              </w:rPr>
            </w:pPr>
            <w:r>
              <w:rPr>
                <w:rFonts w:asciiTheme="minorHAnsi" w:hAnsiTheme="minorHAnsi" w:cs="Arial"/>
                <w:szCs w:val="22"/>
              </w:rPr>
              <w:t>HA</w:t>
            </w:r>
            <w:r w:rsidR="00C72DE9">
              <w:rPr>
                <w:rFonts w:asciiTheme="minorHAnsi" w:hAnsiTheme="minorHAnsi" w:cs="Arial"/>
                <w:szCs w:val="22"/>
              </w:rPr>
              <w:t xml:space="preserve">s and owners are subject to </w:t>
            </w:r>
            <w:r>
              <w:rPr>
                <w:rFonts w:asciiTheme="minorHAnsi" w:hAnsiTheme="minorHAnsi" w:cs="Arial"/>
                <w:szCs w:val="22"/>
              </w:rPr>
              <w:t xml:space="preserve">Section </w:t>
            </w:r>
            <w:r w:rsidR="00C72DE9">
              <w:rPr>
                <w:rFonts w:asciiTheme="minorHAnsi" w:hAnsiTheme="minorHAnsi" w:cs="Arial"/>
                <w:szCs w:val="22"/>
              </w:rPr>
              <w:t xml:space="preserve">504.  The entire property/development is subject to 504 requirements once participating in the Section 811 PRA Program, including tenants/units not under the 811 program.  This includes reasonable accommodation </w:t>
            </w:r>
            <w:r w:rsidR="00C72DE9">
              <w:rPr>
                <w:rFonts w:asciiTheme="minorHAnsi" w:hAnsiTheme="minorHAnsi" w:cs="Arial"/>
                <w:szCs w:val="22"/>
              </w:rPr>
              <w:lastRenderedPageBreak/>
              <w:t xml:space="preserve">requirements, </w:t>
            </w:r>
            <w:r w:rsidR="00C72DE9" w:rsidRPr="00E65E77">
              <w:rPr>
                <w:rFonts w:asciiTheme="minorHAnsi" w:hAnsiTheme="minorHAnsi" w:cs="Arial"/>
                <w:szCs w:val="22"/>
              </w:rPr>
              <w:t xml:space="preserve">effective communication obligations, and ensuring program accessibility for individuals with disabilities. </w:t>
            </w:r>
          </w:p>
          <w:p w14:paraId="314870B6" w14:textId="77777777" w:rsidR="00C72DE9" w:rsidRPr="00E65E77" w:rsidRDefault="00C72DE9" w:rsidP="00C72DE9">
            <w:pPr>
              <w:autoSpaceDE w:val="0"/>
              <w:autoSpaceDN w:val="0"/>
              <w:adjustRightInd w:val="0"/>
            </w:pPr>
          </w:p>
        </w:tc>
        <w:tc>
          <w:tcPr>
            <w:tcW w:w="3858" w:type="dxa"/>
            <w:shd w:val="clear" w:color="auto" w:fill="FFFFFF" w:themeFill="background1"/>
          </w:tcPr>
          <w:p w14:paraId="4318B1D6" w14:textId="77777777" w:rsidR="00C72DE9" w:rsidRPr="00E65E77" w:rsidRDefault="00C72DE9" w:rsidP="00C72DE9">
            <w:pPr>
              <w:shd w:val="clear" w:color="auto" w:fill="FFFFFF"/>
              <w:spacing w:before="100" w:beforeAutospacing="1" w:after="100" w:afterAutospacing="1" w:line="324" w:lineRule="atLeast"/>
            </w:pPr>
            <w:r w:rsidRPr="00E65E77">
              <w:lastRenderedPageBreak/>
              <w:t>The HTC program is not considered “federal financial assistance” and theref</w:t>
            </w:r>
            <w:r>
              <w:t xml:space="preserve">ore not subject to Section 504. </w:t>
            </w:r>
          </w:p>
        </w:tc>
        <w:tc>
          <w:tcPr>
            <w:tcW w:w="3495" w:type="dxa"/>
            <w:shd w:val="clear" w:color="auto" w:fill="FFFFFF" w:themeFill="background1"/>
          </w:tcPr>
          <w:p w14:paraId="256B2FAB" w14:textId="442A42C1" w:rsidR="00C72DE9" w:rsidRPr="00E65E77" w:rsidRDefault="00C72DE9" w:rsidP="00C72DE9">
            <w:pPr>
              <w:shd w:val="clear" w:color="auto" w:fill="FFFFFF"/>
              <w:spacing w:before="100" w:beforeAutospacing="1" w:after="100" w:afterAutospacing="1" w:line="324" w:lineRule="atLeast"/>
            </w:pPr>
            <w:r>
              <w:t xml:space="preserve">The entire property and the </w:t>
            </w:r>
            <w:r w:rsidR="008933AB">
              <w:t>HA</w:t>
            </w:r>
            <w:r>
              <w:t xml:space="preserve"> are subject to 504.</w:t>
            </w:r>
          </w:p>
        </w:tc>
      </w:tr>
      <w:tr w:rsidR="00C72DE9" w:rsidRPr="00E65E77" w14:paraId="7D0C60DA" w14:textId="77777777" w:rsidTr="00B0215B">
        <w:tc>
          <w:tcPr>
            <w:tcW w:w="1643" w:type="dxa"/>
            <w:shd w:val="clear" w:color="auto" w:fill="FFFFFF" w:themeFill="background1"/>
          </w:tcPr>
          <w:p w14:paraId="3D39C1E0" w14:textId="77777777" w:rsidR="00C72DE9" w:rsidRPr="007463B4" w:rsidRDefault="00C72DE9" w:rsidP="00C72DE9">
            <w:pPr>
              <w:rPr>
                <w:rFonts w:eastAsia="Times New Roman" w:cs="Arial"/>
                <w:b/>
                <w:shd w:val="clear" w:color="auto" w:fill="FFFFFF"/>
              </w:rPr>
            </w:pPr>
            <w:r w:rsidRPr="007463B4">
              <w:rPr>
                <w:rFonts w:eastAsia="Times New Roman" w:cs="Arial"/>
                <w:b/>
                <w:shd w:val="clear" w:color="auto" w:fill="FFFFFF"/>
              </w:rPr>
              <w:t>Fees</w:t>
            </w:r>
          </w:p>
        </w:tc>
        <w:tc>
          <w:tcPr>
            <w:tcW w:w="3954" w:type="dxa"/>
            <w:shd w:val="clear" w:color="auto" w:fill="FFFFFF" w:themeFill="background1"/>
          </w:tcPr>
          <w:p w14:paraId="6BCF7661" w14:textId="77777777" w:rsidR="00C72DE9" w:rsidRPr="009E7E7C" w:rsidRDefault="00C72DE9" w:rsidP="00C72DE9">
            <w:pPr>
              <w:autoSpaceDE w:val="0"/>
              <w:autoSpaceDN w:val="0"/>
              <w:adjustRightInd w:val="0"/>
              <w:rPr>
                <w:rFonts w:cs="Arial"/>
                <w:bCs/>
              </w:rPr>
            </w:pPr>
            <w:r>
              <w:rPr>
                <w:rFonts w:cs="Arial"/>
                <w:bCs/>
              </w:rPr>
              <w:t>Owners cannot charge application fees or fees for late payment of rent.  Owners may charge security deposit and refundable pet deposit (not applicable to service animals) at limits allowed by the PRA program, and other misc. charges allowed in 4350.3 Paragraph 6-25.</w:t>
            </w:r>
          </w:p>
          <w:p w14:paraId="10FD566F" w14:textId="77777777" w:rsidR="00C72DE9" w:rsidRPr="00E65E77" w:rsidRDefault="00C72DE9" w:rsidP="00C72DE9">
            <w:pPr>
              <w:autoSpaceDE w:val="0"/>
              <w:autoSpaceDN w:val="0"/>
              <w:adjustRightInd w:val="0"/>
              <w:rPr>
                <w:rFonts w:cs="Arial"/>
              </w:rPr>
            </w:pPr>
          </w:p>
        </w:tc>
        <w:tc>
          <w:tcPr>
            <w:tcW w:w="3858" w:type="dxa"/>
            <w:shd w:val="clear" w:color="auto" w:fill="FFFFFF" w:themeFill="background1"/>
          </w:tcPr>
          <w:p w14:paraId="61E9A914" w14:textId="77777777" w:rsidR="00C72DE9" w:rsidRPr="00D60B39" w:rsidRDefault="00C72DE9" w:rsidP="00C72DE9">
            <w:pPr>
              <w:pStyle w:val="Heading4"/>
              <w:shd w:val="clear" w:color="auto" w:fill="FFFFFF"/>
              <w:spacing w:before="0" w:line="240" w:lineRule="atLeast"/>
              <w:textAlignment w:val="baseline"/>
              <w:outlineLvl w:val="3"/>
              <w:rPr>
                <w:rFonts w:asciiTheme="minorHAnsi" w:hAnsiTheme="minorHAnsi" w:cs="Arial"/>
                <w:i w:val="0"/>
                <w:color w:val="auto"/>
              </w:rPr>
            </w:pPr>
            <w:r>
              <w:rPr>
                <w:rFonts w:asciiTheme="minorHAnsi" w:hAnsiTheme="minorHAnsi" w:cs="Arial"/>
                <w:i w:val="0"/>
                <w:color w:val="auto"/>
              </w:rPr>
              <w:t>The owner can charge application fees to cover the costs associated with the application; optional fees (not a condition of occupancy) such as storage fees and pet fees; and a security deposit.</w:t>
            </w:r>
          </w:p>
          <w:p w14:paraId="5C084C6A" w14:textId="77777777" w:rsidR="00C72DE9" w:rsidRPr="00E65E77" w:rsidRDefault="00C72DE9" w:rsidP="00C72DE9">
            <w:pPr>
              <w:pStyle w:val="NormalWeb"/>
              <w:shd w:val="clear" w:color="auto" w:fill="FFFFFF"/>
              <w:spacing w:before="0" w:beforeAutospacing="0" w:after="0" w:afterAutospacing="0" w:line="240" w:lineRule="atLeast"/>
              <w:textAlignment w:val="baseline"/>
              <w:rPr>
                <w:rFonts w:asciiTheme="minorHAnsi" w:hAnsiTheme="minorHAnsi" w:cs="Arial"/>
                <w:szCs w:val="22"/>
              </w:rPr>
            </w:pPr>
          </w:p>
          <w:p w14:paraId="45686AC7" w14:textId="77777777" w:rsidR="00C72DE9" w:rsidRPr="00E65E77" w:rsidRDefault="00C72DE9" w:rsidP="00C72DE9">
            <w:pPr>
              <w:shd w:val="clear" w:color="auto" w:fill="FFFFFF"/>
              <w:spacing w:before="100" w:beforeAutospacing="1" w:after="100" w:afterAutospacing="1" w:line="324" w:lineRule="atLeast"/>
            </w:pPr>
          </w:p>
        </w:tc>
        <w:tc>
          <w:tcPr>
            <w:tcW w:w="3495" w:type="dxa"/>
            <w:shd w:val="clear" w:color="auto" w:fill="FFFFFF" w:themeFill="background1"/>
          </w:tcPr>
          <w:p w14:paraId="51D54030" w14:textId="77777777" w:rsidR="00C72DE9" w:rsidRDefault="00C72DE9" w:rsidP="00C72DE9">
            <w:pPr>
              <w:pStyle w:val="Heading4"/>
              <w:shd w:val="clear" w:color="auto" w:fill="FFFFFF"/>
              <w:spacing w:before="0" w:line="240" w:lineRule="atLeast"/>
              <w:textAlignment w:val="baseline"/>
              <w:outlineLvl w:val="3"/>
              <w:rPr>
                <w:rFonts w:asciiTheme="minorHAnsi" w:hAnsiTheme="minorHAnsi" w:cs="Arial"/>
                <w:i w:val="0"/>
                <w:color w:val="auto"/>
              </w:rPr>
            </w:pPr>
            <w:r>
              <w:rPr>
                <w:rFonts w:asciiTheme="minorHAnsi" w:hAnsiTheme="minorHAnsi" w:cs="Arial"/>
                <w:i w:val="0"/>
                <w:color w:val="auto"/>
              </w:rPr>
              <w:t>The owner cannot charge application fees or fees for late payment of rent for Section 811 PRA tenants. Owners may charge a security deposit or the fees as allowed by the</w:t>
            </w:r>
            <w:r w:rsidR="0029231B">
              <w:rPr>
                <w:rFonts w:asciiTheme="minorHAnsi" w:hAnsiTheme="minorHAnsi" w:cs="Arial"/>
                <w:i w:val="0"/>
                <w:color w:val="auto"/>
              </w:rPr>
              <w:t xml:space="preserve"> 811</w:t>
            </w:r>
            <w:r>
              <w:rPr>
                <w:rFonts w:asciiTheme="minorHAnsi" w:hAnsiTheme="minorHAnsi" w:cs="Arial"/>
                <w:i w:val="0"/>
                <w:color w:val="auto"/>
              </w:rPr>
              <w:t xml:space="preserve"> program.</w:t>
            </w:r>
          </w:p>
        </w:tc>
      </w:tr>
      <w:tr w:rsidR="00D94007" w:rsidRPr="00E65E77" w14:paraId="5A62BCC9" w14:textId="77777777" w:rsidTr="00B0215B">
        <w:tc>
          <w:tcPr>
            <w:tcW w:w="1643" w:type="dxa"/>
            <w:shd w:val="clear" w:color="auto" w:fill="FFFFFF" w:themeFill="background1"/>
          </w:tcPr>
          <w:p w14:paraId="5EEC8F38" w14:textId="77777777" w:rsidR="00D94007" w:rsidRPr="007463B4" w:rsidRDefault="00D94007" w:rsidP="00D94007">
            <w:pPr>
              <w:rPr>
                <w:rFonts w:eastAsia="Times New Roman" w:cs="Arial"/>
                <w:b/>
                <w:shd w:val="clear" w:color="auto" w:fill="FFFFFF"/>
              </w:rPr>
            </w:pPr>
            <w:r w:rsidRPr="007463B4">
              <w:rPr>
                <w:rFonts w:eastAsia="Times New Roman" w:cs="Arial"/>
                <w:b/>
                <w:shd w:val="clear" w:color="auto" w:fill="FFFFFF"/>
              </w:rPr>
              <w:t>Income Recertifications</w:t>
            </w:r>
          </w:p>
        </w:tc>
        <w:tc>
          <w:tcPr>
            <w:tcW w:w="3954" w:type="dxa"/>
            <w:shd w:val="clear" w:color="auto" w:fill="FFFFFF" w:themeFill="background1"/>
          </w:tcPr>
          <w:p w14:paraId="343F3348" w14:textId="77777777" w:rsidR="00D94007" w:rsidRDefault="00D94007" w:rsidP="00D94007">
            <w:pPr>
              <w:autoSpaceDE w:val="0"/>
              <w:autoSpaceDN w:val="0"/>
              <w:adjustRightInd w:val="0"/>
              <w:spacing w:line="276" w:lineRule="auto"/>
              <w:rPr>
                <w:rFonts w:cs="Arial"/>
                <w:b/>
                <w:bCs/>
              </w:rPr>
            </w:pPr>
            <w:r>
              <w:rPr>
                <w:rFonts w:cs="Arial"/>
                <w:bCs/>
              </w:rPr>
              <w:t>Owners must recertify all tenants by the anniversary date, with specific guidance in 4350.3 about reminders required before the anniversary date.</w:t>
            </w:r>
          </w:p>
          <w:p w14:paraId="779F261F" w14:textId="77777777" w:rsidR="00D94007" w:rsidRPr="00E65E77" w:rsidRDefault="00D94007" w:rsidP="00D94007">
            <w:pPr>
              <w:autoSpaceDE w:val="0"/>
              <w:autoSpaceDN w:val="0"/>
              <w:adjustRightInd w:val="0"/>
              <w:spacing w:line="276" w:lineRule="auto"/>
              <w:rPr>
                <w:rFonts w:cs="Arial"/>
              </w:rPr>
            </w:pPr>
          </w:p>
        </w:tc>
        <w:tc>
          <w:tcPr>
            <w:tcW w:w="3858" w:type="dxa"/>
            <w:shd w:val="clear" w:color="auto" w:fill="FFFFFF" w:themeFill="background1"/>
          </w:tcPr>
          <w:p w14:paraId="2F8672B7" w14:textId="65613D69" w:rsidR="00D94007" w:rsidRDefault="00196363" w:rsidP="00D94007">
            <w:pPr>
              <w:autoSpaceDE w:val="0"/>
              <w:autoSpaceDN w:val="0"/>
              <w:adjustRightInd w:val="0"/>
              <w:spacing w:line="276" w:lineRule="auto"/>
              <w:rPr>
                <w:rFonts w:cs="Arial"/>
                <w:shd w:val="clear" w:color="auto" w:fill="FFFFFF"/>
              </w:rPr>
            </w:pPr>
            <w:r>
              <w:rPr>
                <w:rFonts w:cs="Arial"/>
                <w:shd w:val="clear" w:color="auto" w:fill="FFFFFF"/>
              </w:rPr>
              <w:t>T</w:t>
            </w:r>
            <w:r w:rsidR="00D94007">
              <w:rPr>
                <w:rFonts w:cs="Arial"/>
                <w:shd w:val="clear" w:color="auto" w:fill="FFFFFF"/>
              </w:rPr>
              <w:t>enants must b</w:t>
            </w:r>
            <w:r w:rsidR="00716C2F">
              <w:rPr>
                <w:rFonts w:cs="Arial"/>
                <w:shd w:val="clear" w:color="auto" w:fill="FFFFFF"/>
              </w:rPr>
              <w:t xml:space="preserve">e recertified at least annually, unless </w:t>
            </w:r>
            <w:r>
              <w:rPr>
                <w:rFonts w:cs="Arial"/>
                <w:shd w:val="clear" w:color="auto" w:fill="FFFFFF"/>
              </w:rPr>
              <w:t>the property qualifies</w:t>
            </w:r>
            <w:r w:rsidR="00716C2F">
              <w:rPr>
                <w:rFonts w:cs="Arial"/>
                <w:shd w:val="clear" w:color="auto" w:fill="FFFFFF"/>
              </w:rPr>
              <w:t xml:space="preserve"> for certain exceptions, such as 100% HTC properties or other IRS waivers.</w:t>
            </w:r>
          </w:p>
          <w:p w14:paraId="53EBAF45" w14:textId="77777777" w:rsidR="00D94007" w:rsidRPr="00E65E77" w:rsidRDefault="00D94007" w:rsidP="00D94007">
            <w:pPr>
              <w:autoSpaceDE w:val="0"/>
              <w:autoSpaceDN w:val="0"/>
              <w:adjustRightInd w:val="0"/>
              <w:spacing w:line="276" w:lineRule="auto"/>
            </w:pPr>
          </w:p>
        </w:tc>
        <w:tc>
          <w:tcPr>
            <w:tcW w:w="3495" w:type="dxa"/>
            <w:shd w:val="clear" w:color="auto" w:fill="FFFFFF" w:themeFill="background1"/>
          </w:tcPr>
          <w:p w14:paraId="13AFCD46" w14:textId="566B5693" w:rsidR="00D94007" w:rsidRDefault="00D94007" w:rsidP="00D94007">
            <w:pPr>
              <w:autoSpaceDE w:val="0"/>
              <w:autoSpaceDN w:val="0"/>
              <w:adjustRightInd w:val="0"/>
              <w:spacing w:line="276" w:lineRule="auto"/>
              <w:rPr>
                <w:rFonts w:cs="Arial"/>
                <w:shd w:val="clear" w:color="auto" w:fill="FFFFFF"/>
              </w:rPr>
            </w:pPr>
            <w:r>
              <w:rPr>
                <w:rFonts w:cs="Arial"/>
                <w:shd w:val="clear" w:color="auto" w:fill="FFFFFF"/>
              </w:rPr>
              <w:t>The owner must income recertify all Section 811 PRA tenants annually</w:t>
            </w:r>
            <w:r w:rsidR="005449C4">
              <w:rPr>
                <w:rFonts w:cs="Arial"/>
                <w:shd w:val="clear" w:color="auto" w:fill="FFFFFF"/>
              </w:rPr>
              <w:t xml:space="preserve"> and provide reminders as required by 4350.3</w:t>
            </w:r>
          </w:p>
        </w:tc>
      </w:tr>
      <w:tr w:rsidR="00D94007" w:rsidRPr="00E65E77" w14:paraId="2A8D9463" w14:textId="77777777" w:rsidTr="00B0215B">
        <w:tc>
          <w:tcPr>
            <w:tcW w:w="1643" w:type="dxa"/>
            <w:shd w:val="clear" w:color="auto" w:fill="FFFFFF" w:themeFill="background1"/>
          </w:tcPr>
          <w:p w14:paraId="18F15A5E" w14:textId="77777777" w:rsidR="00D94007" w:rsidRPr="007463B4" w:rsidRDefault="00D94007" w:rsidP="00D94007">
            <w:pPr>
              <w:rPr>
                <w:rFonts w:eastAsia="Times New Roman" w:cs="Arial"/>
                <w:b/>
                <w:shd w:val="clear" w:color="auto" w:fill="FFFFFF"/>
              </w:rPr>
            </w:pPr>
            <w:r w:rsidRPr="007463B4">
              <w:rPr>
                <w:rFonts w:eastAsia="Times New Roman" w:cs="Arial"/>
                <w:b/>
                <w:shd w:val="clear" w:color="auto" w:fill="FFFFFF"/>
              </w:rPr>
              <w:t>Interim</w:t>
            </w:r>
          </w:p>
          <w:p w14:paraId="7E247879" w14:textId="77777777" w:rsidR="00D94007" w:rsidRPr="007463B4" w:rsidRDefault="00D94007" w:rsidP="00D94007">
            <w:pPr>
              <w:rPr>
                <w:rFonts w:eastAsia="Times New Roman" w:cs="Arial"/>
                <w:b/>
                <w:shd w:val="clear" w:color="auto" w:fill="FFFFFF"/>
              </w:rPr>
            </w:pPr>
            <w:r w:rsidRPr="007463B4">
              <w:rPr>
                <w:rFonts w:eastAsia="Times New Roman" w:cs="Arial"/>
                <w:b/>
                <w:shd w:val="clear" w:color="auto" w:fill="FFFFFF"/>
              </w:rPr>
              <w:t>Income Recertifications</w:t>
            </w:r>
          </w:p>
        </w:tc>
        <w:tc>
          <w:tcPr>
            <w:tcW w:w="3954" w:type="dxa"/>
            <w:shd w:val="clear" w:color="auto" w:fill="FFFFFF" w:themeFill="background1"/>
          </w:tcPr>
          <w:p w14:paraId="582EC03A" w14:textId="77777777" w:rsidR="00D94007" w:rsidRPr="00960939" w:rsidRDefault="00D94007" w:rsidP="00D94007">
            <w:pPr>
              <w:autoSpaceDE w:val="0"/>
              <w:autoSpaceDN w:val="0"/>
              <w:adjustRightInd w:val="0"/>
              <w:spacing w:line="276" w:lineRule="auto"/>
              <w:rPr>
                <w:rFonts w:cs="Arial"/>
                <w:bCs/>
              </w:rPr>
            </w:pPr>
            <w:r>
              <w:rPr>
                <w:rFonts w:cs="Arial"/>
                <w:bCs/>
              </w:rPr>
              <w:t>Owners must do interim recertifications when there is a change of household composition, income increases by $200 or more per month, or an unemployed household member obtains employment.</w:t>
            </w:r>
          </w:p>
          <w:p w14:paraId="14915E18" w14:textId="77777777" w:rsidR="00D94007" w:rsidRPr="00E65E77" w:rsidRDefault="00D94007" w:rsidP="00D94007">
            <w:pPr>
              <w:autoSpaceDE w:val="0"/>
              <w:autoSpaceDN w:val="0"/>
              <w:adjustRightInd w:val="0"/>
              <w:spacing w:line="276" w:lineRule="auto"/>
            </w:pPr>
          </w:p>
        </w:tc>
        <w:tc>
          <w:tcPr>
            <w:tcW w:w="3858" w:type="dxa"/>
            <w:shd w:val="clear" w:color="auto" w:fill="FFFFFF" w:themeFill="background1"/>
          </w:tcPr>
          <w:p w14:paraId="27D37D36" w14:textId="77777777" w:rsidR="00D94007" w:rsidRPr="00E65E77" w:rsidRDefault="00D94007" w:rsidP="00D94007">
            <w:pPr>
              <w:autoSpaceDE w:val="0"/>
              <w:autoSpaceDN w:val="0"/>
              <w:adjustRightInd w:val="0"/>
            </w:pPr>
            <w:r w:rsidRPr="00E65E77">
              <w:t>Does not require interim certifications</w:t>
            </w:r>
            <w:r>
              <w:t>.</w:t>
            </w:r>
          </w:p>
          <w:p w14:paraId="777746D2" w14:textId="77777777" w:rsidR="00D94007" w:rsidRPr="00E65E77" w:rsidRDefault="00D94007" w:rsidP="00D94007">
            <w:pPr>
              <w:autoSpaceDE w:val="0"/>
              <w:autoSpaceDN w:val="0"/>
              <w:adjustRightInd w:val="0"/>
            </w:pPr>
          </w:p>
        </w:tc>
        <w:tc>
          <w:tcPr>
            <w:tcW w:w="3495" w:type="dxa"/>
            <w:shd w:val="clear" w:color="auto" w:fill="FFFFFF" w:themeFill="background1"/>
          </w:tcPr>
          <w:p w14:paraId="35E4EE0F" w14:textId="77777777" w:rsidR="00D94007" w:rsidRPr="00E65E77" w:rsidRDefault="00D94007" w:rsidP="00D94007">
            <w:pPr>
              <w:autoSpaceDE w:val="0"/>
              <w:autoSpaceDN w:val="0"/>
              <w:adjustRightInd w:val="0"/>
            </w:pPr>
            <w:r>
              <w:t>For 811 PRA tenants, owners must do interim recertification according to the 811 program requirements.</w:t>
            </w:r>
          </w:p>
        </w:tc>
      </w:tr>
      <w:tr w:rsidR="00D94007" w:rsidRPr="00E65E77" w14:paraId="615F5C37" w14:textId="77777777" w:rsidTr="00B0215B">
        <w:tc>
          <w:tcPr>
            <w:tcW w:w="1643" w:type="dxa"/>
            <w:shd w:val="clear" w:color="auto" w:fill="FFFFFF" w:themeFill="background1"/>
          </w:tcPr>
          <w:p w14:paraId="148252C3" w14:textId="77777777" w:rsidR="00D94007" w:rsidRPr="007463B4" w:rsidRDefault="00D94007" w:rsidP="00D94007">
            <w:pPr>
              <w:rPr>
                <w:rFonts w:eastAsia="Times New Roman" w:cs="Arial"/>
                <w:b/>
                <w:shd w:val="clear" w:color="auto" w:fill="FFFFFF"/>
              </w:rPr>
            </w:pPr>
            <w:r w:rsidRPr="007463B4">
              <w:rPr>
                <w:rFonts w:eastAsia="Times New Roman" w:cs="Arial"/>
                <w:b/>
                <w:shd w:val="clear" w:color="auto" w:fill="FFFFFF"/>
              </w:rPr>
              <w:t>Lease</w:t>
            </w:r>
          </w:p>
        </w:tc>
        <w:tc>
          <w:tcPr>
            <w:tcW w:w="3954" w:type="dxa"/>
            <w:shd w:val="clear" w:color="auto" w:fill="FFFFFF" w:themeFill="background1"/>
          </w:tcPr>
          <w:p w14:paraId="66ADD08A" w14:textId="77777777" w:rsidR="00D94007" w:rsidRPr="004D0DE5" w:rsidRDefault="00D94007" w:rsidP="00D94007">
            <w:r>
              <w:t>For 811 tenants, owners must use the HUD required model lease.</w:t>
            </w:r>
          </w:p>
          <w:p w14:paraId="352625D6" w14:textId="77777777" w:rsidR="00D94007" w:rsidRDefault="00D94007" w:rsidP="00D94007">
            <w:pPr>
              <w:rPr>
                <w:b/>
              </w:rPr>
            </w:pPr>
          </w:p>
          <w:p w14:paraId="13864535" w14:textId="77777777" w:rsidR="00D94007" w:rsidRPr="00920693" w:rsidRDefault="00D94007" w:rsidP="00D94007"/>
        </w:tc>
        <w:tc>
          <w:tcPr>
            <w:tcW w:w="3858" w:type="dxa"/>
            <w:shd w:val="clear" w:color="auto" w:fill="FFFFFF" w:themeFill="background1"/>
          </w:tcPr>
          <w:p w14:paraId="2119BA27" w14:textId="77777777" w:rsidR="00D94007" w:rsidRDefault="00D94007" w:rsidP="00D94007">
            <w:pPr>
              <w:autoSpaceDE w:val="0"/>
              <w:autoSpaceDN w:val="0"/>
              <w:adjustRightInd w:val="0"/>
            </w:pPr>
            <w:r>
              <w:t xml:space="preserve">The lease should include prohibition of eviction for other than good cause, requirements to report changes to student status, and prohibition from </w:t>
            </w:r>
            <w:r>
              <w:lastRenderedPageBreak/>
              <w:t>locking out except under certain circumstances.</w:t>
            </w:r>
          </w:p>
          <w:p w14:paraId="730730F9" w14:textId="77777777" w:rsidR="00D94007" w:rsidRPr="002B0615" w:rsidRDefault="00D94007" w:rsidP="00D94007">
            <w:pPr>
              <w:autoSpaceDE w:val="0"/>
              <w:autoSpaceDN w:val="0"/>
              <w:adjustRightInd w:val="0"/>
              <w:rPr>
                <w:b/>
              </w:rPr>
            </w:pPr>
            <w:r>
              <w:t xml:space="preserve"> </w:t>
            </w:r>
          </w:p>
        </w:tc>
        <w:tc>
          <w:tcPr>
            <w:tcW w:w="3495" w:type="dxa"/>
            <w:shd w:val="clear" w:color="auto" w:fill="FFFFFF" w:themeFill="background1"/>
          </w:tcPr>
          <w:p w14:paraId="75EEB33F" w14:textId="77777777" w:rsidR="00D94007" w:rsidRDefault="00D94007" w:rsidP="00D94007">
            <w:pPr>
              <w:autoSpaceDE w:val="0"/>
              <w:autoSpaceDN w:val="0"/>
              <w:adjustRightInd w:val="0"/>
            </w:pPr>
            <w:r>
              <w:lastRenderedPageBreak/>
              <w:t>For Section 811 PRA tenants, the owner must use the required HUD model lease.</w:t>
            </w:r>
          </w:p>
        </w:tc>
      </w:tr>
      <w:tr w:rsidR="00D94007" w:rsidRPr="00E65E77" w14:paraId="6FA1990D" w14:textId="77777777" w:rsidTr="00B0215B">
        <w:tc>
          <w:tcPr>
            <w:tcW w:w="1643" w:type="dxa"/>
            <w:shd w:val="clear" w:color="auto" w:fill="FFFFFF" w:themeFill="background1"/>
          </w:tcPr>
          <w:p w14:paraId="22618C37" w14:textId="77777777" w:rsidR="00D94007" w:rsidRPr="007463B4" w:rsidRDefault="00D94007" w:rsidP="00D94007">
            <w:pPr>
              <w:rPr>
                <w:rFonts w:eastAsia="Times New Roman" w:cs="Arial"/>
                <w:b/>
                <w:shd w:val="clear" w:color="auto" w:fill="FFFFFF"/>
              </w:rPr>
            </w:pPr>
            <w:r w:rsidRPr="007463B4">
              <w:rPr>
                <w:rFonts w:eastAsia="Times New Roman" w:cs="Arial"/>
                <w:b/>
                <w:shd w:val="clear" w:color="auto" w:fill="FFFFFF"/>
              </w:rPr>
              <w:t>Lease Term</w:t>
            </w:r>
          </w:p>
        </w:tc>
        <w:tc>
          <w:tcPr>
            <w:tcW w:w="3954" w:type="dxa"/>
            <w:shd w:val="clear" w:color="auto" w:fill="FFFFFF" w:themeFill="background1"/>
          </w:tcPr>
          <w:p w14:paraId="134CD27B" w14:textId="77777777" w:rsidR="00D94007" w:rsidRPr="000377D5" w:rsidRDefault="00D94007" w:rsidP="00D94007">
            <w:r>
              <w:t>Lease term must be one year, and will be renewed for one month terms.</w:t>
            </w:r>
          </w:p>
          <w:p w14:paraId="05336A84" w14:textId="77777777" w:rsidR="00D94007" w:rsidRDefault="00D94007" w:rsidP="00D94007">
            <w:pPr>
              <w:rPr>
                <w:b/>
              </w:rPr>
            </w:pPr>
          </w:p>
          <w:p w14:paraId="2089F56A" w14:textId="77777777" w:rsidR="00D94007" w:rsidRDefault="00D94007" w:rsidP="00D94007">
            <w:pPr>
              <w:rPr>
                <w:rFonts w:ascii="Arial" w:hAnsi="Arial" w:cs="Arial"/>
                <w:b/>
                <w:bCs/>
              </w:rPr>
            </w:pPr>
          </w:p>
        </w:tc>
        <w:tc>
          <w:tcPr>
            <w:tcW w:w="3858" w:type="dxa"/>
            <w:shd w:val="clear" w:color="auto" w:fill="FFFFFF" w:themeFill="background1"/>
          </w:tcPr>
          <w:p w14:paraId="6798A478" w14:textId="77777777" w:rsidR="00D94007" w:rsidRPr="00E65E77" w:rsidRDefault="00D94007" w:rsidP="00D94007">
            <w:pPr>
              <w:shd w:val="clear" w:color="auto" w:fill="FFFFFF"/>
              <w:spacing w:after="150" w:line="330" w:lineRule="atLeast"/>
            </w:pPr>
            <w:r w:rsidRPr="003C7A0D">
              <w:t>Lease term must be at least 6 months, unless transitional housing or SRO housing.</w:t>
            </w:r>
          </w:p>
        </w:tc>
        <w:tc>
          <w:tcPr>
            <w:tcW w:w="3495" w:type="dxa"/>
            <w:shd w:val="clear" w:color="auto" w:fill="FFFFFF" w:themeFill="background1"/>
          </w:tcPr>
          <w:p w14:paraId="65EA7BF0" w14:textId="77777777" w:rsidR="00D94007" w:rsidRPr="003C7A0D" w:rsidRDefault="00D94007" w:rsidP="00D94007">
            <w:pPr>
              <w:shd w:val="clear" w:color="auto" w:fill="FFFFFF"/>
              <w:spacing w:after="150" w:line="330" w:lineRule="atLeast"/>
            </w:pPr>
            <w:r>
              <w:t>The lease term for Section 811 PRA tenants must be one year.</w:t>
            </w:r>
          </w:p>
        </w:tc>
      </w:tr>
      <w:tr w:rsidR="00770A9E" w:rsidRPr="00E65E77" w14:paraId="03419B65" w14:textId="77777777" w:rsidTr="00B0215B">
        <w:tc>
          <w:tcPr>
            <w:tcW w:w="1643" w:type="dxa"/>
            <w:shd w:val="clear" w:color="auto" w:fill="FFFFFF" w:themeFill="background1"/>
          </w:tcPr>
          <w:p w14:paraId="25797306" w14:textId="77777777" w:rsidR="00770A9E" w:rsidRPr="007463B4" w:rsidRDefault="00770A9E" w:rsidP="00770A9E">
            <w:pPr>
              <w:rPr>
                <w:rFonts w:eastAsia="Times New Roman" w:cs="Arial"/>
                <w:b/>
                <w:shd w:val="clear" w:color="auto" w:fill="FFFFFF"/>
              </w:rPr>
            </w:pPr>
            <w:r w:rsidRPr="007463B4">
              <w:rPr>
                <w:rFonts w:eastAsia="Times New Roman" w:cs="Arial"/>
                <w:b/>
                <w:shd w:val="clear" w:color="auto" w:fill="FFFFFF"/>
              </w:rPr>
              <w:t>Tenant Rent Payment</w:t>
            </w:r>
          </w:p>
        </w:tc>
        <w:tc>
          <w:tcPr>
            <w:tcW w:w="3954" w:type="dxa"/>
            <w:shd w:val="clear" w:color="auto" w:fill="FFFFFF" w:themeFill="background1"/>
          </w:tcPr>
          <w:p w14:paraId="3F3E64DA" w14:textId="77777777" w:rsidR="00770A9E" w:rsidRDefault="00770A9E" w:rsidP="00770A9E">
            <w:pPr>
              <w:autoSpaceDE w:val="0"/>
              <w:autoSpaceDN w:val="0"/>
              <w:adjustRightInd w:val="0"/>
            </w:pPr>
            <w:r>
              <w:t xml:space="preserve">Must use income and rent calculations of according to HUD Handbook 4350.3.  The Total Tenant Payment (TTP) is expected to contribute for rent and utilities.  </w:t>
            </w:r>
          </w:p>
          <w:p w14:paraId="57AFD776" w14:textId="77777777" w:rsidR="00770A9E" w:rsidRDefault="00770A9E" w:rsidP="00770A9E">
            <w:pPr>
              <w:autoSpaceDE w:val="0"/>
              <w:autoSpaceDN w:val="0"/>
              <w:adjustRightInd w:val="0"/>
            </w:pPr>
          </w:p>
          <w:p w14:paraId="0FE9A2A9" w14:textId="77777777" w:rsidR="00770A9E" w:rsidRDefault="00770A9E" w:rsidP="00770A9E">
            <w:pPr>
              <w:autoSpaceDE w:val="0"/>
              <w:autoSpaceDN w:val="0"/>
              <w:adjustRightInd w:val="0"/>
            </w:pPr>
            <w:r>
              <w:t xml:space="preserve">TTP for PRA is based on the family’s income. Calculation of TTP is the greater of the following: </w:t>
            </w:r>
          </w:p>
          <w:p w14:paraId="1111EA3D" w14:textId="77777777" w:rsidR="00770A9E" w:rsidRDefault="00770A9E" w:rsidP="00770A9E">
            <w:pPr>
              <w:autoSpaceDE w:val="0"/>
              <w:autoSpaceDN w:val="0"/>
              <w:adjustRightInd w:val="0"/>
            </w:pPr>
            <w:r>
              <w:t xml:space="preserve">a. 30% of monthly adjusted income; </w:t>
            </w:r>
          </w:p>
          <w:p w14:paraId="7753EC84" w14:textId="421347EF" w:rsidR="00770A9E" w:rsidRDefault="00770A9E" w:rsidP="00770A9E">
            <w:pPr>
              <w:autoSpaceDE w:val="0"/>
              <w:autoSpaceDN w:val="0"/>
              <w:adjustRightInd w:val="0"/>
            </w:pPr>
            <w:r>
              <w:t>b. 10% of monthly gross income;</w:t>
            </w:r>
            <w:r w:rsidR="002D5398">
              <w:t xml:space="preserve"> or</w:t>
            </w:r>
          </w:p>
          <w:p w14:paraId="69A5734B" w14:textId="4CD6F2D3" w:rsidR="00770A9E" w:rsidRDefault="00770A9E" w:rsidP="00770A9E">
            <w:pPr>
              <w:autoSpaceDE w:val="0"/>
              <w:autoSpaceDN w:val="0"/>
              <w:adjustRightInd w:val="0"/>
            </w:pPr>
            <w:r>
              <w:t>c. Welfare rent (</w:t>
            </w:r>
            <w:r w:rsidR="008933AB">
              <w:t>where applicable</w:t>
            </w:r>
            <w:r w:rsidR="002D5398">
              <w:t>).</w:t>
            </w:r>
            <w:r>
              <w:t xml:space="preserve"> </w:t>
            </w:r>
          </w:p>
          <w:p w14:paraId="791A668A" w14:textId="2ACD148E" w:rsidR="00770A9E" w:rsidRPr="00D01B0E" w:rsidRDefault="00770A9E" w:rsidP="002D5398">
            <w:pPr>
              <w:autoSpaceDE w:val="0"/>
              <w:autoSpaceDN w:val="0"/>
              <w:adjustRightInd w:val="0"/>
            </w:pPr>
          </w:p>
        </w:tc>
        <w:tc>
          <w:tcPr>
            <w:tcW w:w="3858" w:type="dxa"/>
            <w:shd w:val="clear" w:color="auto" w:fill="FFFFFF" w:themeFill="background1"/>
          </w:tcPr>
          <w:p w14:paraId="04DCA1D0" w14:textId="77777777" w:rsidR="00770A9E" w:rsidRPr="00DF3F1A" w:rsidRDefault="00770A9E" w:rsidP="00770A9E">
            <w:pPr>
              <w:pStyle w:val="Heading3"/>
              <w:shd w:val="clear" w:color="auto" w:fill="FFFFFF"/>
              <w:spacing w:before="0"/>
              <w:textAlignment w:val="baseline"/>
              <w:outlineLvl w:val="2"/>
              <w:rPr>
                <w:rFonts w:asciiTheme="minorHAnsi" w:eastAsiaTheme="minorHAnsi" w:hAnsiTheme="minorHAnsi" w:cstheme="minorBidi"/>
                <w:color w:val="auto"/>
                <w:sz w:val="22"/>
                <w:szCs w:val="22"/>
              </w:rPr>
            </w:pPr>
            <w:r w:rsidRPr="00DF3F1A">
              <w:rPr>
                <w:rFonts w:asciiTheme="minorHAnsi" w:eastAsiaTheme="minorHAnsi" w:hAnsiTheme="minorHAnsi" w:cstheme="minorBidi"/>
                <w:color w:val="auto"/>
                <w:sz w:val="22"/>
                <w:szCs w:val="22"/>
              </w:rPr>
              <w:t>The rent charged to the tenant is set by the AMI rent level of the u</w:t>
            </w:r>
            <w:r>
              <w:rPr>
                <w:rFonts w:asciiTheme="minorHAnsi" w:eastAsiaTheme="minorHAnsi" w:hAnsiTheme="minorHAnsi" w:cstheme="minorBidi"/>
                <w:color w:val="auto"/>
                <w:sz w:val="22"/>
                <w:szCs w:val="22"/>
              </w:rPr>
              <w:t>nit.</w:t>
            </w:r>
            <w:r w:rsidRPr="00DF3F1A">
              <w:rPr>
                <w:rFonts w:asciiTheme="minorHAnsi" w:eastAsiaTheme="minorHAnsi" w:hAnsiTheme="minorHAnsi" w:cstheme="minorBidi"/>
                <w:color w:val="auto"/>
                <w:sz w:val="22"/>
                <w:szCs w:val="22"/>
              </w:rPr>
              <w:t xml:space="preserve"> In general, the gross rent does not exceed 30% of the imputed income limit applicable to the unit.</w:t>
            </w:r>
            <w:r>
              <w:rPr>
                <w:rFonts w:asciiTheme="minorHAnsi" w:eastAsiaTheme="minorHAnsi" w:hAnsiTheme="minorHAnsi" w:cstheme="minorBidi"/>
                <w:color w:val="auto"/>
                <w:sz w:val="22"/>
                <w:szCs w:val="22"/>
              </w:rPr>
              <w:t xml:space="preserve"> T</w:t>
            </w:r>
            <w:r w:rsidRPr="00DF3F1A">
              <w:rPr>
                <w:rFonts w:asciiTheme="minorHAnsi" w:eastAsiaTheme="minorHAnsi" w:hAnsiTheme="minorHAnsi" w:cstheme="minorBidi"/>
                <w:color w:val="auto"/>
                <w:sz w:val="22"/>
                <w:szCs w:val="22"/>
              </w:rPr>
              <w:t>he rent level does not change based on the household’</w:t>
            </w:r>
            <w:r>
              <w:rPr>
                <w:rFonts w:asciiTheme="minorHAnsi" w:eastAsiaTheme="minorHAnsi" w:hAnsiTheme="minorHAnsi" w:cstheme="minorBidi"/>
                <w:color w:val="auto"/>
                <w:sz w:val="22"/>
                <w:szCs w:val="22"/>
              </w:rPr>
              <w:t>s income, but t</w:t>
            </w:r>
            <w:r w:rsidRPr="00DF3F1A">
              <w:rPr>
                <w:rFonts w:asciiTheme="minorHAnsi" w:eastAsiaTheme="minorHAnsi" w:hAnsiTheme="minorHAnsi" w:cstheme="minorBidi"/>
                <w:color w:val="auto"/>
                <w:sz w:val="22"/>
                <w:szCs w:val="22"/>
              </w:rPr>
              <w:t xml:space="preserve">he household must income qualify to live in the unit. </w:t>
            </w:r>
          </w:p>
          <w:p w14:paraId="1F386EC6" w14:textId="77777777" w:rsidR="00770A9E" w:rsidRPr="00E65E77" w:rsidRDefault="00770A9E" w:rsidP="00770A9E">
            <w:pPr>
              <w:pStyle w:val="NormalWeb"/>
              <w:shd w:val="clear" w:color="auto" w:fill="FFFFFF"/>
              <w:spacing w:before="225" w:beforeAutospacing="0" w:after="0" w:afterAutospacing="0" w:line="240" w:lineRule="atLeast"/>
              <w:textAlignment w:val="baseline"/>
            </w:pPr>
          </w:p>
        </w:tc>
        <w:tc>
          <w:tcPr>
            <w:tcW w:w="3495" w:type="dxa"/>
            <w:shd w:val="clear" w:color="auto" w:fill="FFFFFF" w:themeFill="background1"/>
          </w:tcPr>
          <w:p w14:paraId="52FE5CF9" w14:textId="77777777" w:rsidR="00770A9E" w:rsidRPr="00DF3F1A" w:rsidRDefault="00770A9E" w:rsidP="00770A9E">
            <w:pPr>
              <w:pStyle w:val="Heading3"/>
              <w:shd w:val="clear" w:color="auto" w:fill="FFFFFF"/>
              <w:spacing w:before="0"/>
              <w:textAlignment w:val="baseline"/>
              <w:outlineLvl w:val="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The total tenant rent payment for Section 811 PRA tenants will be calculated according to the</w:t>
            </w:r>
            <w:r w:rsidR="008933AB">
              <w:rPr>
                <w:rFonts w:asciiTheme="minorHAnsi" w:eastAsiaTheme="minorHAnsi" w:hAnsiTheme="minorHAnsi" w:cstheme="minorBidi"/>
                <w:color w:val="auto"/>
                <w:sz w:val="22"/>
                <w:szCs w:val="22"/>
              </w:rPr>
              <w:t xml:space="preserve"> Section</w:t>
            </w:r>
            <w:r>
              <w:rPr>
                <w:rFonts w:asciiTheme="minorHAnsi" w:eastAsiaTheme="minorHAnsi" w:hAnsiTheme="minorHAnsi" w:cstheme="minorBidi"/>
                <w:color w:val="auto"/>
                <w:sz w:val="22"/>
                <w:szCs w:val="22"/>
              </w:rPr>
              <w:t xml:space="preserve"> 811 program TTP requirements.</w:t>
            </w:r>
          </w:p>
        </w:tc>
      </w:tr>
      <w:tr w:rsidR="00770A9E" w:rsidRPr="00E65E77" w14:paraId="191D7C6F" w14:textId="77777777" w:rsidTr="00B0215B">
        <w:tc>
          <w:tcPr>
            <w:tcW w:w="1643" w:type="dxa"/>
            <w:shd w:val="clear" w:color="auto" w:fill="FFFFFF" w:themeFill="background1"/>
          </w:tcPr>
          <w:p w14:paraId="06F32A7E" w14:textId="77777777" w:rsidR="00770A9E" w:rsidRPr="007463B4" w:rsidRDefault="00770A9E" w:rsidP="00770A9E">
            <w:pPr>
              <w:rPr>
                <w:rFonts w:eastAsia="Times New Roman" w:cs="Arial"/>
                <w:b/>
                <w:shd w:val="clear" w:color="auto" w:fill="FFFFFF"/>
              </w:rPr>
            </w:pPr>
            <w:r w:rsidRPr="007463B4">
              <w:rPr>
                <w:rFonts w:eastAsia="Times New Roman" w:cs="Arial"/>
                <w:b/>
                <w:shd w:val="clear" w:color="auto" w:fill="FFFFFF"/>
              </w:rPr>
              <w:t>Affirmative Marketing</w:t>
            </w:r>
          </w:p>
        </w:tc>
        <w:tc>
          <w:tcPr>
            <w:tcW w:w="3954" w:type="dxa"/>
            <w:shd w:val="clear" w:color="auto" w:fill="FFFFFF" w:themeFill="background1"/>
          </w:tcPr>
          <w:p w14:paraId="74C9EFDD" w14:textId="616AA1F0" w:rsidR="00770A9E" w:rsidRPr="001A0CDA" w:rsidRDefault="008933AB" w:rsidP="00115BF0">
            <w:r>
              <w:t>HA</w:t>
            </w:r>
            <w:r w:rsidR="00770A9E">
              <w:t>s must establish an affirmative fair housing marketing plan for the Section 811 PRA program (not for individual properties</w:t>
            </w:r>
            <w:r w:rsidR="007463B4">
              <w:t>). All</w:t>
            </w:r>
            <w:r w:rsidR="00770A9E">
              <w:t xml:space="preserve"> participating agencies and owners must follow the plan if responsible for marketing to</w:t>
            </w:r>
            <w:r>
              <w:t xml:space="preserve"> Section</w:t>
            </w:r>
            <w:r w:rsidR="00770A9E">
              <w:t xml:space="preserve"> 811 tenants.</w:t>
            </w:r>
          </w:p>
        </w:tc>
        <w:tc>
          <w:tcPr>
            <w:tcW w:w="3858" w:type="dxa"/>
            <w:shd w:val="clear" w:color="auto" w:fill="FFFFFF" w:themeFill="background1"/>
          </w:tcPr>
          <w:p w14:paraId="0203E820" w14:textId="77777777" w:rsidR="00770A9E" w:rsidRPr="00E65E77" w:rsidRDefault="00770A9E" w:rsidP="00770A9E">
            <w:pPr>
              <w:autoSpaceDE w:val="0"/>
              <w:autoSpaceDN w:val="0"/>
              <w:adjustRightInd w:val="0"/>
            </w:pPr>
            <w:r>
              <w:t>No affirmative marketing requirement specifically, but subject to the Fair Housing Act.</w:t>
            </w:r>
          </w:p>
        </w:tc>
        <w:tc>
          <w:tcPr>
            <w:tcW w:w="3495" w:type="dxa"/>
            <w:shd w:val="clear" w:color="auto" w:fill="FFFFFF" w:themeFill="background1"/>
          </w:tcPr>
          <w:p w14:paraId="6AECCA65" w14:textId="49D3DB0A" w:rsidR="00770A9E" w:rsidRDefault="00770A9E" w:rsidP="00770A9E">
            <w:pPr>
              <w:autoSpaceDE w:val="0"/>
              <w:autoSpaceDN w:val="0"/>
              <w:adjustRightInd w:val="0"/>
            </w:pPr>
            <w:r>
              <w:t xml:space="preserve">The </w:t>
            </w:r>
            <w:r w:rsidR="008933AB">
              <w:t>HA</w:t>
            </w:r>
            <w:r>
              <w:t xml:space="preserve"> will be responsible for establishing an affirmatively marketing plan for the Section 811 PRA units.</w:t>
            </w:r>
          </w:p>
        </w:tc>
      </w:tr>
      <w:tr w:rsidR="003A00C8" w:rsidRPr="00E65E77" w14:paraId="6987C056" w14:textId="77777777" w:rsidTr="00B0215B">
        <w:tc>
          <w:tcPr>
            <w:tcW w:w="1643" w:type="dxa"/>
            <w:shd w:val="clear" w:color="auto" w:fill="FFFFFF" w:themeFill="background1"/>
          </w:tcPr>
          <w:p w14:paraId="1B3B5C8F" w14:textId="77777777" w:rsidR="003A00C8" w:rsidRPr="007463B4" w:rsidRDefault="003A00C8" w:rsidP="003A00C8">
            <w:pPr>
              <w:rPr>
                <w:rFonts w:eastAsia="Times New Roman" w:cs="Arial"/>
                <w:b/>
                <w:shd w:val="clear" w:color="auto" w:fill="FFFFFF"/>
              </w:rPr>
            </w:pPr>
            <w:r w:rsidRPr="007463B4">
              <w:rPr>
                <w:rFonts w:eastAsia="Times New Roman" w:cs="Arial"/>
                <w:b/>
                <w:shd w:val="clear" w:color="auto" w:fill="FFFFFF"/>
              </w:rPr>
              <w:t>Vacancies more than 60 days</w:t>
            </w:r>
          </w:p>
        </w:tc>
        <w:tc>
          <w:tcPr>
            <w:tcW w:w="3954" w:type="dxa"/>
            <w:shd w:val="clear" w:color="auto" w:fill="FFFFFF" w:themeFill="background1"/>
          </w:tcPr>
          <w:p w14:paraId="4F5A9032" w14:textId="1F5E26EA" w:rsidR="003A00C8" w:rsidRPr="009D02DF" w:rsidRDefault="003A00C8" w:rsidP="008933AB">
            <w:pPr>
              <w:autoSpaceDE w:val="0"/>
              <w:autoSpaceDN w:val="0"/>
              <w:adjustRightInd w:val="0"/>
              <w:rPr>
                <w:rFonts w:cs="Arial"/>
              </w:rPr>
            </w:pPr>
            <w:r>
              <w:rPr>
                <w:rFonts w:cs="Arial"/>
              </w:rPr>
              <w:t>A Section 811 PRA unit may receive vacancy payments</w:t>
            </w:r>
            <w:r w:rsidR="008933AB">
              <w:rPr>
                <w:rFonts w:cs="Arial"/>
              </w:rPr>
              <w:t>. These payments may not exceed 80% of contract rent for up to 60 days of vacancy.</w:t>
            </w:r>
            <w:r>
              <w:rPr>
                <w:rFonts w:cs="Arial"/>
              </w:rPr>
              <w:t xml:space="preserve">  </w:t>
            </w:r>
            <w:r w:rsidRPr="009D02DF">
              <w:rPr>
                <w:rFonts w:cs="Arial"/>
              </w:rPr>
              <w:t xml:space="preserve">If no </w:t>
            </w:r>
            <w:r>
              <w:rPr>
                <w:rFonts w:cs="Arial"/>
              </w:rPr>
              <w:t xml:space="preserve">811 tenants are identified </w:t>
            </w:r>
            <w:r w:rsidRPr="009D02DF">
              <w:rPr>
                <w:rFonts w:cs="Arial"/>
              </w:rPr>
              <w:t xml:space="preserve">within a reasonable period of time, as determined by the </w:t>
            </w:r>
            <w:r w:rsidR="008933AB">
              <w:rPr>
                <w:rFonts w:cs="Arial"/>
              </w:rPr>
              <w:t>HA</w:t>
            </w:r>
            <w:r>
              <w:rPr>
                <w:rFonts w:cs="Arial"/>
              </w:rPr>
              <w:t xml:space="preserve">, the </w:t>
            </w:r>
            <w:r>
              <w:rPr>
                <w:rFonts w:cs="Arial"/>
              </w:rPr>
              <w:lastRenderedPageBreak/>
              <w:t>o</w:t>
            </w:r>
            <w:r w:rsidRPr="009D02DF">
              <w:rPr>
                <w:rFonts w:cs="Arial"/>
              </w:rPr>
              <w:t>wner may l</w:t>
            </w:r>
            <w:r>
              <w:rPr>
                <w:rFonts w:cs="Arial"/>
              </w:rPr>
              <w:t xml:space="preserve">ease the unit to families who </w:t>
            </w:r>
            <w:r w:rsidRPr="009D02DF">
              <w:rPr>
                <w:rFonts w:cs="Arial"/>
              </w:rPr>
              <w:t xml:space="preserve">are not eligible for the </w:t>
            </w:r>
            <w:r w:rsidR="008933AB">
              <w:t xml:space="preserve">Section </w:t>
            </w:r>
            <w:r>
              <w:rPr>
                <w:rFonts w:cs="Arial"/>
              </w:rPr>
              <w:t xml:space="preserve">811 program, but the owner will not receive </w:t>
            </w:r>
            <w:r w:rsidR="008933AB">
              <w:t xml:space="preserve">Section  </w:t>
            </w:r>
            <w:r>
              <w:rPr>
                <w:rFonts w:cs="Arial"/>
              </w:rPr>
              <w:t>811 rental assistance for that unit.  The owner must offer the next available unit to the 811 program in order to fill all of the units obligated in the RAC.</w:t>
            </w:r>
            <w:r w:rsidRPr="009D02DF">
              <w:rPr>
                <w:rFonts w:cs="Arial"/>
              </w:rPr>
              <w:t xml:space="preserve"> </w:t>
            </w:r>
          </w:p>
        </w:tc>
        <w:tc>
          <w:tcPr>
            <w:tcW w:w="3858" w:type="dxa"/>
            <w:shd w:val="clear" w:color="auto" w:fill="FFFFFF" w:themeFill="background1"/>
          </w:tcPr>
          <w:p w14:paraId="605ABB7C" w14:textId="77777777" w:rsidR="003A00C8" w:rsidRPr="007C51BD" w:rsidRDefault="003A00C8" w:rsidP="003A00C8">
            <w:pPr>
              <w:autoSpaceDE w:val="0"/>
              <w:autoSpaceDN w:val="0"/>
              <w:adjustRightInd w:val="0"/>
            </w:pPr>
            <w:r>
              <w:lastRenderedPageBreak/>
              <w:t xml:space="preserve">Must certify annually that they have made reasonable attempts to rent units to income qualifying households before renting to tenants not having qualifying income.  </w:t>
            </w:r>
          </w:p>
          <w:p w14:paraId="13D75E6A" w14:textId="77777777" w:rsidR="003A00C8" w:rsidRPr="007C51BD" w:rsidRDefault="003A00C8" w:rsidP="003A00C8">
            <w:pPr>
              <w:autoSpaceDE w:val="0"/>
              <w:autoSpaceDN w:val="0"/>
              <w:adjustRightInd w:val="0"/>
            </w:pPr>
          </w:p>
        </w:tc>
        <w:tc>
          <w:tcPr>
            <w:tcW w:w="3495" w:type="dxa"/>
            <w:shd w:val="clear" w:color="auto" w:fill="FFFFFF" w:themeFill="background1"/>
          </w:tcPr>
          <w:p w14:paraId="484DBE3B" w14:textId="0E0C2C40" w:rsidR="003A00C8" w:rsidRDefault="003A00C8" w:rsidP="003A00C8">
            <w:pPr>
              <w:autoSpaceDE w:val="0"/>
              <w:autoSpaceDN w:val="0"/>
              <w:adjustRightInd w:val="0"/>
            </w:pPr>
            <w:r>
              <w:t xml:space="preserve">If a </w:t>
            </w:r>
            <w:r w:rsidR="008933AB">
              <w:t>HA</w:t>
            </w:r>
            <w:r>
              <w:t xml:space="preserve"> cannot fill a vacancy for a Section 811 PRA unit within a reasonable period of time, the owner can rent the unit to a non-</w:t>
            </w:r>
            <w:r w:rsidR="008933AB">
              <w:t xml:space="preserve"> Section </w:t>
            </w:r>
            <w:r>
              <w:t xml:space="preserve">811 tenant. But, the owner </w:t>
            </w:r>
            <w:r>
              <w:lastRenderedPageBreak/>
              <w:t>will not receive Se</w:t>
            </w:r>
            <w:r w:rsidR="0029231B">
              <w:t>ction 811 PRA rental assistance for that unit.</w:t>
            </w:r>
          </w:p>
        </w:tc>
      </w:tr>
      <w:tr w:rsidR="00342DA0" w:rsidRPr="00E65E77" w14:paraId="6B29A0C5" w14:textId="77777777" w:rsidTr="00B0215B">
        <w:tc>
          <w:tcPr>
            <w:tcW w:w="1643" w:type="dxa"/>
            <w:shd w:val="clear" w:color="auto" w:fill="FFFFFF" w:themeFill="background1"/>
          </w:tcPr>
          <w:p w14:paraId="17EA9A75" w14:textId="1CAC3830" w:rsidR="00342DA0" w:rsidRPr="007463B4" w:rsidRDefault="00342DA0" w:rsidP="00342DA0">
            <w:pPr>
              <w:rPr>
                <w:rFonts w:eastAsia="Times New Roman" w:cs="Arial"/>
                <w:b/>
                <w:shd w:val="clear" w:color="auto" w:fill="FFFFFF"/>
              </w:rPr>
            </w:pPr>
            <w:r w:rsidRPr="007463B4">
              <w:rPr>
                <w:rFonts w:eastAsia="Times New Roman" w:cs="Arial"/>
                <w:b/>
                <w:shd w:val="clear" w:color="auto" w:fill="FFFFFF"/>
              </w:rPr>
              <w:lastRenderedPageBreak/>
              <w:t xml:space="preserve">Absenteeism </w:t>
            </w:r>
            <w:r w:rsidR="008933AB" w:rsidRPr="007463B4">
              <w:rPr>
                <w:rFonts w:eastAsia="Times New Roman" w:cs="Arial"/>
                <w:b/>
                <w:shd w:val="clear" w:color="auto" w:fill="FFFFFF"/>
              </w:rPr>
              <w:t>D</w:t>
            </w:r>
            <w:r w:rsidRPr="007463B4">
              <w:rPr>
                <w:rFonts w:eastAsia="Times New Roman" w:cs="Arial"/>
                <w:b/>
                <w:shd w:val="clear" w:color="auto" w:fill="FFFFFF"/>
              </w:rPr>
              <w:t xml:space="preserve">uring Lease </w:t>
            </w:r>
            <w:r w:rsidR="008933AB" w:rsidRPr="007463B4">
              <w:rPr>
                <w:rFonts w:eastAsia="Times New Roman" w:cs="Arial"/>
                <w:b/>
                <w:shd w:val="clear" w:color="auto" w:fill="FFFFFF"/>
              </w:rPr>
              <w:t>P</w:t>
            </w:r>
            <w:r w:rsidRPr="007463B4">
              <w:rPr>
                <w:rFonts w:eastAsia="Times New Roman" w:cs="Arial"/>
                <w:b/>
                <w:shd w:val="clear" w:color="auto" w:fill="FFFFFF"/>
              </w:rPr>
              <w:t>eriod</w:t>
            </w:r>
          </w:p>
        </w:tc>
        <w:tc>
          <w:tcPr>
            <w:tcW w:w="3954" w:type="dxa"/>
            <w:shd w:val="clear" w:color="auto" w:fill="FFFFFF" w:themeFill="background1"/>
          </w:tcPr>
          <w:p w14:paraId="1E342D9B" w14:textId="7A079388" w:rsidR="00342DA0" w:rsidRPr="002F1425" w:rsidRDefault="008933AB" w:rsidP="00342DA0">
            <w:pPr>
              <w:autoSpaceDE w:val="0"/>
              <w:autoSpaceDN w:val="0"/>
              <w:adjustRightInd w:val="0"/>
              <w:rPr>
                <w:rFonts w:cs="Arial"/>
                <w:bCs/>
              </w:rPr>
            </w:pPr>
            <w:r>
              <w:rPr>
                <w:rFonts w:cs="Arial"/>
                <w:bCs/>
              </w:rPr>
              <w:t>HA</w:t>
            </w:r>
            <w:r w:rsidR="00342DA0">
              <w:rPr>
                <w:rFonts w:cs="Arial"/>
                <w:bCs/>
              </w:rPr>
              <w:t xml:space="preserve">s may continue to pay rental assistance if the head of household is temporarily </w:t>
            </w:r>
            <w:r>
              <w:rPr>
                <w:rFonts w:cs="Arial"/>
                <w:bCs/>
              </w:rPr>
              <w:t>absent</w:t>
            </w:r>
            <w:r w:rsidR="00342DA0">
              <w:rPr>
                <w:rFonts w:cs="Arial"/>
                <w:bCs/>
              </w:rPr>
              <w:t>, but the tenant must continue to pay rent.  A household may request a reasonable accommodation to the owner during an extended absence.</w:t>
            </w:r>
          </w:p>
          <w:p w14:paraId="52C66880" w14:textId="77777777" w:rsidR="00342DA0" w:rsidRPr="00B44E39" w:rsidRDefault="00342DA0" w:rsidP="00342DA0">
            <w:pPr>
              <w:autoSpaceDE w:val="0"/>
              <w:autoSpaceDN w:val="0"/>
              <w:adjustRightInd w:val="0"/>
              <w:rPr>
                <w:rFonts w:cs="Arial"/>
              </w:rPr>
            </w:pPr>
          </w:p>
        </w:tc>
        <w:tc>
          <w:tcPr>
            <w:tcW w:w="3858" w:type="dxa"/>
            <w:shd w:val="clear" w:color="auto" w:fill="FFFFFF" w:themeFill="background1"/>
          </w:tcPr>
          <w:p w14:paraId="20A3E47F" w14:textId="77777777" w:rsidR="00342DA0" w:rsidRPr="007C51BD" w:rsidRDefault="00342DA0" w:rsidP="0029231B">
            <w:pPr>
              <w:autoSpaceDE w:val="0"/>
              <w:autoSpaceDN w:val="0"/>
              <w:adjustRightInd w:val="0"/>
            </w:pPr>
            <w:r>
              <w:t>No regulations, except for</w:t>
            </w:r>
            <w:r w:rsidR="0029231B">
              <w:t xml:space="preserve"> household</w:t>
            </w:r>
            <w:r>
              <w:t xml:space="preserve"> income determinations (</w:t>
            </w:r>
            <w:r w:rsidR="0029231B">
              <w:t>See Absenteeism Impact on Income Determination</w:t>
            </w:r>
            <w:r>
              <w:t xml:space="preserve">). </w:t>
            </w:r>
          </w:p>
        </w:tc>
        <w:tc>
          <w:tcPr>
            <w:tcW w:w="3495" w:type="dxa"/>
            <w:shd w:val="clear" w:color="auto" w:fill="FFFFFF" w:themeFill="background1"/>
          </w:tcPr>
          <w:p w14:paraId="4A81A87D" w14:textId="78FFDAFA" w:rsidR="00342DA0" w:rsidRDefault="00342DA0" w:rsidP="008933AB">
            <w:pPr>
              <w:autoSpaceDE w:val="0"/>
              <w:autoSpaceDN w:val="0"/>
              <w:adjustRightInd w:val="0"/>
              <w:rPr>
                <w:rFonts w:cs="Arial"/>
                <w:bCs/>
              </w:rPr>
            </w:pPr>
            <w:r>
              <w:rPr>
                <w:rFonts w:cs="Arial"/>
                <w:bCs/>
              </w:rPr>
              <w:t>A</w:t>
            </w:r>
            <w:r w:rsidR="008933AB">
              <w:rPr>
                <w:rFonts w:cs="Arial"/>
                <w:bCs/>
              </w:rPr>
              <w:t xml:space="preserve"> </w:t>
            </w:r>
            <w:r w:rsidR="008933AB">
              <w:t xml:space="preserve">Section </w:t>
            </w:r>
            <w:r>
              <w:rPr>
                <w:rFonts w:cs="Arial"/>
                <w:bCs/>
              </w:rPr>
              <w:t>811 unit may be</w:t>
            </w:r>
            <w:r w:rsidR="008933AB">
              <w:rPr>
                <w:rFonts w:cs="Arial"/>
                <w:bCs/>
              </w:rPr>
              <w:t xml:space="preserve"> unoccupied and received rental assistance</w:t>
            </w:r>
            <w:r>
              <w:rPr>
                <w:rFonts w:cs="Arial"/>
                <w:bCs/>
              </w:rPr>
              <w:t xml:space="preserve"> during </w:t>
            </w:r>
            <w:r w:rsidR="008933AB">
              <w:rPr>
                <w:rFonts w:cs="Arial"/>
                <w:bCs/>
              </w:rPr>
              <w:t xml:space="preserve">a temporary </w:t>
            </w:r>
            <w:r w:rsidR="002F600E">
              <w:rPr>
                <w:rFonts w:cs="Arial"/>
                <w:bCs/>
              </w:rPr>
              <w:t>absence as</w:t>
            </w:r>
            <w:r>
              <w:rPr>
                <w:rFonts w:cs="Arial"/>
                <w:bCs/>
              </w:rPr>
              <w:t xml:space="preserve"> long as the tenant continues to pay rent.</w:t>
            </w:r>
            <w:r w:rsidR="0029231B">
              <w:rPr>
                <w:rFonts w:cs="Arial"/>
                <w:bCs/>
              </w:rPr>
              <w:t xml:space="preserve"> </w:t>
            </w:r>
          </w:p>
        </w:tc>
      </w:tr>
      <w:tr w:rsidR="00342DA0" w:rsidRPr="00E65E77" w14:paraId="44578220" w14:textId="77777777" w:rsidTr="00B0215B">
        <w:tc>
          <w:tcPr>
            <w:tcW w:w="1643" w:type="dxa"/>
            <w:shd w:val="clear" w:color="auto" w:fill="FFFFFF" w:themeFill="background1"/>
          </w:tcPr>
          <w:p w14:paraId="37098BD8" w14:textId="77777777" w:rsidR="00342DA0" w:rsidRPr="007463B4" w:rsidRDefault="00342DA0" w:rsidP="00342DA0">
            <w:pPr>
              <w:rPr>
                <w:rFonts w:eastAsia="Times New Roman" w:cs="Arial"/>
                <w:b/>
                <w:shd w:val="clear" w:color="auto" w:fill="FFFFFF"/>
              </w:rPr>
            </w:pPr>
            <w:r w:rsidRPr="007463B4">
              <w:rPr>
                <w:rFonts w:eastAsia="Times New Roman" w:cs="Arial"/>
                <w:b/>
                <w:shd w:val="clear" w:color="auto" w:fill="FFFFFF"/>
              </w:rPr>
              <w:t>Waiting Lists</w:t>
            </w:r>
          </w:p>
        </w:tc>
        <w:tc>
          <w:tcPr>
            <w:tcW w:w="3954" w:type="dxa"/>
            <w:shd w:val="clear" w:color="auto" w:fill="FFFFFF" w:themeFill="background1"/>
          </w:tcPr>
          <w:p w14:paraId="0446B510" w14:textId="0A80A80D" w:rsidR="00342DA0" w:rsidRPr="00300690" w:rsidRDefault="008933AB" w:rsidP="00342DA0">
            <w:pPr>
              <w:rPr>
                <w:rFonts w:cs="Times New Roman"/>
                <w:bCs/>
              </w:rPr>
            </w:pPr>
            <w:r>
              <w:rPr>
                <w:rFonts w:cs="Times New Roman"/>
                <w:bCs/>
              </w:rPr>
              <w:t>HA</w:t>
            </w:r>
            <w:r w:rsidR="00342DA0">
              <w:rPr>
                <w:rFonts w:cs="Times New Roman"/>
                <w:bCs/>
              </w:rPr>
              <w:t xml:space="preserve">s must follow the waiting list policies as described in the </w:t>
            </w:r>
            <w:r>
              <w:rPr>
                <w:rFonts w:cs="Times New Roman"/>
                <w:bCs/>
              </w:rPr>
              <w:t xml:space="preserve">HA’s </w:t>
            </w:r>
            <w:r w:rsidR="00342DA0">
              <w:rPr>
                <w:rFonts w:cs="Times New Roman"/>
                <w:bCs/>
              </w:rPr>
              <w:t>Tenant Selection Plan for the Section 811 PRA Program.</w:t>
            </w:r>
          </w:p>
          <w:p w14:paraId="279CE741" w14:textId="77777777" w:rsidR="00342DA0" w:rsidRPr="00B44E39" w:rsidRDefault="00342DA0" w:rsidP="00342DA0">
            <w:pPr>
              <w:autoSpaceDE w:val="0"/>
              <w:autoSpaceDN w:val="0"/>
              <w:adjustRightInd w:val="0"/>
              <w:rPr>
                <w:rFonts w:cs="Times New Roman"/>
              </w:rPr>
            </w:pPr>
          </w:p>
        </w:tc>
        <w:tc>
          <w:tcPr>
            <w:tcW w:w="3858" w:type="dxa"/>
            <w:shd w:val="clear" w:color="auto" w:fill="FFFFFF" w:themeFill="background1"/>
          </w:tcPr>
          <w:p w14:paraId="4960642E" w14:textId="77777777" w:rsidR="00342DA0" w:rsidRPr="007C51BD" w:rsidRDefault="00342DA0" w:rsidP="00342DA0">
            <w:pPr>
              <w:autoSpaceDE w:val="0"/>
              <w:autoSpaceDN w:val="0"/>
              <w:adjustRightInd w:val="0"/>
            </w:pPr>
            <w:r>
              <w:t>No waiting list requirements</w:t>
            </w:r>
          </w:p>
        </w:tc>
        <w:tc>
          <w:tcPr>
            <w:tcW w:w="3495" w:type="dxa"/>
            <w:shd w:val="clear" w:color="auto" w:fill="FFFFFF" w:themeFill="background1"/>
          </w:tcPr>
          <w:p w14:paraId="11F02210" w14:textId="77777777" w:rsidR="00342DA0" w:rsidRDefault="00342DA0" w:rsidP="0029231B">
            <w:pPr>
              <w:autoSpaceDE w:val="0"/>
              <w:autoSpaceDN w:val="0"/>
              <w:adjustRightInd w:val="0"/>
            </w:pPr>
            <w:r>
              <w:t xml:space="preserve">Owners must </w:t>
            </w:r>
            <w:r w:rsidR="0029231B">
              <w:t>accept tenant applications</w:t>
            </w:r>
            <w:r>
              <w:t xml:space="preserve"> for the Section 811 PRA program based on the waiting list policies of the</w:t>
            </w:r>
            <w:r w:rsidR="008933AB">
              <w:t xml:space="preserve"> HA’s Section</w:t>
            </w:r>
            <w:r>
              <w:t xml:space="preserve"> </w:t>
            </w:r>
            <w:r w:rsidR="0029231B">
              <w:t xml:space="preserve">811 </w:t>
            </w:r>
            <w:r>
              <w:t>Tenant Selection Plan.</w:t>
            </w:r>
          </w:p>
        </w:tc>
      </w:tr>
      <w:tr w:rsidR="005455EE" w:rsidRPr="00E65E77" w14:paraId="4A94EAC7" w14:textId="77777777" w:rsidTr="00B0215B">
        <w:tc>
          <w:tcPr>
            <w:tcW w:w="1643" w:type="dxa"/>
            <w:shd w:val="clear" w:color="auto" w:fill="FFFFFF" w:themeFill="background1"/>
          </w:tcPr>
          <w:p w14:paraId="34A1F740" w14:textId="779B2AEF"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Household Eligibility</w:t>
            </w:r>
          </w:p>
        </w:tc>
        <w:tc>
          <w:tcPr>
            <w:tcW w:w="3954" w:type="dxa"/>
            <w:shd w:val="clear" w:color="auto" w:fill="FFFFFF" w:themeFill="background1"/>
          </w:tcPr>
          <w:p w14:paraId="16CB1979" w14:textId="77777777" w:rsidR="005455EE" w:rsidRPr="00277328" w:rsidRDefault="005455EE" w:rsidP="005455EE">
            <w:r>
              <w:t>If the household member who made the household eligible for the Section 811 PRA program passes away, the remaining family members are elig</w:t>
            </w:r>
            <w:r w:rsidRPr="00277328">
              <w:t>ible to remain in the unit and continue receiving rental assistance based on income.</w:t>
            </w:r>
            <w:r>
              <w:t xml:space="preserve"> </w:t>
            </w:r>
            <w:r w:rsidRPr="00277328">
              <w:t xml:space="preserve">However, if the eligible household member leaves the unit for any other reason other than death, the remaining members are eligible to continue receiving rental assistance if at least one remaining family member meets the definition of “persons </w:t>
            </w:r>
            <w:r w:rsidRPr="00277328">
              <w:lastRenderedPageBreak/>
              <w:t>with disabilities”. If, however, at least one family member does not meet the definition of a “person with disabilities” the remaining family members can still remain in the unit, but the household will not receive PRA rental assistance and must pay market rent.</w:t>
            </w:r>
          </w:p>
          <w:p w14:paraId="44971277" w14:textId="77777777" w:rsidR="005455EE" w:rsidRDefault="005455EE" w:rsidP="005455EE">
            <w:pPr>
              <w:rPr>
                <w:rFonts w:cs="Times New Roman"/>
                <w:bCs/>
              </w:rPr>
            </w:pPr>
          </w:p>
        </w:tc>
        <w:tc>
          <w:tcPr>
            <w:tcW w:w="3858" w:type="dxa"/>
            <w:shd w:val="clear" w:color="auto" w:fill="FFFFFF" w:themeFill="background1"/>
          </w:tcPr>
          <w:p w14:paraId="72AC2C41" w14:textId="089CFA2C" w:rsidR="005455EE" w:rsidRDefault="005455EE" w:rsidP="005455EE">
            <w:pPr>
              <w:autoSpaceDE w:val="0"/>
              <w:autoSpaceDN w:val="0"/>
              <w:adjustRightInd w:val="0"/>
            </w:pPr>
            <w:r>
              <w:lastRenderedPageBreak/>
              <w:t xml:space="preserve">No requirements regarding target population eligibility.  </w:t>
            </w:r>
          </w:p>
        </w:tc>
        <w:tc>
          <w:tcPr>
            <w:tcW w:w="3495" w:type="dxa"/>
            <w:shd w:val="clear" w:color="auto" w:fill="FFFFFF" w:themeFill="background1"/>
          </w:tcPr>
          <w:p w14:paraId="522AAF53" w14:textId="09361AD7" w:rsidR="005455EE" w:rsidRDefault="005455EE" w:rsidP="005455EE">
            <w:pPr>
              <w:autoSpaceDE w:val="0"/>
              <w:autoSpaceDN w:val="0"/>
              <w:adjustRightInd w:val="0"/>
            </w:pPr>
            <w:r>
              <w:rPr>
                <w:rFonts w:cs="Times New Roman"/>
                <w:bCs/>
              </w:rPr>
              <w:t>The property must follow the household eligibility requirement of the Section 811 PRA program.</w:t>
            </w:r>
          </w:p>
        </w:tc>
      </w:tr>
      <w:tr w:rsidR="005455EE" w:rsidRPr="00E65E77" w14:paraId="4F479A53" w14:textId="77777777" w:rsidTr="00B0215B">
        <w:tc>
          <w:tcPr>
            <w:tcW w:w="12950" w:type="dxa"/>
            <w:gridSpan w:val="4"/>
            <w:shd w:val="clear" w:color="auto" w:fill="DEEAF6" w:themeFill="accent1" w:themeFillTint="33"/>
          </w:tcPr>
          <w:p w14:paraId="6C27D5F2" w14:textId="0A91AC93" w:rsidR="005455EE" w:rsidRPr="00ED191B" w:rsidRDefault="005455EE" w:rsidP="005455EE">
            <w:pPr>
              <w:spacing w:after="160" w:line="259" w:lineRule="auto"/>
              <w:rPr>
                <w:rFonts w:eastAsia="Times New Roman" w:cs="Arial"/>
                <w:b/>
              </w:rPr>
            </w:pPr>
            <w:r w:rsidRPr="00ED191B">
              <w:rPr>
                <w:rFonts w:eastAsia="Times New Roman" w:cs="Arial"/>
                <w:b/>
              </w:rPr>
              <w:t>Property Should Follow Low-Income Housing Tax Credit Requirements</w:t>
            </w:r>
            <w:r w:rsidR="00ED191B">
              <w:rPr>
                <w:rFonts w:eastAsia="Times New Roman" w:cs="Arial"/>
                <w:b/>
              </w:rPr>
              <w:t xml:space="preserve"> Only</w:t>
            </w:r>
          </w:p>
        </w:tc>
      </w:tr>
      <w:tr w:rsidR="005455EE" w:rsidRPr="00E65E77" w14:paraId="05710EA0" w14:textId="77777777" w:rsidTr="00B0215B">
        <w:tc>
          <w:tcPr>
            <w:tcW w:w="1643" w:type="dxa"/>
            <w:shd w:val="clear" w:color="auto" w:fill="FFFFFF" w:themeFill="background1"/>
          </w:tcPr>
          <w:p w14:paraId="08F85446" w14:textId="77777777" w:rsidR="005455EE" w:rsidRPr="007463B4" w:rsidRDefault="005455EE" w:rsidP="005455EE">
            <w:pPr>
              <w:pStyle w:val="NoSpacing"/>
              <w:rPr>
                <w:rFonts w:eastAsia="Times New Roman" w:cs="Arial"/>
                <w:b/>
              </w:rPr>
            </w:pPr>
            <w:r w:rsidRPr="007463B4">
              <w:rPr>
                <w:rFonts w:eastAsia="Times New Roman" w:cs="Arial"/>
                <w:b/>
              </w:rPr>
              <w:t>None</w:t>
            </w:r>
          </w:p>
        </w:tc>
        <w:tc>
          <w:tcPr>
            <w:tcW w:w="3954" w:type="dxa"/>
            <w:shd w:val="clear" w:color="auto" w:fill="FFFFFF" w:themeFill="background1"/>
          </w:tcPr>
          <w:p w14:paraId="52D35871" w14:textId="77777777" w:rsidR="005455EE" w:rsidRDefault="005455EE" w:rsidP="005455EE">
            <w:pPr>
              <w:pStyle w:val="NoSpacing"/>
              <w:rPr>
                <w:rFonts w:eastAsia="Times New Roman" w:cs="Arial"/>
              </w:rPr>
            </w:pPr>
          </w:p>
          <w:p w14:paraId="10F4C23E" w14:textId="77777777" w:rsidR="00115BF0" w:rsidRDefault="00115BF0" w:rsidP="005455EE">
            <w:pPr>
              <w:pStyle w:val="NoSpacing"/>
              <w:rPr>
                <w:rFonts w:eastAsia="Times New Roman" w:cs="Arial"/>
              </w:rPr>
            </w:pPr>
          </w:p>
          <w:p w14:paraId="39C5A70B" w14:textId="77777777" w:rsidR="00115BF0" w:rsidRPr="001F799C" w:rsidRDefault="00115BF0" w:rsidP="005455EE">
            <w:pPr>
              <w:pStyle w:val="NoSpacing"/>
              <w:rPr>
                <w:rFonts w:eastAsia="Times New Roman" w:cs="Arial"/>
              </w:rPr>
            </w:pPr>
          </w:p>
        </w:tc>
        <w:tc>
          <w:tcPr>
            <w:tcW w:w="3858" w:type="dxa"/>
            <w:shd w:val="clear" w:color="auto" w:fill="FFFFFF" w:themeFill="background1"/>
          </w:tcPr>
          <w:p w14:paraId="6EA631E0" w14:textId="77777777" w:rsidR="005455EE" w:rsidRPr="001F799C" w:rsidRDefault="005455EE" w:rsidP="005455EE">
            <w:pPr>
              <w:pStyle w:val="NoSpacing"/>
              <w:rPr>
                <w:rFonts w:eastAsia="Times New Roman" w:cs="Arial"/>
              </w:rPr>
            </w:pPr>
          </w:p>
        </w:tc>
        <w:tc>
          <w:tcPr>
            <w:tcW w:w="3495" w:type="dxa"/>
            <w:shd w:val="clear" w:color="auto" w:fill="FFFFFF" w:themeFill="background1"/>
          </w:tcPr>
          <w:p w14:paraId="78D45941" w14:textId="77777777" w:rsidR="005455EE" w:rsidRPr="001F799C" w:rsidRDefault="005455EE" w:rsidP="005455EE">
            <w:pPr>
              <w:pStyle w:val="NoSpacing"/>
              <w:rPr>
                <w:rFonts w:eastAsia="Times New Roman" w:cs="Arial"/>
              </w:rPr>
            </w:pPr>
          </w:p>
        </w:tc>
      </w:tr>
      <w:tr w:rsidR="005455EE" w:rsidRPr="00E65E77" w14:paraId="160B55F8" w14:textId="77777777" w:rsidTr="00B0215B">
        <w:trPr>
          <w:trHeight w:val="152"/>
        </w:trPr>
        <w:tc>
          <w:tcPr>
            <w:tcW w:w="12950" w:type="dxa"/>
            <w:gridSpan w:val="4"/>
            <w:shd w:val="clear" w:color="auto" w:fill="DEEAF6" w:themeFill="accent1" w:themeFillTint="33"/>
          </w:tcPr>
          <w:p w14:paraId="5D4AB4EA" w14:textId="77777777" w:rsidR="005455EE" w:rsidRPr="00ED191B" w:rsidRDefault="005455EE" w:rsidP="005455EE">
            <w:pPr>
              <w:spacing w:after="160" w:line="259" w:lineRule="auto"/>
              <w:rPr>
                <w:rFonts w:eastAsia="Times New Roman" w:cs="Arial"/>
                <w:b/>
              </w:rPr>
            </w:pPr>
            <w:r w:rsidRPr="00ED191B">
              <w:rPr>
                <w:rFonts w:eastAsia="Times New Roman" w:cs="Arial"/>
                <w:b/>
              </w:rPr>
              <w:t>Section 811 PRA Rules and Low-Income Housing Tax Credit Requirements are the Same</w:t>
            </w:r>
          </w:p>
        </w:tc>
      </w:tr>
      <w:tr w:rsidR="005455EE" w:rsidRPr="00E65E77" w14:paraId="222F03F5" w14:textId="77777777" w:rsidTr="00B0215B">
        <w:trPr>
          <w:trHeight w:val="152"/>
        </w:trPr>
        <w:tc>
          <w:tcPr>
            <w:tcW w:w="1643" w:type="dxa"/>
            <w:shd w:val="clear" w:color="auto" w:fill="FFFFFF" w:themeFill="background1"/>
          </w:tcPr>
          <w:p w14:paraId="4BEDC038"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Citizenship</w:t>
            </w:r>
          </w:p>
        </w:tc>
        <w:tc>
          <w:tcPr>
            <w:tcW w:w="3954" w:type="dxa"/>
            <w:shd w:val="clear" w:color="auto" w:fill="FFFFFF" w:themeFill="background1"/>
          </w:tcPr>
          <w:p w14:paraId="7AF3F5DD" w14:textId="77777777" w:rsidR="005455EE" w:rsidRPr="00E65E77" w:rsidRDefault="005455EE" w:rsidP="005455EE">
            <w:pPr>
              <w:autoSpaceDE w:val="0"/>
              <w:autoSpaceDN w:val="0"/>
              <w:adjustRightInd w:val="0"/>
              <w:rPr>
                <w:rFonts w:cs="Arial"/>
              </w:rPr>
            </w:pPr>
            <w:r>
              <w:rPr>
                <w:rFonts w:cs="Arial"/>
              </w:rPr>
              <w:t>No</w:t>
            </w:r>
            <w:r w:rsidRPr="00E65E77">
              <w:rPr>
                <w:rFonts w:cs="Arial"/>
              </w:rPr>
              <w:t xml:space="preserve"> citizenship requirements.</w:t>
            </w:r>
          </w:p>
        </w:tc>
        <w:tc>
          <w:tcPr>
            <w:tcW w:w="3858" w:type="dxa"/>
            <w:shd w:val="clear" w:color="auto" w:fill="FFFFFF" w:themeFill="background1"/>
          </w:tcPr>
          <w:p w14:paraId="7C2C1119" w14:textId="77777777" w:rsidR="005455EE" w:rsidRPr="00E65E77" w:rsidRDefault="005455EE" w:rsidP="005455EE">
            <w:pPr>
              <w:shd w:val="clear" w:color="auto" w:fill="FFFFFF"/>
              <w:spacing w:before="100" w:beforeAutospacing="1" w:after="100" w:afterAutospacing="1" w:line="324" w:lineRule="atLeast"/>
              <w:rPr>
                <w:rFonts w:eastAsia="Times New Roman" w:cs="Arial"/>
              </w:rPr>
            </w:pPr>
            <w:r>
              <w:rPr>
                <w:rFonts w:eastAsia="Times New Roman" w:cs="Arial"/>
              </w:rPr>
              <w:t xml:space="preserve">No </w:t>
            </w:r>
            <w:r w:rsidRPr="00E65E77">
              <w:rPr>
                <w:rFonts w:eastAsia="Times New Roman" w:cs="Arial"/>
              </w:rPr>
              <w:t>citizenship requirements.</w:t>
            </w:r>
          </w:p>
        </w:tc>
        <w:tc>
          <w:tcPr>
            <w:tcW w:w="3495" w:type="dxa"/>
            <w:shd w:val="clear" w:color="auto" w:fill="FFFFFF" w:themeFill="background1"/>
          </w:tcPr>
          <w:p w14:paraId="4198E8FD" w14:textId="77777777" w:rsidR="005455EE" w:rsidRDefault="005455EE" w:rsidP="005455EE">
            <w:pPr>
              <w:shd w:val="clear" w:color="auto" w:fill="FFFFFF"/>
              <w:spacing w:before="100" w:beforeAutospacing="1" w:after="100" w:afterAutospacing="1" w:line="324" w:lineRule="atLeast"/>
              <w:rPr>
                <w:rFonts w:eastAsia="Times New Roman" w:cs="Arial"/>
              </w:rPr>
            </w:pPr>
            <w:r>
              <w:rPr>
                <w:rFonts w:eastAsia="Times New Roman" w:cs="Arial"/>
              </w:rPr>
              <w:t>No citizenship requirements.</w:t>
            </w:r>
          </w:p>
        </w:tc>
      </w:tr>
      <w:tr w:rsidR="005455EE" w:rsidRPr="00E65E77" w14:paraId="75819C25" w14:textId="77777777" w:rsidTr="00B0215B">
        <w:trPr>
          <w:trHeight w:val="152"/>
        </w:trPr>
        <w:tc>
          <w:tcPr>
            <w:tcW w:w="1643" w:type="dxa"/>
            <w:shd w:val="clear" w:color="auto" w:fill="FFFFFF" w:themeFill="background1"/>
          </w:tcPr>
          <w:p w14:paraId="00B7A3E0"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Eviction</w:t>
            </w:r>
          </w:p>
        </w:tc>
        <w:tc>
          <w:tcPr>
            <w:tcW w:w="3954" w:type="dxa"/>
            <w:shd w:val="clear" w:color="auto" w:fill="FFFFFF" w:themeFill="background1"/>
          </w:tcPr>
          <w:p w14:paraId="201681FF" w14:textId="77777777" w:rsidR="005455EE" w:rsidRPr="00A36952" w:rsidRDefault="005455EE" w:rsidP="005455EE">
            <w:pPr>
              <w:autoSpaceDE w:val="0"/>
              <w:autoSpaceDN w:val="0"/>
              <w:adjustRightInd w:val="0"/>
              <w:rPr>
                <w:rFonts w:cs="Arial"/>
                <w:u w:val="single"/>
              </w:rPr>
            </w:pPr>
            <w:r>
              <w:rPr>
                <w:rFonts w:cs="Arial"/>
                <w:bCs/>
              </w:rPr>
              <w:t>May evict for material noncompliance with the program, drug abuse, criminal activity, failure to follow State laws, and other good cause.</w:t>
            </w:r>
          </w:p>
        </w:tc>
        <w:tc>
          <w:tcPr>
            <w:tcW w:w="3858" w:type="dxa"/>
            <w:shd w:val="clear" w:color="auto" w:fill="FFFFFF" w:themeFill="background1"/>
          </w:tcPr>
          <w:p w14:paraId="1A85E144" w14:textId="77777777" w:rsidR="005455EE" w:rsidRDefault="005455EE" w:rsidP="005455EE">
            <w:pPr>
              <w:shd w:val="clear" w:color="auto" w:fill="FFFFFF"/>
              <w:spacing w:before="100" w:beforeAutospacing="1" w:after="100" w:afterAutospacing="1" w:line="324" w:lineRule="atLeast"/>
            </w:pPr>
            <w:r>
              <w:t>Can only evict for good cause, as determined by state or local law.</w:t>
            </w:r>
            <w:r w:rsidRPr="007B644A">
              <w:t xml:space="preserve"> </w:t>
            </w:r>
          </w:p>
          <w:p w14:paraId="1D1FB394" w14:textId="77777777" w:rsidR="005455EE" w:rsidRPr="007B644A" w:rsidRDefault="005455EE" w:rsidP="005455EE">
            <w:pPr>
              <w:pStyle w:val="NormalWeb"/>
              <w:shd w:val="clear" w:color="auto" w:fill="FFFFFF"/>
              <w:spacing w:before="225" w:beforeAutospacing="0" w:after="0" w:afterAutospacing="0" w:line="240" w:lineRule="atLeast"/>
              <w:textAlignment w:val="baseline"/>
              <w:rPr>
                <w:rFonts w:cs="Arial"/>
              </w:rPr>
            </w:pPr>
          </w:p>
        </w:tc>
        <w:tc>
          <w:tcPr>
            <w:tcW w:w="3495" w:type="dxa"/>
            <w:shd w:val="clear" w:color="auto" w:fill="FFFFFF" w:themeFill="background1"/>
          </w:tcPr>
          <w:p w14:paraId="6438E3A2" w14:textId="77777777" w:rsidR="005455EE" w:rsidRDefault="005455EE" w:rsidP="005455EE">
            <w:pPr>
              <w:shd w:val="clear" w:color="auto" w:fill="FFFFFF"/>
              <w:spacing w:before="100" w:beforeAutospacing="1" w:after="100" w:afterAutospacing="1" w:line="324" w:lineRule="atLeast"/>
            </w:pPr>
            <w:r>
              <w:t>Section 811 PRA tenants may only be evicted for good cause.</w:t>
            </w:r>
          </w:p>
        </w:tc>
      </w:tr>
      <w:tr w:rsidR="005455EE" w:rsidRPr="00E65E77" w14:paraId="6A7D1260" w14:textId="77777777" w:rsidTr="00B0215B">
        <w:trPr>
          <w:trHeight w:val="152"/>
        </w:trPr>
        <w:tc>
          <w:tcPr>
            <w:tcW w:w="1643" w:type="dxa"/>
            <w:shd w:val="clear" w:color="auto" w:fill="FFFFFF" w:themeFill="background1"/>
          </w:tcPr>
          <w:p w14:paraId="08503B52"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Assets</w:t>
            </w:r>
          </w:p>
        </w:tc>
        <w:tc>
          <w:tcPr>
            <w:tcW w:w="3954" w:type="dxa"/>
            <w:shd w:val="clear" w:color="auto" w:fill="FFFFFF" w:themeFill="background1"/>
          </w:tcPr>
          <w:p w14:paraId="09006048" w14:textId="77777777" w:rsidR="005455EE" w:rsidRPr="00025E64" w:rsidRDefault="005455EE" w:rsidP="005455EE">
            <w:pPr>
              <w:autoSpaceDE w:val="0"/>
              <w:autoSpaceDN w:val="0"/>
              <w:adjustRightInd w:val="0"/>
              <w:spacing w:line="276" w:lineRule="auto"/>
              <w:rPr>
                <w:rFonts w:cs="Arial"/>
                <w:bCs/>
              </w:rPr>
            </w:pPr>
            <w:r>
              <w:rPr>
                <w:rFonts w:cs="Arial"/>
                <w:bCs/>
              </w:rPr>
              <w:t>There is no asset limitation, but income from assets must be determined using 4350.3 requirements.</w:t>
            </w:r>
          </w:p>
          <w:p w14:paraId="6E7A5311" w14:textId="77777777" w:rsidR="005455EE" w:rsidRDefault="005455EE" w:rsidP="005455EE">
            <w:pPr>
              <w:autoSpaceDE w:val="0"/>
              <w:autoSpaceDN w:val="0"/>
              <w:adjustRightInd w:val="0"/>
              <w:spacing w:line="276" w:lineRule="auto"/>
              <w:rPr>
                <w:rFonts w:cs="Arial"/>
                <w:b/>
                <w:bCs/>
              </w:rPr>
            </w:pPr>
          </w:p>
          <w:p w14:paraId="65D193C2" w14:textId="77777777" w:rsidR="005455EE" w:rsidRPr="009D7F3B" w:rsidRDefault="005455EE" w:rsidP="005455EE">
            <w:pPr>
              <w:autoSpaceDE w:val="0"/>
              <w:autoSpaceDN w:val="0"/>
              <w:adjustRightInd w:val="0"/>
              <w:spacing w:line="276" w:lineRule="auto"/>
            </w:pPr>
          </w:p>
        </w:tc>
        <w:tc>
          <w:tcPr>
            <w:tcW w:w="3858" w:type="dxa"/>
            <w:shd w:val="clear" w:color="auto" w:fill="FFFFFF" w:themeFill="background1"/>
          </w:tcPr>
          <w:p w14:paraId="341E5890" w14:textId="77777777" w:rsidR="005455EE" w:rsidRDefault="005455EE" w:rsidP="005455EE">
            <w:pPr>
              <w:shd w:val="clear" w:color="auto" w:fill="FFFFFF"/>
              <w:spacing w:line="276" w:lineRule="auto"/>
              <w:textAlignment w:val="baseline"/>
              <w:rPr>
                <w:rFonts w:eastAsia="Times New Roman" w:cs="Arial"/>
                <w:color w:val="000000"/>
              </w:rPr>
            </w:pPr>
            <w:r>
              <w:rPr>
                <w:rFonts w:eastAsia="Times New Roman" w:cs="Arial"/>
                <w:color w:val="000000"/>
              </w:rPr>
              <w:t>The owner must verify all assets, but there are no limits on the amount of assets a household may hold.  Income from assets must be determined using 4350.3 requirements.</w:t>
            </w:r>
          </w:p>
          <w:p w14:paraId="0B38530C" w14:textId="77777777" w:rsidR="005455EE" w:rsidRPr="009D7F3B" w:rsidRDefault="005455EE" w:rsidP="005455EE">
            <w:pPr>
              <w:shd w:val="clear" w:color="auto" w:fill="FFFFFF"/>
              <w:spacing w:line="276" w:lineRule="auto"/>
              <w:textAlignment w:val="baseline"/>
            </w:pPr>
          </w:p>
        </w:tc>
        <w:tc>
          <w:tcPr>
            <w:tcW w:w="3495" w:type="dxa"/>
            <w:shd w:val="clear" w:color="auto" w:fill="FFFFFF" w:themeFill="background1"/>
          </w:tcPr>
          <w:p w14:paraId="0AD6B8D2" w14:textId="77777777" w:rsidR="005455EE" w:rsidRDefault="005455EE" w:rsidP="005455EE">
            <w:pPr>
              <w:shd w:val="clear" w:color="auto" w:fill="FFFFFF"/>
              <w:spacing w:line="276" w:lineRule="auto"/>
              <w:textAlignment w:val="baseline"/>
              <w:rPr>
                <w:rFonts w:eastAsia="Times New Roman" w:cs="Arial"/>
                <w:color w:val="000000"/>
              </w:rPr>
            </w:pPr>
            <w:r>
              <w:rPr>
                <w:rFonts w:eastAsia="Times New Roman" w:cs="Arial"/>
                <w:color w:val="000000"/>
              </w:rPr>
              <w:t>There are no asset limits, but income from assets must be determined.</w:t>
            </w:r>
          </w:p>
        </w:tc>
      </w:tr>
      <w:tr w:rsidR="005455EE" w:rsidRPr="00E65E77" w14:paraId="1D4BB07E" w14:textId="77777777" w:rsidTr="00B0215B">
        <w:trPr>
          <w:trHeight w:val="152"/>
        </w:trPr>
        <w:tc>
          <w:tcPr>
            <w:tcW w:w="1643" w:type="dxa"/>
            <w:shd w:val="clear" w:color="auto" w:fill="FFFFFF" w:themeFill="background1"/>
          </w:tcPr>
          <w:p w14:paraId="5B36CEA8" w14:textId="04BBBEB0"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Absenteeism Impact on Income Determination</w:t>
            </w:r>
          </w:p>
        </w:tc>
        <w:tc>
          <w:tcPr>
            <w:tcW w:w="3954" w:type="dxa"/>
            <w:shd w:val="clear" w:color="auto" w:fill="FFFFFF" w:themeFill="background1"/>
          </w:tcPr>
          <w:p w14:paraId="60A2DE71" w14:textId="77777777" w:rsidR="005455EE" w:rsidRDefault="005455EE" w:rsidP="005455EE">
            <w:pPr>
              <w:autoSpaceDE w:val="0"/>
              <w:autoSpaceDN w:val="0"/>
              <w:adjustRightInd w:val="0"/>
              <w:rPr>
                <w:rFonts w:cs="Arial"/>
                <w:bCs/>
              </w:rPr>
            </w:pPr>
            <w:r>
              <w:rPr>
                <w:rFonts w:cs="Arial"/>
                <w:bCs/>
              </w:rPr>
              <w:t xml:space="preserve">Temporarily absent family members must be included when determining household limits, including family members in the hospital.  The family decides if a person permanently confined to a hospital or </w:t>
            </w:r>
            <w:r>
              <w:rPr>
                <w:rFonts w:cs="Arial"/>
                <w:bCs/>
              </w:rPr>
              <w:lastRenderedPageBreak/>
              <w:t>nursing home is part of the family for income limits and that person cannot be listed as the head, co-head, or spouse.  If listed as part of the family, all income must be counted.</w:t>
            </w:r>
          </w:p>
          <w:p w14:paraId="633C85F7" w14:textId="77777777" w:rsidR="005455EE" w:rsidRDefault="005455EE" w:rsidP="005455EE">
            <w:pPr>
              <w:autoSpaceDE w:val="0"/>
              <w:autoSpaceDN w:val="0"/>
              <w:adjustRightInd w:val="0"/>
              <w:rPr>
                <w:rFonts w:cs="Arial"/>
                <w:bCs/>
              </w:rPr>
            </w:pPr>
          </w:p>
        </w:tc>
        <w:tc>
          <w:tcPr>
            <w:tcW w:w="3858" w:type="dxa"/>
            <w:shd w:val="clear" w:color="auto" w:fill="FFFFFF" w:themeFill="background1"/>
          </w:tcPr>
          <w:p w14:paraId="23EC4AAB" w14:textId="77777777" w:rsidR="005455EE" w:rsidRDefault="005455EE" w:rsidP="005455EE">
            <w:pPr>
              <w:autoSpaceDE w:val="0"/>
              <w:autoSpaceDN w:val="0"/>
              <w:adjustRightInd w:val="0"/>
              <w:rPr>
                <w:rFonts w:cs="Arial"/>
                <w:bCs/>
              </w:rPr>
            </w:pPr>
            <w:r>
              <w:rPr>
                <w:rFonts w:cs="Arial"/>
                <w:bCs/>
              </w:rPr>
              <w:lastRenderedPageBreak/>
              <w:t xml:space="preserve">Temporarily absent family members must be included when determining household limits, including family members in the hospital.  The family decides if a person permanently </w:t>
            </w:r>
            <w:r>
              <w:rPr>
                <w:rFonts w:cs="Arial"/>
                <w:bCs/>
              </w:rPr>
              <w:lastRenderedPageBreak/>
              <w:t>confined to a hospital or nursing home is part of the family for income limits and cannot be listed as the head, co-head, or spouse.  If listed as part of the family, all income must be counted.</w:t>
            </w:r>
          </w:p>
          <w:p w14:paraId="3AF95837" w14:textId="77777777" w:rsidR="005455EE" w:rsidRDefault="005455EE" w:rsidP="005455EE">
            <w:pPr>
              <w:autoSpaceDE w:val="0"/>
              <w:autoSpaceDN w:val="0"/>
              <w:adjustRightInd w:val="0"/>
              <w:rPr>
                <w:rFonts w:cs="Arial"/>
                <w:bCs/>
              </w:rPr>
            </w:pPr>
          </w:p>
        </w:tc>
        <w:tc>
          <w:tcPr>
            <w:tcW w:w="3495" w:type="dxa"/>
            <w:shd w:val="clear" w:color="auto" w:fill="FFFFFF" w:themeFill="background1"/>
          </w:tcPr>
          <w:p w14:paraId="0ABA0482" w14:textId="77777777" w:rsidR="005455EE" w:rsidRDefault="005455EE" w:rsidP="005455EE">
            <w:pPr>
              <w:autoSpaceDE w:val="0"/>
              <w:autoSpaceDN w:val="0"/>
              <w:adjustRightInd w:val="0"/>
              <w:rPr>
                <w:rFonts w:cs="Arial"/>
                <w:bCs/>
              </w:rPr>
            </w:pPr>
            <w:r>
              <w:rPr>
                <w:rFonts w:cs="Arial"/>
                <w:bCs/>
              </w:rPr>
              <w:lastRenderedPageBreak/>
              <w:t xml:space="preserve">For Section 811 PRA tenants, temporarily absent household members must be included in income determination and limits.  </w:t>
            </w:r>
          </w:p>
        </w:tc>
      </w:tr>
      <w:tr w:rsidR="005455EE" w:rsidRPr="00E65E77" w14:paraId="583E4C15" w14:textId="77777777" w:rsidTr="00B0215B">
        <w:tc>
          <w:tcPr>
            <w:tcW w:w="12950" w:type="dxa"/>
            <w:gridSpan w:val="4"/>
            <w:shd w:val="clear" w:color="auto" w:fill="DEEAF6" w:themeFill="accent1" w:themeFillTint="33"/>
          </w:tcPr>
          <w:p w14:paraId="7BBE8D43" w14:textId="77777777" w:rsidR="005455EE" w:rsidRPr="00ED191B" w:rsidRDefault="005455EE" w:rsidP="005455EE">
            <w:pPr>
              <w:spacing w:after="160" w:line="259" w:lineRule="auto"/>
              <w:rPr>
                <w:rFonts w:eastAsia="Times New Roman" w:cs="Arial"/>
                <w:b/>
              </w:rPr>
            </w:pPr>
            <w:r w:rsidRPr="00ED191B">
              <w:rPr>
                <w:rFonts w:eastAsia="Times New Roman" w:cs="Arial"/>
                <w:b/>
              </w:rPr>
              <w:t>Section 811 PRA Rules and Low-Income Housing Tax Credit Requirements are Different – Follow Both</w:t>
            </w:r>
          </w:p>
        </w:tc>
      </w:tr>
      <w:tr w:rsidR="005455EE" w:rsidRPr="00E65E77" w14:paraId="53A36569" w14:textId="77777777" w:rsidTr="00B0215B">
        <w:tc>
          <w:tcPr>
            <w:tcW w:w="1643" w:type="dxa"/>
          </w:tcPr>
          <w:p w14:paraId="68F9AE7F"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Income Verification through EIV</w:t>
            </w:r>
          </w:p>
        </w:tc>
        <w:tc>
          <w:tcPr>
            <w:tcW w:w="3954" w:type="dxa"/>
          </w:tcPr>
          <w:p w14:paraId="4DA83B6B" w14:textId="77777777" w:rsidR="005455EE" w:rsidRPr="006E43A4" w:rsidRDefault="005455EE" w:rsidP="005455EE">
            <w:pPr>
              <w:autoSpaceDE w:val="0"/>
              <w:autoSpaceDN w:val="0"/>
              <w:adjustRightInd w:val="0"/>
              <w:rPr>
                <w:rFonts w:cs="Arial"/>
              </w:rPr>
            </w:pPr>
            <w:r>
              <w:rPr>
                <w:rFonts w:cs="Arial"/>
              </w:rPr>
              <w:t xml:space="preserve">The Section 811 PRA program requires the use of the EIV system to verify employment and income.  </w:t>
            </w:r>
          </w:p>
          <w:p w14:paraId="49FC4652" w14:textId="77777777" w:rsidR="005455EE" w:rsidRPr="00E65E77" w:rsidRDefault="005455EE" w:rsidP="005455EE">
            <w:pPr>
              <w:autoSpaceDE w:val="0"/>
              <w:autoSpaceDN w:val="0"/>
              <w:adjustRightInd w:val="0"/>
              <w:rPr>
                <w:rFonts w:cs="Arial"/>
                <w:bCs/>
              </w:rPr>
            </w:pPr>
          </w:p>
        </w:tc>
        <w:tc>
          <w:tcPr>
            <w:tcW w:w="3858" w:type="dxa"/>
          </w:tcPr>
          <w:p w14:paraId="6E229872" w14:textId="77777777" w:rsidR="005455EE" w:rsidRPr="00E65E77" w:rsidRDefault="005455EE" w:rsidP="005455EE">
            <w:pPr>
              <w:shd w:val="clear" w:color="auto" w:fill="FFFFFF"/>
              <w:spacing w:before="100" w:beforeAutospacing="1" w:after="100" w:afterAutospacing="1" w:line="324" w:lineRule="atLeast"/>
              <w:rPr>
                <w:rFonts w:eastAsia="Times New Roman" w:cs="Arial"/>
              </w:rPr>
            </w:pPr>
            <w:r w:rsidRPr="00E65E77">
              <w:rPr>
                <w:rFonts w:eastAsia="Times New Roman" w:cs="Arial"/>
              </w:rPr>
              <w:t>Cannot use EIV system due to HUD requirements, not IRS requirements</w:t>
            </w:r>
          </w:p>
        </w:tc>
        <w:tc>
          <w:tcPr>
            <w:tcW w:w="3495" w:type="dxa"/>
          </w:tcPr>
          <w:p w14:paraId="403F3364" w14:textId="77777777" w:rsidR="005455EE" w:rsidRPr="00E65E77" w:rsidRDefault="005455EE" w:rsidP="005455EE">
            <w:pPr>
              <w:shd w:val="clear" w:color="auto" w:fill="FFFFFF"/>
              <w:spacing w:before="100" w:beforeAutospacing="1" w:after="100" w:afterAutospacing="1" w:line="324" w:lineRule="atLeast"/>
              <w:rPr>
                <w:rFonts w:eastAsia="Times New Roman" w:cs="Arial"/>
              </w:rPr>
            </w:pPr>
            <w:r>
              <w:rPr>
                <w:rFonts w:eastAsia="Times New Roman" w:cs="Arial"/>
              </w:rPr>
              <w:t>Must use the EIV system to verify employment and income for all Section 811 PRA tenants, but cannot use that information for those same tenants for verification of income for the HTC program.</w:t>
            </w:r>
          </w:p>
        </w:tc>
      </w:tr>
      <w:tr w:rsidR="005455EE" w:rsidRPr="00E65E77" w14:paraId="1E2F8986" w14:textId="77777777" w:rsidTr="00B0215B">
        <w:tc>
          <w:tcPr>
            <w:tcW w:w="1643" w:type="dxa"/>
          </w:tcPr>
          <w:p w14:paraId="3E763E11"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Household Income Documentation</w:t>
            </w:r>
          </w:p>
        </w:tc>
        <w:tc>
          <w:tcPr>
            <w:tcW w:w="3954" w:type="dxa"/>
          </w:tcPr>
          <w:p w14:paraId="5937F29B" w14:textId="77777777" w:rsidR="005455EE" w:rsidRPr="0098506D" w:rsidRDefault="005455EE" w:rsidP="005455EE">
            <w:r>
              <w:t>Must use HUD Handbook 4350.3 requirements.</w:t>
            </w:r>
          </w:p>
        </w:tc>
        <w:tc>
          <w:tcPr>
            <w:tcW w:w="3858" w:type="dxa"/>
          </w:tcPr>
          <w:p w14:paraId="52631BBE" w14:textId="5B8D6734" w:rsidR="005455EE" w:rsidRPr="0098506D" w:rsidRDefault="005455EE" w:rsidP="005455EE">
            <w:pPr>
              <w:rPr>
                <w:rFonts w:eastAsia="Times New Roman" w:cs="Times New Roman"/>
                <w:bCs/>
                <w:shd w:val="clear" w:color="auto" w:fill="FFFFFF"/>
              </w:rPr>
            </w:pPr>
            <w:r>
              <w:rPr>
                <w:rFonts w:eastAsia="Times New Roman" w:cs="Times New Roman"/>
                <w:bCs/>
                <w:shd w:val="clear" w:color="auto" w:fill="FFFFFF"/>
              </w:rPr>
              <w:t>No IRS requirement. HA must designate the Tenant Income Certification (TIC) form.</w:t>
            </w:r>
          </w:p>
        </w:tc>
        <w:tc>
          <w:tcPr>
            <w:tcW w:w="3495" w:type="dxa"/>
          </w:tcPr>
          <w:p w14:paraId="3F2C3665" w14:textId="77777777" w:rsidR="005455EE" w:rsidRDefault="005455EE" w:rsidP="005455EE">
            <w:pPr>
              <w:rPr>
                <w:rFonts w:eastAsia="Times New Roman" w:cs="Times New Roman"/>
                <w:bCs/>
                <w:shd w:val="clear" w:color="auto" w:fill="FFFFFF"/>
              </w:rPr>
            </w:pPr>
            <w:r>
              <w:rPr>
                <w:rFonts w:eastAsia="Times New Roman" w:cs="Times New Roman"/>
                <w:bCs/>
                <w:shd w:val="clear" w:color="auto" w:fill="FFFFFF"/>
              </w:rPr>
              <w:t xml:space="preserve">For Section 811 PRA tenants, the owner must document income according to both </w:t>
            </w:r>
            <w:r>
              <w:t xml:space="preserve">Section </w:t>
            </w:r>
            <w:r>
              <w:rPr>
                <w:rFonts w:eastAsia="Times New Roman" w:cs="Times New Roman"/>
                <w:bCs/>
                <w:shd w:val="clear" w:color="auto" w:fill="FFFFFF"/>
              </w:rPr>
              <w:t>811 and HTC requirements.</w:t>
            </w:r>
          </w:p>
        </w:tc>
      </w:tr>
      <w:tr w:rsidR="005455EE" w:rsidRPr="00E65E77" w14:paraId="2B45EFDA" w14:textId="77777777" w:rsidTr="00B0215B">
        <w:tc>
          <w:tcPr>
            <w:tcW w:w="1643" w:type="dxa"/>
          </w:tcPr>
          <w:p w14:paraId="20BBA270" w14:textId="77777777"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Tenant File Retention</w:t>
            </w:r>
          </w:p>
        </w:tc>
        <w:tc>
          <w:tcPr>
            <w:tcW w:w="3954" w:type="dxa"/>
          </w:tcPr>
          <w:p w14:paraId="59536479" w14:textId="5ABD2083" w:rsidR="005455EE" w:rsidRPr="00EE2C00" w:rsidRDefault="005455EE" w:rsidP="005455EE">
            <w:pPr>
              <w:autoSpaceDE w:val="0"/>
              <w:autoSpaceDN w:val="0"/>
              <w:adjustRightInd w:val="0"/>
              <w:spacing w:line="276" w:lineRule="auto"/>
              <w:rPr>
                <w:rFonts w:cs="Arial"/>
                <w:bCs/>
              </w:rPr>
            </w:pPr>
            <w:r>
              <w:rPr>
                <w:rFonts w:cs="Arial"/>
                <w:bCs/>
              </w:rPr>
              <w:t>Must retain all active waiting list applications; retain for 3 years documentation of everyone taken off the waiting list (including application, rejection notice, etc.); retain for duration of tenancy certain documentation, and for former tenants, maintain certain documentation for 3 years after the tenant leaves.</w:t>
            </w:r>
          </w:p>
          <w:p w14:paraId="6F42623A" w14:textId="77777777" w:rsidR="005455EE" w:rsidRPr="00FD01DD" w:rsidRDefault="005455EE" w:rsidP="005455EE">
            <w:pPr>
              <w:autoSpaceDE w:val="0"/>
              <w:autoSpaceDN w:val="0"/>
              <w:adjustRightInd w:val="0"/>
              <w:spacing w:line="276" w:lineRule="auto"/>
              <w:rPr>
                <w:rFonts w:cs="Arial"/>
              </w:rPr>
            </w:pPr>
          </w:p>
        </w:tc>
        <w:tc>
          <w:tcPr>
            <w:tcW w:w="3858" w:type="dxa"/>
          </w:tcPr>
          <w:p w14:paraId="60BF36F7" w14:textId="77777777" w:rsidR="005455EE" w:rsidRPr="00037AE9" w:rsidRDefault="005455EE" w:rsidP="005455EE">
            <w:pPr>
              <w:shd w:val="clear" w:color="auto" w:fill="FFFFFF"/>
              <w:spacing w:line="276" w:lineRule="auto"/>
              <w:rPr>
                <w:rFonts w:eastAsia="Times New Roman" w:cs="Times New Roman"/>
                <w:bCs/>
              </w:rPr>
            </w:pPr>
            <w:r>
              <w:rPr>
                <w:rFonts w:eastAsia="Times New Roman" w:cs="Times New Roman"/>
                <w:bCs/>
              </w:rPr>
              <w:t>Retain for 6 years after the filing of tax return, the income certification of each tenant and back-up documentation.  The first year’s HTC files must be kept for 6 years after the compliance period.</w:t>
            </w:r>
          </w:p>
          <w:p w14:paraId="22AC9127" w14:textId="77777777" w:rsidR="005455EE" w:rsidRDefault="005455EE" w:rsidP="005455EE">
            <w:pPr>
              <w:shd w:val="clear" w:color="auto" w:fill="FFFFFF"/>
              <w:spacing w:line="276" w:lineRule="auto"/>
              <w:rPr>
                <w:rFonts w:eastAsia="Times New Roman" w:cs="Times New Roman"/>
                <w:b/>
                <w:bCs/>
              </w:rPr>
            </w:pPr>
          </w:p>
          <w:p w14:paraId="51493C77" w14:textId="77777777" w:rsidR="005455EE" w:rsidRPr="00FD01DD" w:rsidRDefault="005455EE" w:rsidP="005455EE">
            <w:pPr>
              <w:shd w:val="clear" w:color="auto" w:fill="FFFFFF"/>
              <w:spacing w:line="276" w:lineRule="auto"/>
              <w:rPr>
                <w:rFonts w:eastAsia="Times New Roman" w:cs="Arial"/>
              </w:rPr>
            </w:pPr>
          </w:p>
        </w:tc>
        <w:tc>
          <w:tcPr>
            <w:tcW w:w="3495" w:type="dxa"/>
          </w:tcPr>
          <w:p w14:paraId="01A17D06" w14:textId="24952DA3" w:rsidR="005455EE" w:rsidRDefault="005455EE" w:rsidP="005455EE">
            <w:pPr>
              <w:shd w:val="clear" w:color="auto" w:fill="FFFFFF"/>
              <w:spacing w:line="276" w:lineRule="auto"/>
              <w:rPr>
                <w:rFonts w:eastAsia="Times New Roman" w:cs="Times New Roman"/>
                <w:bCs/>
              </w:rPr>
            </w:pPr>
            <w:r>
              <w:rPr>
                <w:rFonts w:eastAsia="Times New Roman" w:cs="Times New Roman"/>
                <w:bCs/>
              </w:rPr>
              <w:t>For Section 811 PRA tenants, files must be retained for 6 years, and if the Section 811 tenants are within the HTC’s property’s first year, they must be kept for 6 years after the compliance period.  The HA will assign responsibility for maintaining waiting list files.</w:t>
            </w:r>
          </w:p>
        </w:tc>
      </w:tr>
      <w:tr w:rsidR="005455EE" w:rsidRPr="00E65E77" w14:paraId="23EDF06F" w14:textId="77777777" w:rsidTr="00B0215B">
        <w:tc>
          <w:tcPr>
            <w:tcW w:w="1643" w:type="dxa"/>
          </w:tcPr>
          <w:p w14:paraId="350F392B" w14:textId="0A049D36"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lastRenderedPageBreak/>
              <w:t xml:space="preserve">Physical Inspections by HA </w:t>
            </w:r>
          </w:p>
        </w:tc>
        <w:tc>
          <w:tcPr>
            <w:tcW w:w="3954" w:type="dxa"/>
          </w:tcPr>
          <w:p w14:paraId="2410E3BA" w14:textId="6E0FCFAB" w:rsidR="005455EE" w:rsidRPr="001D4E7C" w:rsidRDefault="005455EE" w:rsidP="005455EE">
            <w:pPr>
              <w:rPr>
                <w:rFonts w:cs="Times New Roman"/>
                <w:bCs/>
              </w:rPr>
            </w:pPr>
            <w:r>
              <w:rPr>
                <w:rFonts w:cs="Times New Roman"/>
                <w:bCs/>
              </w:rPr>
              <w:t xml:space="preserve">The HA must provide a </w:t>
            </w:r>
            <w:r w:rsidRPr="00D01B0E">
              <w:rPr>
                <w:rFonts w:cs="Times New Roman"/>
              </w:rPr>
              <w:t xml:space="preserve">Uniform Physical Condition Standards (UPCS) </w:t>
            </w:r>
            <w:r>
              <w:rPr>
                <w:rFonts w:cs="Times New Roman"/>
              </w:rPr>
              <w:t xml:space="preserve">inspection </w:t>
            </w:r>
            <w:r w:rsidRPr="00D01B0E">
              <w:rPr>
                <w:rFonts w:cs="Times New Roman"/>
              </w:rPr>
              <w:t>at least every 3 years</w:t>
            </w:r>
            <w:r>
              <w:rPr>
                <w:rFonts w:cs="Times New Roman"/>
              </w:rPr>
              <w:t xml:space="preserve"> for all Section 811 PRA units. </w:t>
            </w:r>
          </w:p>
          <w:p w14:paraId="36FD2223" w14:textId="77777777" w:rsidR="005455EE" w:rsidRPr="002A488E" w:rsidRDefault="005455EE" w:rsidP="005455EE"/>
        </w:tc>
        <w:tc>
          <w:tcPr>
            <w:tcW w:w="3858" w:type="dxa"/>
          </w:tcPr>
          <w:p w14:paraId="28136674" w14:textId="6F9ED605" w:rsidR="005455EE" w:rsidRPr="00001F9E" w:rsidRDefault="005455EE" w:rsidP="005455EE">
            <w:pPr>
              <w:rPr>
                <w:rFonts w:eastAsia="Times New Roman" w:cs="Times New Roman"/>
              </w:rPr>
            </w:pPr>
            <w:r>
              <w:rPr>
                <w:rFonts w:cs="Times New Roman"/>
                <w:bCs/>
              </w:rPr>
              <w:t xml:space="preserve">The HA must do a </w:t>
            </w:r>
            <w:r w:rsidRPr="00D01B0E">
              <w:rPr>
                <w:rFonts w:cs="Times New Roman"/>
              </w:rPr>
              <w:t xml:space="preserve">Uniform Physical Condition Standards (UPCS) </w:t>
            </w:r>
            <w:r>
              <w:rPr>
                <w:rFonts w:cs="Times New Roman"/>
              </w:rPr>
              <w:t xml:space="preserve">inspection </w:t>
            </w:r>
            <w:r>
              <w:rPr>
                <w:rFonts w:eastAsia="Times New Roman" w:cs="Times New Roman"/>
              </w:rPr>
              <w:t xml:space="preserve">for </w:t>
            </w:r>
            <w:r w:rsidRPr="00001F9E">
              <w:rPr>
                <w:rFonts w:eastAsia="Times New Roman" w:cs="Times New Roman"/>
              </w:rPr>
              <w:t>at least 20% of a</w:t>
            </w:r>
            <w:r>
              <w:rPr>
                <w:rFonts w:eastAsia="Times New Roman" w:cs="Times New Roman"/>
              </w:rPr>
              <w:t xml:space="preserve"> project’s LIHTC-assisted units (randomly selected) at least once every three years.</w:t>
            </w:r>
          </w:p>
          <w:p w14:paraId="0B4E481C" w14:textId="77777777" w:rsidR="005455EE" w:rsidRPr="007F7E66" w:rsidRDefault="005455EE" w:rsidP="005455EE"/>
          <w:p w14:paraId="55311716" w14:textId="77777777" w:rsidR="005455EE" w:rsidRPr="00E65E77" w:rsidRDefault="005455EE" w:rsidP="005455EE">
            <w:pPr>
              <w:autoSpaceDE w:val="0"/>
              <w:autoSpaceDN w:val="0"/>
              <w:adjustRightInd w:val="0"/>
            </w:pPr>
          </w:p>
        </w:tc>
        <w:tc>
          <w:tcPr>
            <w:tcW w:w="3495" w:type="dxa"/>
          </w:tcPr>
          <w:p w14:paraId="574F9AAE" w14:textId="3B85643E" w:rsidR="005455EE" w:rsidRDefault="005455EE" w:rsidP="005455EE">
            <w:pPr>
              <w:rPr>
                <w:rFonts w:cs="Times New Roman"/>
                <w:bCs/>
              </w:rPr>
            </w:pPr>
            <w:r>
              <w:rPr>
                <w:rFonts w:cs="Times New Roman"/>
                <w:bCs/>
              </w:rPr>
              <w:t>The HA, at least every three years, will provide a UPCS inspection to 20% of randomly selected units in the property AND to all of the Section 811 PRA units.</w:t>
            </w:r>
          </w:p>
        </w:tc>
      </w:tr>
      <w:tr w:rsidR="005455EE" w:rsidRPr="00E65E77" w14:paraId="43A01C29" w14:textId="77777777" w:rsidTr="00B0215B">
        <w:tc>
          <w:tcPr>
            <w:tcW w:w="1643" w:type="dxa"/>
          </w:tcPr>
          <w:p w14:paraId="596D62C4" w14:textId="0C25B250" w:rsidR="005455EE" w:rsidRPr="007463B4" w:rsidRDefault="005455EE" w:rsidP="005455EE">
            <w:pPr>
              <w:rPr>
                <w:rFonts w:eastAsia="Times New Roman" w:cs="Arial"/>
                <w:b/>
                <w:shd w:val="clear" w:color="auto" w:fill="FFFFFF"/>
              </w:rPr>
            </w:pPr>
            <w:r w:rsidRPr="007463B4">
              <w:rPr>
                <w:rFonts w:eastAsia="Times New Roman" w:cs="Arial"/>
                <w:b/>
                <w:shd w:val="clear" w:color="auto" w:fill="FFFFFF"/>
              </w:rPr>
              <w:t>Over-Income Households</w:t>
            </w:r>
          </w:p>
        </w:tc>
        <w:tc>
          <w:tcPr>
            <w:tcW w:w="3954" w:type="dxa"/>
          </w:tcPr>
          <w:p w14:paraId="2F3D22FD" w14:textId="7B49E6B3" w:rsidR="005455EE" w:rsidRDefault="005455EE" w:rsidP="005455EE">
            <w:r>
              <w:t>Rental assistance ends when tenant’s income increases to the level that the eligible family contribution equals the total housing expense.</w:t>
            </w:r>
            <w:r w:rsidRPr="00705D06">
              <w:t xml:space="preserve"> The tenant has the right to remain in place in accordance with their lease.</w:t>
            </w:r>
          </w:p>
          <w:p w14:paraId="501ABEC7" w14:textId="77777777" w:rsidR="005455EE" w:rsidRPr="00705D06" w:rsidRDefault="005455EE" w:rsidP="005455EE"/>
          <w:p w14:paraId="5774119C" w14:textId="2C7D3CC6" w:rsidR="005455EE" w:rsidRPr="00705D06" w:rsidRDefault="005455EE" w:rsidP="005455EE">
            <w:r w:rsidRPr="00705D06">
              <w:t xml:space="preserve">The </w:t>
            </w:r>
            <w:r>
              <w:t>HA</w:t>
            </w:r>
            <w:r w:rsidRPr="00705D06">
              <w:t xml:space="preserve"> should develop program policies that address:</w:t>
            </w:r>
          </w:p>
          <w:p w14:paraId="1AD47560" w14:textId="47BFD673" w:rsidR="005455EE" w:rsidRPr="00705D06" w:rsidRDefault="005455EE" w:rsidP="005455EE">
            <w:pPr>
              <w:pStyle w:val="NormalWeb"/>
              <w:numPr>
                <w:ilvl w:val="0"/>
                <w:numId w:val="26"/>
              </w:numPr>
              <w:shd w:val="clear" w:color="auto" w:fill="FFFFFF"/>
              <w:spacing w:before="0" w:beforeAutospacing="0" w:after="0" w:afterAutospacing="0" w:line="300" w:lineRule="atLeast"/>
              <w:rPr>
                <w:rFonts w:asciiTheme="minorHAnsi" w:hAnsiTheme="minorHAnsi" w:cs="Arial"/>
                <w:szCs w:val="22"/>
              </w:rPr>
            </w:pPr>
            <w:r w:rsidRPr="00705D06">
              <w:rPr>
                <w:rFonts w:asciiTheme="minorHAnsi" w:hAnsiTheme="minorHAnsi" w:cs="Arial"/>
                <w:szCs w:val="22"/>
              </w:rPr>
              <w:t xml:space="preserve">Whether the Owner will then provide the next available unit to the </w:t>
            </w:r>
            <w:r>
              <w:rPr>
                <w:rFonts w:asciiTheme="minorHAnsi" w:hAnsiTheme="minorHAnsi" w:cs="Arial"/>
                <w:szCs w:val="22"/>
              </w:rPr>
              <w:t>Section 811 PRA</w:t>
            </w:r>
            <w:r w:rsidRPr="00705D06">
              <w:rPr>
                <w:rFonts w:asciiTheme="minorHAnsi" w:hAnsiTheme="minorHAnsi" w:cs="Arial"/>
                <w:szCs w:val="22"/>
              </w:rPr>
              <w:t xml:space="preserve"> Program;</w:t>
            </w:r>
          </w:p>
          <w:p w14:paraId="63A7A656" w14:textId="77777777" w:rsidR="005455EE" w:rsidRPr="00705D06" w:rsidRDefault="005455EE" w:rsidP="005455EE">
            <w:pPr>
              <w:pStyle w:val="NormalWeb"/>
              <w:numPr>
                <w:ilvl w:val="0"/>
                <w:numId w:val="26"/>
              </w:numPr>
              <w:shd w:val="clear" w:color="auto" w:fill="FFFFFF"/>
              <w:spacing w:before="0" w:beforeAutospacing="0" w:after="0" w:afterAutospacing="0" w:line="300" w:lineRule="atLeast"/>
              <w:rPr>
                <w:rFonts w:asciiTheme="minorHAnsi" w:hAnsiTheme="minorHAnsi" w:cs="Arial"/>
                <w:szCs w:val="22"/>
              </w:rPr>
            </w:pPr>
            <w:r w:rsidRPr="00705D06">
              <w:rPr>
                <w:rFonts w:asciiTheme="minorHAnsi" w:hAnsiTheme="minorHAnsi" w:cs="Arial"/>
                <w:szCs w:val="22"/>
              </w:rPr>
              <w:t>How the tenant may request a resumption of the Rental Assistance Payments if needed;</w:t>
            </w:r>
          </w:p>
          <w:p w14:paraId="31A50F81" w14:textId="77777777" w:rsidR="005455EE" w:rsidRPr="00705D06" w:rsidRDefault="005455EE" w:rsidP="005455EE">
            <w:pPr>
              <w:pStyle w:val="NormalWeb"/>
              <w:numPr>
                <w:ilvl w:val="0"/>
                <w:numId w:val="26"/>
              </w:numPr>
              <w:shd w:val="clear" w:color="auto" w:fill="FFFFFF"/>
              <w:spacing w:before="0" w:beforeAutospacing="0" w:after="0" w:afterAutospacing="0" w:line="300" w:lineRule="atLeast"/>
              <w:rPr>
                <w:rFonts w:asciiTheme="minorHAnsi" w:hAnsiTheme="minorHAnsi" w:cs="Arial"/>
                <w:szCs w:val="22"/>
              </w:rPr>
            </w:pPr>
            <w:r w:rsidRPr="00705D06">
              <w:rPr>
                <w:rFonts w:asciiTheme="minorHAnsi" w:hAnsiTheme="minorHAnsi" w:cs="Arial"/>
                <w:szCs w:val="22"/>
              </w:rPr>
              <w:t>How tenant can continue to receive services if so desired; and</w:t>
            </w:r>
          </w:p>
          <w:p w14:paraId="24508EAC" w14:textId="77777777" w:rsidR="005455EE" w:rsidRPr="00705D06" w:rsidRDefault="005455EE" w:rsidP="005455EE">
            <w:pPr>
              <w:pStyle w:val="NormalWeb"/>
              <w:numPr>
                <w:ilvl w:val="0"/>
                <w:numId w:val="26"/>
              </w:numPr>
              <w:shd w:val="clear" w:color="auto" w:fill="FFFFFF"/>
              <w:spacing w:before="0" w:beforeAutospacing="0" w:after="0" w:afterAutospacing="0" w:line="300" w:lineRule="atLeast"/>
              <w:rPr>
                <w:rFonts w:asciiTheme="minorHAnsi" w:hAnsiTheme="minorHAnsi" w:cs="Arial"/>
                <w:szCs w:val="22"/>
              </w:rPr>
            </w:pPr>
            <w:r w:rsidRPr="00705D06">
              <w:rPr>
                <w:rFonts w:asciiTheme="minorHAnsi" w:hAnsiTheme="minorHAnsi" w:cs="Arial"/>
                <w:szCs w:val="22"/>
              </w:rPr>
              <w:t>Other related policies</w:t>
            </w:r>
          </w:p>
          <w:p w14:paraId="5472DC68" w14:textId="77777777" w:rsidR="005455EE" w:rsidRDefault="005455EE" w:rsidP="005455EE">
            <w:pPr>
              <w:rPr>
                <w:rFonts w:cs="Times New Roman"/>
                <w:bCs/>
              </w:rPr>
            </w:pPr>
          </w:p>
        </w:tc>
        <w:tc>
          <w:tcPr>
            <w:tcW w:w="3858" w:type="dxa"/>
          </w:tcPr>
          <w:p w14:paraId="417E28E9" w14:textId="09D0FE36" w:rsidR="005455EE" w:rsidRDefault="005455EE" w:rsidP="005455EE">
            <w:pPr>
              <w:shd w:val="clear" w:color="auto" w:fill="FFFFFF"/>
              <w:spacing w:line="240" w:lineRule="atLeast"/>
              <w:textAlignment w:val="baseline"/>
              <w:rPr>
                <w:rFonts w:eastAsia="Times New Roman" w:cs="Arial"/>
                <w:color w:val="000000"/>
              </w:rPr>
            </w:pPr>
            <w:r>
              <w:t>If a tenant’s income rises above 140% of the HTC income limit, the next available unit HTC rule applies, generally requiring the next comparable unit to be rented to a qualifying household.</w:t>
            </w:r>
          </w:p>
          <w:p w14:paraId="1FF456FA" w14:textId="77777777" w:rsidR="005455EE" w:rsidRDefault="005455EE" w:rsidP="005455EE">
            <w:pPr>
              <w:shd w:val="clear" w:color="auto" w:fill="FFFFFF"/>
              <w:spacing w:before="225" w:line="240" w:lineRule="atLeast"/>
              <w:textAlignment w:val="baseline"/>
              <w:rPr>
                <w:rFonts w:eastAsia="Times New Roman" w:cs="Arial"/>
                <w:color w:val="000000"/>
              </w:rPr>
            </w:pPr>
          </w:p>
          <w:p w14:paraId="7BB9709C" w14:textId="77777777" w:rsidR="005455EE" w:rsidRPr="0074517B" w:rsidRDefault="005455EE" w:rsidP="005455EE">
            <w:pPr>
              <w:shd w:val="clear" w:color="auto" w:fill="FFFFFF"/>
              <w:spacing w:before="225" w:line="240" w:lineRule="atLeast"/>
              <w:textAlignment w:val="baseline"/>
              <w:rPr>
                <w:rFonts w:eastAsia="Times New Roman" w:cs="Arial"/>
                <w:color w:val="000000"/>
              </w:rPr>
            </w:pPr>
          </w:p>
          <w:p w14:paraId="557E6E80" w14:textId="77777777" w:rsidR="005455EE" w:rsidRDefault="005455EE" w:rsidP="005455EE">
            <w:pPr>
              <w:rPr>
                <w:rFonts w:cs="Times New Roman"/>
                <w:bCs/>
              </w:rPr>
            </w:pPr>
          </w:p>
        </w:tc>
        <w:tc>
          <w:tcPr>
            <w:tcW w:w="3495" w:type="dxa"/>
          </w:tcPr>
          <w:p w14:paraId="6E6213D7" w14:textId="3FB06C4D" w:rsidR="005455EE" w:rsidRDefault="005455EE" w:rsidP="005455EE">
            <w:pPr>
              <w:rPr>
                <w:rFonts w:cs="Times New Roman"/>
                <w:bCs/>
              </w:rPr>
            </w:pPr>
            <w:r>
              <w:rPr>
                <w:rFonts w:cs="Times New Roman"/>
                <w:bCs/>
              </w:rPr>
              <w:t>The HA should develop a policy on how to address potential tenant income increases and how to address if a Section 811 PRA tenant’s income rises about 140% of the HTC income limit.</w:t>
            </w:r>
          </w:p>
        </w:tc>
      </w:tr>
    </w:tbl>
    <w:p w14:paraId="7A2DA963" w14:textId="77777777" w:rsidR="001353FF" w:rsidRPr="00E65E77" w:rsidRDefault="001353FF"/>
    <w:sectPr w:rsidR="001353FF" w:rsidRPr="00E65E77" w:rsidSect="001353FF">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ED019" w14:textId="77777777" w:rsidR="008A7A36" w:rsidRDefault="008A7A36" w:rsidP="00926C97">
      <w:pPr>
        <w:spacing w:after="0" w:line="240" w:lineRule="auto"/>
      </w:pPr>
      <w:r>
        <w:separator/>
      </w:r>
    </w:p>
  </w:endnote>
  <w:endnote w:type="continuationSeparator" w:id="0">
    <w:p w14:paraId="35D2B75A" w14:textId="77777777" w:rsidR="008A7A36" w:rsidRDefault="008A7A36" w:rsidP="0092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30CA" w14:textId="77777777" w:rsidR="003216A3" w:rsidRDefault="00321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652066"/>
      <w:docPartObj>
        <w:docPartGallery w:val="Page Numbers (Bottom of Page)"/>
        <w:docPartUnique/>
      </w:docPartObj>
    </w:sdtPr>
    <w:sdtEndPr>
      <w:rPr>
        <w:noProof/>
      </w:rPr>
    </w:sdtEndPr>
    <w:sdtContent>
      <w:p w14:paraId="0BA6673C" w14:textId="389B7689" w:rsidR="006B5D19" w:rsidRDefault="00D75DBD">
        <w:pPr>
          <w:pStyle w:val="Footer"/>
          <w:jc w:val="right"/>
        </w:pPr>
        <w:r>
          <w:fldChar w:fldCharType="begin"/>
        </w:r>
        <w:r w:rsidR="006B5D19">
          <w:instrText xml:space="preserve"> PAGE   \* MERGEFORMAT </w:instrText>
        </w:r>
        <w:r>
          <w:fldChar w:fldCharType="separate"/>
        </w:r>
        <w:r w:rsidR="00396156">
          <w:rPr>
            <w:noProof/>
          </w:rPr>
          <w:t>3</w:t>
        </w:r>
        <w:r>
          <w:rPr>
            <w:noProof/>
          </w:rPr>
          <w:fldChar w:fldCharType="end"/>
        </w:r>
      </w:p>
    </w:sdtContent>
  </w:sdt>
  <w:p w14:paraId="09D31DDA" w14:textId="77777777" w:rsidR="006B5D19" w:rsidRDefault="006B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AD63" w14:textId="77777777" w:rsidR="003216A3" w:rsidRDefault="0032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882CF" w14:textId="77777777" w:rsidR="008A7A36" w:rsidRDefault="008A7A36" w:rsidP="00926C97">
      <w:pPr>
        <w:spacing w:after="0" w:line="240" w:lineRule="auto"/>
      </w:pPr>
      <w:r>
        <w:separator/>
      </w:r>
    </w:p>
  </w:footnote>
  <w:footnote w:type="continuationSeparator" w:id="0">
    <w:p w14:paraId="6BFB8A83" w14:textId="77777777" w:rsidR="008A7A36" w:rsidRDefault="008A7A36" w:rsidP="00926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9C24" w14:textId="5ACDEA36" w:rsidR="003216A3" w:rsidRDefault="00396156">
    <w:pPr>
      <w:pStyle w:val="Header"/>
    </w:pPr>
    <w:r>
      <w:rPr>
        <w:noProof/>
      </w:rPr>
      <w:pict w14:anchorId="25737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7622" o:spid="_x0000_s2054" type="#_x0000_t136" style="position:absolute;margin-left:0;margin-top:0;width:412.4pt;height:247.45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029A" w14:textId="709A9F45" w:rsidR="003216A3" w:rsidRDefault="00396156">
    <w:pPr>
      <w:pStyle w:val="Header"/>
    </w:pPr>
    <w:r>
      <w:rPr>
        <w:noProof/>
      </w:rPr>
      <w:pict w14:anchorId="2739D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7623" o:spid="_x0000_s2055" type="#_x0000_t136" style="position:absolute;margin-left:0;margin-top:0;width:412.4pt;height:247.45pt;rotation:315;z-index:-25165312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651B" w14:textId="7B6A661E" w:rsidR="003216A3" w:rsidRDefault="00396156">
    <w:pPr>
      <w:pStyle w:val="Header"/>
    </w:pPr>
    <w:r>
      <w:rPr>
        <w:noProof/>
      </w:rPr>
      <w:pict w14:anchorId="78C36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7621" o:spid="_x0000_s2053"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848"/>
    <w:multiLevelType w:val="hybridMultilevel"/>
    <w:tmpl w:val="57B2C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4666"/>
    <w:multiLevelType w:val="hybridMultilevel"/>
    <w:tmpl w:val="09926C5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151168"/>
    <w:multiLevelType w:val="hybridMultilevel"/>
    <w:tmpl w:val="06FEA9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CA"/>
    <w:multiLevelType w:val="multilevel"/>
    <w:tmpl w:val="39221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A73394"/>
    <w:multiLevelType w:val="hybridMultilevel"/>
    <w:tmpl w:val="EFB23A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C26C5"/>
    <w:multiLevelType w:val="hybridMultilevel"/>
    <w:tmpl w:val="385A6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E3512"/>
    <w:multiLevelType w:val="multilevel"/>
    <w:tmpl w:val="41A4B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807C4"/>
    <w:multiLevelType w:val="hybridMultilevel"/>
    <w:tmpl w:val="46F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C5A28"/>
    <w:multiLevelType w:val="hybridMultilevel"/>
    <w:tmpl w:val="FA9CC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705C4"/>
    <w:multiLevelType w:val="multilevel"/>
    <w:tmpl w:val="B30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73BEE"/>
    <w:multiLevelType w:val="multilevel"/>
    <w:tmpl w:val="D574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50C2F"/>
    <w:multiLevelType w:val="hybridMultilevel"/>
    <w:tmpl w:val="4FF039A6"/>
    <w:lvl w:ilvl="0" w:tplc="CFA80A16">
      <w:start w:val="81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834519C"/>
    <w:multiLevelType w:val="hybridMultilevel"/>
    <w:tmpl w:val="4522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F3F9F"/>
    <w:multiLevelType w:val="hybridMultilevel"/>
    <w:tmpl w:val="3D72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C13F9"/>
    <w:multiLevelType w:val="hybridMultilevel"/>
    <w:tmpl w:val="1A4C2198"/>
    <w:lvl w:ilvl="0" w:tplc="A4FCFE4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C626B"/>
    <w:multiLevelType w:val="hybridMultilevel"/>
    <w:tmpl w:val="FDD8FE9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4E4F7488"/>
    <w:multiLevelType w:val="multilevel"/>
    <w:tmpl w:val="CE30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42AC5"/>
    <w:multiLevelType w:val="hybridMultilevel"/>
    <w:tmpl w:val="15163B3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F7419"/>
    <w:multiLevelType w:val="multilevel"/>
    <w:tmpl w:val="023AC4B2"/>
    <w:lvl w:ilvl="0">
      <w:start w:val="1"/>
      <w:numFmt w:val="decimal"/>
      <w:lvlText w:val="%1."/>
      <w:lvlJc w:val="left"/>
      <w:pPr>
        <w:tabs>
          <w:tab w:val="num" w:pos="720"/>
        </w:tabs>
        <w:ind w:left="720" w:hanging="360"/>
      </w:pPr>
      <w:rPr>
        <w:rFonts w:hint="default"/>
        <w:sz w:val="20"/>
      </w:rPr>
    </w:lvl>
    <w:lvl w:ilvl="1">
      <w:start w:val="4"/>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6059B"/>
    <w:multiLevelType w:val="hybridMultilevel"/>
    <w:tmpl w:val="75A0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64009"/>
    <w:multiLevelType w:val="multilevel"/>
    <w:tmpl w:val="9536A7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C7E1435"/>
    <w:multiLevelType w:val="multilevel"/>
    <w:tmpl w:val="BD329BD8"/>
    <w:lvl w:ilvl="0">
      <w:start w:val="1"/>
      <w:numFmt w:val="lowerLetter"/>
      <w:lvlText w:val="%1."/>
      <w:lvlJc w:val="left"/>
      <w:pPr>
        <w:tabs>
          <w:tab w:val="num" w:pos="720"/>
        </w:tabs>
        <w:ind w:left="720" w:hanging="360"/>
      </w:pPr>
      <w:rPr>
        <w:rFonts w:hint="default"/>
        <w:sz w:val="20"/>
      </w:rPr>
    </w:lvl>
    <w:lvl w:ilvl="1">
      <w:start w:val="4"/>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6192D"/>
    <w:multiLevelType w:val="multilevel"/>
    <w:tmpl w:val="0450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2E2F79"/>
    <w:multiLevelType w:val="multilevel"/>
    <w:tmpl w:val="062AB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905F1"/>
    <w:multiLevelType w:val="hybridMultilevel"/>
    <w:tmpl w:val="2788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94E26"/>
    <w:multiLevelType w:val="hybridMultilevel"/>
    <w:tmpl w:val="8556A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30F03"/>
    <w:multiLevelType w:val="hybridMultilevel"/>
    <w:tmpl w:val="30E89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85272"/>
    <w:multiLevelType w:val="hybridMultilevel"/>
    <w:tmpl w:val="4E824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18"/>
  </w:num>
  <w:num w:numId="3">
    <w:abstractNumId w:val="15"/>
  </w:num>
  <w:num w:numId="4">
    <w:abstractNumId w:val="12"/>
  </w:num>
  <w:num w:numId="5">
    <w:abstractNumId w:val="0"/>
  </w:num>
  <w:num w:numId="6">
    <w:abstractNumId w:val="17"/>
  </w:num>
  <w:num w:numId="7">
    <w:abstractNumId w:val="4"/>
  </w:num>
  <w:num w:numId="8">
    <w:abstractNumId w:val="8"/>
  </w:num>
  <w:num w:numId="9">
    <w:abstractNumId w:val="21"/>
  </w:num>
  <w:num w:numId="10">
    <w:abstractNumId w:val="2"/>
  </w:num>
  <w:num w:numId="11">
    <w:abstractNumId w:val="14"/>
  </w:num>
  <w:num w:numId="12">
    <w:abstractNumId w:val="11"/>
  </w:num>
  <w:num w:numId="13">
    <w:abstractNumId w:val="27"/>
  </w:num>
  <w:num w:numId="14">
    <w:abstractNumId w:val="24"/>
  </w:num>
  <w:num w:numId="15">
    <w:abstractNumId w:val="22"/>
  </w:num>
  <w:num w:numId="16">
    <w:abstractNumId w:val="5"/>
  </w:num>
  <w:num w:numId="17">
    <w:abstractNumId w:val="13"/>
  </w:num>
  <w:num w:numId="18">
    <w:abstractNumId w:val="25"/>
  </w:num>
  <w:num w:numId="19">
    <w:abstractNumId w:val="26"/>
  </w:num>
  <w:num w:numId="20">
    <w:abstractNumId w:val="3"/>
  </w:num>
  <w:num w:numId="21">
    <w:abstractNumId w:val="20"/>
  </w:num>
  <w:num w:numId="22">
    <w:abstractNumId w:val="16"/>
  </w:num>
  <w:num w:numId="23">
    <w:abstractNumId w:val="6"/>
  </w:num>
  <w:num w:numId="24">
    <w:abstractNumId w:val="23"/>
  </w:num>
  <w:num w:numId="25">
    <w:abstractNumId w:val="10"/>
  </w:num>
  <w:num w:numId="26">
    <w:abstractNumId w:val="19"/>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FF"/>
    <w:rsid w:val="00001F9E"/>
    <w:rsid w:val="00007C9D"/>
    <w:rsid w:val="00017631"/>
    <w:rsid w:val="00025E64"/>
    <w:rsid w:val="000363F2"/>
    <w:rsid w:val="000377D5"/>
    <w:rsid w:val="00037AE9"/>
    <w:rsid w:val="00037BAE"/>
    <w:rsid w:val="00061039"/>
    <w:rsid w:val="000827F1"/>
    <w:rsid w:val="00095078"/>
    <w:rsid w:val="000A3E2E"/>
    <w:rsid w:val="000B2779"/>
    <w:rsid w:val="000B40AD"/>
    <w:rsid w:val="000C36A8"/>
    <w:rsid w:val="000C3FBE"/>
    <w:rsid w:val="000C7CAF"/>
    <w:rsid w:val="000D7C8C"/>
    <w:rsid w:val="000E6547"/>
    <w:rsid w:val="00111BF4"/>
    <w:rsid w:val="00115BF0"/>
    <w:rsid w:val="00125EDB"/>
    <w:rsid w:val="001353FF"/>
    <w:rsid w:val="00146A6F"/>
    <w:rsid w:val="00151342"/>
    <w:rsid w:val="00162612"/>
    <w:rsid w:val="00165748"/>
    <w:rsid w:val="0018269B"/>
    <w:rsid w:val="00186A03"/>
    <w:rsid w:val="00192DE2"/>
    <w:rsid w:val="00194B5C"/>
    <w:rsid w:val="00196363"/>
    <w:rsid w:val="001A0CDA"/>
    <w:rsid w:val="001B4B5E"/>
    <w:rsid w:val="001B6047"/>
    <w:rsid w:val="001C3244"/>
    <w:rsid w:val="001D4E7C"/>
    <w:rsid w:val="001F4789"/>
    <w:rsid w:val="001F799C"/>
    <w:rsid w:val="00203953"/>
    <w:rsid w:val="00214234"/>
    <w:rsid w:val="00251CD4"/>
    <w:rsid w:val="00253328"/>
    <w:rsid w:val="002566A6"/>
    <w:rsid w:val="002624EA"/>
    <w:rsid w:val="00277328"/>
    <w:rsid w:val="002853EA"/>
    <w:rsid w:val="0029231B"/>
    <w:rsid w:val="0029363F"/>
    <w:rsid w:val="002A488E"/>
    <w:rsid w:val="002A5B9F"/>
    <w:rsid w:val="002B0615"/>
    <w:rsid w:val="002C02B6"/>
    <w:rsid w:val="002D5398"/>
    <w:rsid w:val="002F1425"/>
    <w:rsid w:val="002F600E"/>
    <w:rsid w:val="00300690"/>
    <w:rsid w:val="003162E6"/>
    <w:rsid w:val="003216A3"/>
    <w:rsid w:val="003238C0"/>
    <w:rsid w:val="00332BF3"/>
    <w:rsid w:val="0033465B"/>
    <w:rsid w:val="00342DA0"/>
    <w:rsid w:val="0034604A"/>
    <w:rsid w:val="00346B96"/>
    <w:rsid w:val="00356E99"/>
    <w:rsid w:val="00375577"/>
    <w:rsid w:val="00375804"/>
    <w:rsid w:val="00377EC5"/>
    <w:rsid w:val="0038073B"/>
    <w:rsid w:val="00396156"/>
    <w:rsid w:val="003A00C8"/>
    <w:rsid w:val="003A25BE"/>
    <w:rsid w:val="003A4B33"/>
    <w:rsid w:val="003C7A0D"/>
    <w:rsid w:val="003D04BB"/>
    <w:rsid w:val="003D1490"/>
    <w:rsid w:val="003D6FA2"/>
    <w:rsid w:val="003D7420"/>
    <w:rsid w:val="003D7E54"/>
    <w:rsid w:val="003E29B2"/>
    <w:rsid w:val="003E6B95"/>
    <w:rsid w:val="003F50E1"/>
    <w:rsid w:val="0041692C"/>
    <w:rsid w:val="00444604"/>
    <w:rsid w:val="00450FA8"/>
    <w:rsid w:val="0047140B"/>
    <w:rsid w:val="004722F3"/>
    <w:rsid w:val="004C0A39"/>
    <w:rsid w:val="004C1F6A"/>
    <w:rsid w:val="004C26BB"/>
    <w:rsid w:val="004D0DE5"/>
    <w:rsid w:val="004E5E4B"/>
    <w:rsid w:val="004E7741"/>
    <w:rsid w:val="00503A8E"/>
    <w:rsid w:val="00515763"/>
    <w:rsid w:val="005249AF"/>
    <w:rsid w:val="005449C4"/>
    <w:rsid w:val="005455EE"/>
    <w:rsid w:val="005613AE"/>
    <w:rsid w:val="00566CD1"/>
    <w:rsid w:val="005818A9"/>
    <w:rsid w:val="005D26A6"/>
    <w:rsid w:val="005D53AD"/>
    <w:rsid w:val="005D73FA"/>
    <w:rsid w:val="006639C1"/>
    <w:rsid w:val="00683949"/>
    <w:rsid w:val="00693D5F"/>
    <w:rsid w:val="006A5992"/>
    <w:rsid w:val="006A7AE8"/>
    <w:rsid w:val="006B5D19"/>
    <w:rsid w:val="006D6E1F"/>
    <w:rsid w:val="006E43A4"/>
    <w:rsid w:val="007055EE"/>
    <w:rsid w:val="007106D3"/>
    <w:rsid w:val="00711D0B"/>
    <w:rsid w:val="007125EE"/>
    <w:rsid w:val="00716C2F"/>
    <w:rsid w:val="007178FB"/>
    <w:rsid w:val="00731DA3"/>
    <w:rsid w:val="007361DE"/>
    <w:rsid w:val="007463B4"/>
    <w:rsid w:val="00763CDA"/>
    <w:rsid w:val="00770A9E"/>
    <w:rsid w:val="007743EC"/>
    <w:rsid w:val="007A45FD"/>
    <w:rsid w:val="007B02EC"/>
    <w:rsid w:val="007B644A"/>
    <w:rsid w:val="007C51BD"/>
    <w:rsid w:val="007F7E66"/>
    <w:rsid w:val="0080409A"/>
    <w:rsid w:val="00817380"/>
    <w:rsid w:val="00844BD9"/>
    <w:rsid w:val="008640C9"/>
    <w:rsid w:val="008663D7"/>
    <w:rsid w:val="00871483"/>
    <w:rsid w:val="008933AB"/>
    <w:rsid w:val="008A7A36"/>
    <w:rsid w:val="008B561D"/>
    <w:rsid w:val="008D5C60"/>
    <w:rsid w:val="008E09D7"/>
    <w:rsid w:val="008E200A"/>
    <w:rsid w:val="008F2E03"/>
    <w:rsid w:val="008F6EE2"/>
    <w:rsid w:val="009103B7"/>
    <w:rsid w:val="00920693"/>
    <w:rsid w:val="00920822"/>
    <w:rsid w:val="00926A02"/>
    <w:rsid w:val="00926C97"/>
    <w:rsid w:val="00927BD6"/>
    <w:rsid w:val="00927FA8"/>
    <w:rsid w:val="009311A5"/>
    <w:rsid w:val="00933B9C"/>
    <w:rsid w:val="00950F91"/>
    <w:rsid w:val="00953016"/>
    <w:rsid w:val="00960939"/>
    <w:rsid w:val="00961040"/>
    <w:rsid w:val="00977531"/>
    <w:rsid w:val="009843AC"/>
    <w:rsid w:val="0098506D"/>
    <w:rsid w:val="009A0CD7"/>
    <w:rsid w:val="009B3790"/>
    <w:rsid w:val="009B517D"/>
    <w:rsid w:val="009D02DF"/>
    <w:rsid w:val="009D7F3B"/>
    <w:rsid w:val="009E7E7C"/>
    <w:rsid w:val="00A10327"/>
    <w:rsid w:val="00A205EE"/>
    <w:rsid w:val="00A35371"/>
    <w:rsid w:val="00A36952"/>
    <w:rsid w:val="00A4067D"/>
    <w:rsid w:val="00A50013"/>
    <w:rsid w:val="00A52E5F"/>
    <w:rsid w:val="00A54AFB"/>
    <w:rsid w:val="00A569E0"/>
    <w:rsid w:val="00A65FE0"/>
    <w:rsid w:val="00A76E02"/>
    <w:rsid w:val="00A963B0"/>
    <w:rsid w:val="00AA35E9"/>
    <w:rsid w:val="00AB6B92"/>
    <w:rsid w:val="00AC1EAE"/>
    <w:rsid w:val="00AC3622"/>
    <w:rsid w:val="00AE2E70"/>
    <w:rsid w:val="00B0215B"/>
    <w:rsid w:val="00B10AD2"/>
    <w:rsid w:val="00B258B4"/>
    <w:rsid w:val="00B41D49"/>
    <w:rsid w:val="00B44E39"/>
    <w:rsid w:val="00B501D3"/>
    <w:rsid w:val="00B56055"/>
    <w:rsid w:val="00B619CA"/>
    <w:rsid w:val="00B62293"/>
    <w:rsid w:val="00B63C81"/>
    <w:rsid w:val="00B64411"/>
    <w:rsid w:val="00B73571"/>
    <w:rsid w:val="00BC458A"/>
    <w:rsid w:val="00BD045F"/>
    <w:rsid w:val="00BE0BEA"/>
    <w:rsid w:val="00BE4F7C"/>
    <w:rsid w:val="00BF5126"/>
    <w:rsid w:val="00BF6A8E"/>
    <w:rsid w:val="00C02338"/>
    <w:rsid w:val="00C06FAD"/>
    <w:rsid w:val="00C1127B"/>
    <w:rsid w:val="00C223D3"/>
    <w:rsid w:val="00C2506D"/>
    <w:rsid w:val="00C51AE2"/>
    <w:rsid w:val="00C71AE9"/>
    <w:rsid w:val="00C72DE9"/>
    <w:rsid w:val="00C76945"/>
    <w:rsid w:val="00CA4CFA"/>
    <w:rsid w:val="00CC0413"/>
    <w:rsid w:val="00CD3CA3"/>
    <w:rsid w:val="00CE780C"/>
    <w:rsid w:val="00D01B0E"/>
    <w:rsid w:val="00D13D52"/>
    <w:rsid w:val="00D31DBD"/>
    <w:rsid w:val="00D51E35"/>
    <w:rsid w:val="00D60B39"/>
    <w:rsid w:val="00D7441A"/>
    <w:rsid w:val="00D75DBD"/>
    <w:rsid w:val="00D77368"/>
    <w:rsid w:val="00D77B5F"/>
    <w:rsid w:val="00D8285A"/>
    <w:rsid w:val="00D836BA"/>
    <w:rsid w:val="00D94007"/>
    <w:rsid w:val="00DD1688"/>
    <w:rsid w:val="00DE3CFB"/>
    <w:rsid w:val="00DF0244"/>
    <w:rsid w:val="00DF2E1E"/>
    <w:rsid w:val="00DF3F1A"/>
    <w:rsid w:val="00E04983"/>
    <w:rsid w:val="00E054B5"/>
    <w:rsid w:val="00E20314"/>
    <w:rsid w:val="00E21735"/>
    <w:rsid w:val="00E23177"/>
    <w:rsid w:val="00E25933"/>
    <w:rsid w:val="00E27041"/>
    <w:rsid w:val="00E30AC6"/>
    <w:rsid w:val="00E30F1A"/>
    <w:rsid w:val="00E31D68"/>
    <w:rsid w:val="00E37753"/>
    <w:rsid w:val="00E41CBB"/>
    <w:rsid w:val="00E52E1A"/>
    <w:rsid w:val="00E65E77"/>
    <w:rsid w:val="00E672EF"/>
    <w:rsid w:val="00E804DA"/>
    <w:rsid w:val="00E81E8D"/>
    <w:rsid w:val="00E84D2F"/>
    <w:rsid w:val="00EB2D73"/>
    <w:rsid w:val="00EC08E8"/>
    <w:rsid w:val="00EC7423"/>
    <w:rsid w:val="00ED191B"/>
    <w:rsid w:val="00EE2C00"/>
    <w:rsid w:val="00EF2AEC"/>
    <w:rsid w:val="00F0215E"/>
    <w:rsid w:val="00F0494B"/>
    <w:rsid w:val="00F14095"/>
    <w:rsid w:val="00F15A67"/>
    <w:rsid w:val="00F26259"/>
    <w:rsid w:val="00F41210"/>
    <w:rsid w:val="00F442A3"/>
    <w:rsid w:val="00F51588"/>
    <w:rsid w:val="00F5410E"/>
    <w:rsid w:val="00F605AC"/>
    <w:rsid w:val="00F74524"/>
    <w:rsid w:val="00F748B6"/>
    <w:rsid w:val="00F7612D"/>
    <w:rsid w:val="00F96C77"/>
    <w:rsid w:val="00FB29CE"/>
    <w:rsid w:val="00FD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D004F99"/>
  <w15:docId w15:val="{8778C577-2C8C-4B44-8CC6-62FBF174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3AD"/>
  </w:style>
  <w:style w:type="paragraph" w:styleId="Heading1">
    <w:name w:val="heading 1"/>
    <w:basedOn w:val="Normal"/>
    <w:next w:val="Normal"/>
    <w:link w:val="Heading1Char"/>
    <w:uiPriority w:val="9"/>
    <w:qFormat/>
    <w:rsid w:val="00926C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0F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49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55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FF"/>
    <w:pPr>
      <w:ind w:left="720"/>
      <w:contextualSpacing/>
    </w:pPr>
  </w:style>
  <w:style w:type="table" w:customStyle="1" w:styleId="GridTable3-Accent31">
    <w:name w:val="Grid Table 3 - Accent 31"/>
    <w:basedOn w:val="TableNormal"/>
    <w:uiPriority w:val="48"/>
    <w:rsid w:val="00926C9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31">
    <w:name w:val="Grid Table 4 - Accent 31"/>
    <w:basedOn w:val="TableNormal"/>
    <w:uiPriority w:val="49"/>
    <w:rsid w:val="00926C9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926C97"/>
    <w:rPr>
      <w:rFonts w:asciiTheme="majorHAnsi" w:eastAsiaTheme="majorEastAsia" w:hAnsiTheme="majorHAnsi" w:cstheme="majorBidi"/>
      <w:color w:val="2E74B5" w:themeColor="accent1" w:themeShade="BF"/>
      <w:sz w:val="32"/>
      <w:szCs w:val="32"/>
    </w:rPr>
  </w:style>
  <w:style w:type="table" w:customStyle="1" w:styleId="GridTable5Dark-Accent11">
    <w:name w:val="Grid Table 5 Dark - Accent 11"/>
    <w:basedOn w:val="TableNormal"/>
    <w:uiPriority w:val="50"/>
    <w:rsid w:val="00926C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6Colorful-Accent51">
    <w:name w:val="Grid Table 6 Colorful - Accent 51"/>
    <w:basedOn w:val="TableNormal"/>
    <w:uiPriority w:val="51"/>
    <w:rsid w:val="00926C9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31">
    <w:name w:val="List Table 1 Light - Accent 31"/>
    <w:basedOn w:val="TableNormal"/>
    <w:uiPriority w:val="46"/>
    <w:rsid w:val="00926C9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26C97"/>
    <w:pPr>
      <w:spacing w:after="0" w:line="240" w:lineRule="auto"/>
    </w:pPr>
    <w:rPr>
      <w:sz w:val="24"/>
    </w:rPr>
  </w:style>
  <w:style w:type="table" w:customStyle="1" w:styleId="PlainTable21">
    <w:name w:val="Plain Table 21"/>
    <w:basedOn w:val="TableNormal"/>
    <w:uiPriority w:val="42"/>
    <w:rsid w:val="00926C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26C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926C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26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97"/>
    <w:rPr>
      <w:sz w:val="24"/>
    </w:rPr>
  </w:style>
  <w:style w:type="paragraph" w:styleId="Footer">
    <w:name w:val="footer"/>
    <w:basedOn w:val="Normal"/>
    <w:link w:val="FooterChar"/>
    <w:uiPriority w:val="99"/>
    <w:unhideWhenUsed/>
    <w:rsid w:val="00926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97"/>
    <w:rPr>
      <w:sz w:val="24"/>
    </w:rPr>
  </w:style>
  <w:style w:type="paragraph" w:styleId="NormalWeb">
    <w:name w:val="Normal (Web)"/>
    <w:basedOn w:val="Normal"/>
    <w:uiPriority w:val="99"/>
    <w:semiHidden/>
    <w:unhideWhenUsed/>
    <w:rsid w:val="009B3790"/>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9B3790"/>
  </w:style>
  <w:style w:type="character" w:styleId="Hyperlink">
    <w:name w:val="Hyperlink"/>
    <w:basedOn w:val="DefaultParagraphFont"/>
    <w:uiPriority w:val="99"/>
    <w:unhideWhenUsed/>
    <w:rsid w:val="009B3790"/>
    <w:rPr>
      <w:color w:val="0000FF"/>
      <w:u w:val="single"/>
    </w:rPr>
  </w:style>
  <w:style w:type="character" w:customStyle="1" w:styleId="Heading2Char">
    <w:name w:val="Heading 2 Char"/>
    <w:basedOn w:val="DefaultParagraphFont"/>
    <w:link w:val="Heading2"/>
    <w:uiPriority w:val="9"/>
    <w:rsid w:val="00450FA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375577"/>
    <w:rPr>
      <w:rFonts w:asciiTheme="majorHAnsi" w:eastAsiaTheme="majorEastAsia" w:hAnsiTheme="majorHAnsi" w:cstheme="majorBidi"/>
      <w:i/>
      <w:iCs/>
      <w:color w:val="2E74B5" w:themeColor="accent1" w:themeShade="BF"/>
      <w:sz w:val="24"/>
    </w:rPr>
  </w:style>
  <w:style w:type="character" w:styleId="Emphasis">
    <w:name w:val="Emphasis"/>
    <w:basedOn w:val="DefaultParagraphFont"/>
    <w:uiPriority w:val="20"/>
    <w:qFormat/>
    <w:rsid w:val="00AA35E9"/>
    <w:rPr>
      <w:i/>
      <w:iCs/>
    </w:rPr>
  </w:style>
  <w:style w:type="character" w:customStyle="1" w:styleId="enumxml">
    <w:name w:val="enumxml"/>
    <w:basedOn w:val="DefaultParagraphFont"/>
    <w:rsid w:val="002853EA"/>
  </w:style>
  <w:style w:type="character" w:customStyle="1" w:styleId="ptext-2">
    <w:name w:val="ptext-2"/>
    <w:basedOn w:val="DefaultParagraphFont"/>
    <w:rsid w:val="002853EA"/>
  </w:style>
  <w:style w:type="character" w:customStyle="1" w:styleId="ptext-3">
    <w:name w:val="ptext-3"/>
    <w:basedOn w:val="DefaultParagraphFont"/>
    <w:rsid w:val="00346B96"/>
  </w:style>
  <w:style w:type="character" w:customStyle="1" w:styleId="aref-unknown">
    <w:name w:val="aref-unknown"/>
    <w:basedOn w:val="DefaultParagraphFont"/>
    <w:rsid w:val="00346B96"/>
  </w:style>
  <w:style w:type="character" w:customStyle="1" w:styleId="sectno">
    <w:name w:val="sectno"/>
    <w:basedOn w:val="DefaultParagraphFont"/>
    <w:rsid w:val="00B501D3"/>
  </w:style>
  <w:style w:type="character" w:customStyle="1" w:styleId="subject">
    <w:name w:val="subject"/>
    <w:basedOn w:val="DefaultParagraphFont"/>
    <w:rsid w:val="00B501D3"/>
  </w:style>
  <w:style w:type="character" w:customStyle="1" w:styleId="Heading3Char">
    <w:name w:val="Heading 3 Char"/>
    <w:basedOn w:val="DefaultParagraphFont"/>
    <w:link w:val="Heading3"/>
    <w:uiPriority w:val="9"/>
    <w:rsid w:val="00E04983"/>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53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16"/>
    <w:rPr>
      <w:rFonts w:ascii="Segoe UI" w:hAnsi="Segoe UI" w:cs="Segoe UI"/>
      <w:sz w:val="18"/>
      <w:szCs w:val="18"/>
    </w:rPr>
  </w:style>
  <w:style w:type="character" w:customStyle="1" w:styleId="num">
    <w:name w:val="num"/>
    <w:basedOn w:val="DefaultParagraphFont"/>
    <w:rsid w:val="00125EDB"/>
  </w:style>
  <w:style w:type="character" w:customStyle="1" w:styleId="heading">
    <w:name w:val="heading"/>
    <w:basedOn w:val="DefaultParagraphFont"/>
    <w:rsid w:val="00125EDB"/>
  </w:style>
  <w:style w:type="character" w:customStyle="1" w:styleId="chapeau">
    <w:name w:val="chapeau"/>
    <w:basedOn w:val="DefaultParagraphFont"/>
    <w:rsid w:val="00125EDB"/>
  </w:style>
  <w:style w:type="character" w:customStyle="1" w:styleId="like">
    <w:name w:val="like"/>
    <w:basedOn w:val="DefaultParagraphFont"/>
    <w:rsid w:val="00162612"/>
  </w:style>
  <w:style w:type="character" w:customStyle="1" w:styleId="print">
    <w:name w:val="print"/>
    <w:basedOn w:val="DefaultParagraphFont"/>
    <w:rsid w:val="00162612"/>
  </w:style>
  <w:style w:type="character" w:styleId="Strong">
    <w:name w:val="Strong"/>
    <w:basedOn w:val="DefaultParagraphFont"/>
    <w:uiPriority w:val="22"/>
    <w:qFormat/>
    <w:rsid w:val="007A45FD"/>
    <w:rPr>
      <w:b/>
      <w:bCs/>
    </w:rPr>
  </w:style>
  <w:style w:type="table" w:customStyle="1" w:styleId="PlainTable11">
    <w:name w:val="Plain Table 11"/>
    <w:basedOn w:val="TableNormal"/>
    <w:uiPriority w:val="41"/>
    <w:rsid w:val="001F79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1F79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F79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8933AB"/>
    <w:rPr>
      <w:sz w:val="16"/>
      <w:szCs w:val="16"/>
    </w:rPr>
  </w:style>
  <w:style w:type="paragraph" w:styleId="CommentText">
    <w:name w:val="annotation text"/>
    <w:basedOn w:val="Normal"/>
    <w:link w:val="CommentTextChar"/>
    <w:uiPriority w:val="99"/>
    <w:semiHidden/>
    <w:unhideWhenUsed/>
    <w:rsid w:val="008933AB"/>
    <w:pPr>
      <w:spacing w:line="240" w:lineRule="auto"/>
    </w:pPr>
    <w:rPr>
      <w:sz w:val="20"/>
      <w:szCs w:val="20"/>
    </w:rPr>
  </w:style>
  <w:style w:type="character" w:customStyle="1" w:styleId="CommentTextChar">
    <w:name w:val="Comment Text Char"/>
    <w:basedOn w:val="DefaultParagraphFont"/>
    <w:link w:val="CommentText"/>
    <w:uiPriority w:val="99"/>
    <w:semiHidden/>
    <w:rsid w:val="008933AB"/>
    <w:rPr>
      <w:sz w:val="20"/>
      <w:szCs w:val="20"/>
    </w:rPr>
  </w:style>
  <w:style w:type="paragraph" w:styleId="CommentSubject">
    <w:name w:val="annotation subject"/>
    <w:basedOn w:val="CommentText"/>
    <w:next w:val="CommentText"/>
    <w:link w:val="CommentSubjectChar"/>
    <w:uiPriority w:val="99"/>
    <w:semiHidden/>
    <w:unhideWhenUsed/>
    <w:rsid w:val="008933AB"/>
    <w:rPr>
      <w:b/>
      <w:bCs/>
    </w:rPr>
  </w:style>
  <w:style w:type="character" w:customStyle="1" w:styleId="CommentSubjectChar">
    <w:name w:val="Comment Subject Char"/>
    <w:basedOn w:val="CommentTextChar"/>
    <w:link w:val="CommentSubject"/>
    <w:uiPriority w:val="99"/>
    <w:semiHidden/>
    <w:rsid w:val="00893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2036">
      <w:bodyDiv w:val="1"/>
      <w:marLeft w:val="0"/>
      <w:marRight w:val="0"/>
      <w:marTop w:val="0"/>
      <w:marBottom w:val="0"/>
      <w:divBdr>
        <w:top w:val="none" w:sz="0" w:space="0" w:color="auto"/>
        <w:left w:val="none" w:sz="0" w:space="0" w:color="auto"/>
        <w:bottom w:val="none" w:sz="0" w:space="0" w:color="auto"/>
        <w:right w:val="none" w:sz="0" w:space="0" w:color="auto"/>
      </w:divBdr>
    </w:div>
    <w:div w:id="171336574">
      <w:bodyDiv w:val="1"/>
      <w:marLeft w:val="0"/>
      <w:marRight w:val="0"/>
      <w:marTop w:val="0"/>
      <w:marBottom w:val="0"/>
      <w:divBdr>
        <w:top w:val="none" w:sz="0" w:space="0" w:color="auto"/>
        <w:left w:val="none" w:sz="0" w:space="0" w:color="auto"/>
        <w:bottom w:val="none" w:sz="0" w:space="0" w:color="auto"/>
        <w:right w:val="none" w:sz="0" w:space="0" w:color="auto"/>
      </w:divBdr>
    </w:div>
    <w:div w:id="182017058">
      <w:bodyDiv w:val="1"/>
      <w:marLeft w:val="0"/>
      <w:marRight w:val="0"/>
      <w:marTop w:val="0"/>
      <w:marBottom w:val="0"/>
      <w:divBdr>
        <w:top w:val="none" w:sz="0" w:space="0" w:color="auto"/>
        <w:left w:val="none" w:sz="0" w:space="0" w:color="auto"/>
        <w:bottom w:val="none" w:sz="0" w:space="0" w:color="auto"/>
        <w:right w:val="none" w:sz="0" w:space="0" w:color="auto"/>
      </w:divBdr>
    </w:div>
    <w:div w:id="192035456">
      <w:bodyDiv w:val="1"/>
      <w:marLeft w:val="0"/>
      <w:marRight w:val="0"/>
      <w:marTop w:val="0"/>
      <w:marBottom w:val="0"/>
      <w:divBdr>
        <w:top w:val="none" w:sz="0" w:space="0" w:color="auto"/>
        <w:left w:val="none" w:sz="0" w:space="0" w:color="auto"/>
        <w:bottom w:val="none" w:sz="0" w:space="0" w:color="auto"/>
        <w:right w:val="none" w:sz="0" w:space="0" w:color="auto"/>
      </w:divBdr>
    </w:div>
    <w:div w:id="385766645">
      <w:bodyDiv w:val="1"/>
      <w:marLeft w:val="0"/>
      <w:marRight w:val="0"/>
      <w:marTop w:val="0"/>
      <w:marBottom w:val="0"/>
      <w:divBdr>
        <w:top w:val="none" w:sz="0" w:space="0" w:color="auto"/>
        <w:left w:val="none" w:sz="0" w:space="0" w:color="auto"/>
        <w:bottom w:val="none" w:sz="0" w:space="0" w:color="auto"/>
        <w:right w:val="none" w:sz="0" w:space="0" w:color="auto"/>
      </w:divBdr>
    </w:div>
    <w:div w:id="512577431">
      <w:bodyDiv w:val="1"/>
      <w:marLeft w:val="0"/>
      <w:marRight w:val="0"/>
      <w:marTop w:val="0"/>
      <w:marBottom w:val="0"/>
      <w:divBdr>
        <w:top w:val="none" w:sz="0" w:space="0" w:color="auto"/>
        <w:left w:val="none" w:sz="0" w:space="0" w:color="auto"/>
        <w:bottom w:val="none" w:sz="0" w:space="0" w:color="auto"/>
        <w:right w:val="none" w:sz="0" w:space="0" w:color="auto"/>
      </w:divBdr>
    </w:div>
    <w:div w:id="531655929">
      <w:bodyDiv w:val="1"/>
      <w:marLeft w:val="0"/>
      <w:marRight w:val="0"/>
      <w:marTop w:val="0"/>
      <w:marBottom w:val="0"/>
      <w:divBdr>
        <w:top w:val="none" w:sz="0" w:space="0" w:color="auto"/>
        <w:left w:val="none" w:sz="0" w:space="0" w:color="auto"/>
        <w:bottom w:val="none" w:sz="0" w:space="0" w:color="auto"/>
        <w:right w:val="none" w:sz="0" w:space="0" w:color="auto"/>
      </w:divBdr>
    </w:div>
    <w:div w:id="553783964">
      <w:bodyDiv w:val="1"/>
      <w:marLeft w:val="0"/>
      <w:marRight w:val="0"/>
      <w:marTop w:val="0"/>
      <w:marBottom w:val="0"/>
      <w:divBdr>
        <w:top w:val="none" w:sz="0" w:space="0" w:color="auto"/>
        <w:left w:val="none" w:sz="0" w:space="0" w:color="auto"/>
        <w:bottom w:val="none" w:sz="0" w:space="0" w:color="auto"/>
        <w:right w:val="none" w:sz="0" w:space="0" w:color="auto"/>
      </w:divBdr>
    </w:div>
    <w:div w:id="563220120">
      <w:bodyDiv w:val="1"/>
      <w:marLeft w:val="0"/>
      <w:marRight w:val="0"/>
      <w:marTop w:val="0"/>
      <w:marBottom w:val="0"/>
      <w:divBdr>
        <w:top w:val="none" w:sz="0" w:space="0" w:color="auto"/>
        <w:left w:val="none" w:sz="0" w:space="0" w:color="auto"/>
        <w:bottom w:val="none" w:sz="0" w:space="0" w:color="auto"/>
        <w:right w:val="none" w:sz="0" w:space="0" w:color="auto"/>
      </w:divBdr>
    </w:div>
    <w:div w:id="634531468">
      <w:bodyDiv w:val="1"/>
      <w:marLeft w:val="0"/>
      <w:marRight w:val="0"/>
      <w:marTop w:val="0"/>
      <w:marBottom w:val="0"/>
      <w:divBdr>
        <w:top w:val="none" w:sz="0" w:space="0" w:color="auto"/>
        <w:left w:val="none" w:sz="0" w:space="0" w:color="auto"/>
        <w:bottom w:val="none" w:sz="0" w:space="0" w:color="auto"/>
        <w:right w:val="none" w:sz="0" w:space="0" w:color="auto"/>
      </w:divBdr>
    </w:div>
    <w:div w:id="640618483">
      <w:bodyDiv w:val="1"/>
      <w:marLeft w:val="0"/>
      <w:marRight w:val="0"/>
      <w:marTop w:val="0"/>
      <w:marBottom w:val="0"/>
      <w:divBdr>
        <w:top w:val="none" w:sz="0" w:space="0" w:color="auto"/>
        <w:left w:val="none" w:sz="0" w:space="0" w:color="auto"/>
        <w:bottom w:val="none" w:sz="0" w:space="0" w:color="auto"/>
        <w:right w:val="none" w:sz="0" w:space="0" w:color="auto"/>
      </w:divBdr>
    </w:div>
    <w:div w:id="697052178">
      <w:bodyDiv w:val="1"/>
      <w:marLeft w:val="0"/>
      <w:marRight w:val="0"/>
      <w:marTop w:val="0"/>
      <w:marBottom w:val="0"/>
      <w:divBdr>
        <w:top w:val="none" w:sz="0" w:space="0" w:color="auto"/>
        <w:left w:val="none" w:sz="0" w:space="0" w:color="auto"/>
        <w:bottom w:val="none" w:sz="0" w:space="0" w:color="auto"/>
        <w:right w:val="none" w:sz="0" w:space="0" w:color="auto"/>
      </w:divBdr>
    </w:div>
    <w:div w:id="989556561">
      <w:bodyDiv w:val="1"/>
      <w:marLeft w:val="0"/>
      <w:marRight w:val="0"/>
      <w:marTop w:val="0"/>
      <w:marBottom w:val="0"/>
      <w:divBdr>
        <w:top w:val="none" w:sz="0" w:space="0" w:color="auto"/>
        <w:left w:val="none" w:sz="0" w:space="0" w:color="auto"/>
        <w:bottom w:val="none" w:sz="0" w:space="0" w:color="auto"/>
        <w:right w:val="none" w:sz="0" w:space="0" w:color="auto"/>
      </w:divBdr>
      <w:divsChild>
        <w:div w:id="2122874820">
          <w:marLeft w:val="0"/>
          <w:marRight w:val="0"/>
          <w:marTop w:val="150"/>
          <w:marBottom w:val="0"/>
          <w:divBdr>
            <w:top w:val="none" w:sz="0" w:space="0" w:color="auto"/>
            <w:left w:val="none" w:sz="0" w:space="0" w:color="auto"/>
            <w:bottom w:val="none" w:sz="0" w:space="0" w:color="auto"/>
            <w:right w:val="none" w:sz="0" w:space="0" w:color="auto"/>
          </w:divBdr>
        </w:div>
        <w:div w:id="704410938">
          <w:marLeft w:val="0"/>
          <w:marRight w:val="0"/>
          <w:marTop w:val="0"/>
          <w:marBottom w:val="0"/>
          <w:divBdr>
            <w:top w:val="none" w:sz="0" w:space="0" w:color="auto"/>
            <w:left w:val="none" w:sz="0" w:space="0" w:color="auto"/>
            <w:bottom w:val="none" w:sz="0" w:space="0" w:color="auto"/>
            <w:right w:val="none" w:sz="0" w:space="0" w:color="auto"/>
          </w:divBdr>
        </w:div>
        <w:div w:id="1687368043">
          <w:marLeft w:val="0"/>
          <w:marRight w:val="0"/>
          <w:marTop w:val="0"/>
          <w:marBottom w:val="0"/>
          <w:divBdr>
            <w:top w:val="none" w:sz="0" w:space="0" w:color="auto"/>
            <w:left w:val="none" w:sz="0" w:space="0" w:color="auto"/>
            <w:bottom w:val="none" w:sz="0" w:space="0" w:color="auto"/>
            <w:right w:val="none" w:sz="0" w:space="0" w:color="auto"/>
          </w:divBdr>
        </w:div>
        <w:div w:id="1546406665">
          <w:marLeft w:val="0"/>
          <w:marRight w:val="0"/>
          <w:marTop w:val="0"/>
          <w:marBottom w:val="0"/>
          <w:divBdr>
            <w:top w:val="none" w:sz="0" w:space="0" w:color="auto"/>
            <w:left w:val="none" w:sz="0" w:space="0" w:color="auto"/>
            <w:bottom w:val="none" w:sz="0" w:space="0" w:color="auto"/>
            <w:right w:val="none" w:sz="0" w:space="0" w:color="auto"/>
          </w:divBdr>
        </w:div>
        <w:div w:id="1018891458">
          <w:marLeft w:val="0"/>
          <w:marRight w:val="0"/>
          <w:marTop w:val="0"/>
          <w:marBottom w:val="0"/>
          <w:divBdr>
            <w:top w:val="none" w:sz="0" w:space="0" w:color="auto"/>
            <w:left w:val="none" w:sz="0" w:space="0" w:color="auto"/>
            <w:bottom w:val="none" w:sz="0" w:space="0" w:color="auto"/>
            <w:right w:val="none" w:sz="0" w:space="0" w:color="auto"/>
          </w:divBdr>
        </w:div>
        <w:div w:id="1751072896">
          <w:marLeft w:val="0"/>
          <w:marRight w:val="0"/>
          <w:marTop w:val="0"/>
          <w:marBottom w:val="0"/>
          <w:divBdr>
            <w:top w:val="none" w:sz="0" w:space="0" w:color="auto"/>
            <w:left w:val="none" w:sz="0" w:space="0" w:color="auto"/>
            <w:bottom w:val="none" w:sz="0" w:space="0" w:color="auto"/>
            <w:right w:val="none" w:sz="0" w:space="0" w:color="auto"/>
          </w:divBdr>
        </w:div>
        <w:div w:id="162939761">
          <w:marLeft w:val="0"/>
          <w:marRight w:val="0"/>
          <w:marTop w:val="0"/>
          <w:marBottom w:val="0"/>
          <w:divBdr>
            <w:top w:val="none" w:sz="0" w:space="0" w:color="auto"/>
            <w:left w:val="none" w:sz="0" w:space="0" w:color="auto"/>
            <w:bottom w:val="none" w:sz="0" w:space="0" w:color="auto"/>
            <w:right w:val="none" w:sz="0" w:space="0" w:color="auto"/>
          </w:divBdr>
        </w:div>
        <w:div w:id="1567884845">
          <w:marLeft w:val="0"/>
          <w:marRight w:val="0"/>
          <w:marTop w:val="0"/>
          <w:marBottom w:val="0"/>
          <w:divBdr>
            <w:top w:val="none" w:sz="0" w:space="0" w:color="auto"/>
            <w:left w:val="none" w:sz="0" w:space="0" w:color="auto"/>
            <w:bottom w:val="none" w:sz="0" w:space="0" w:color="auto"/>
            <w:right w:val="none" w:sz="0" w:space="0" w:color="auto"/>
          </w:divBdr>
        </w:div>
        <w:div w:id="84763932">
          <w:marLeft w:val="0"/>
          <w:marRight w:val="0"/>
          <w:marTop w:val="0"/>
          <w:marBottom w:val="0"/>
          <w:divBdr>
            <w:top w:val="none" w:sz="0" w:space="0" w:color="auto"/>
            <w:left w:val="none" w:sz="0" w:space="0" w:color="auto"/>
            <w:bottom w:val="none" w:sz="0" w:space="0" w:color="auto"/>
            <w:right w:val="none" w:sz="0" w:space="0" w:color="auto"/>
          </w:divBdr>
        </w:div>
        <w:div w:id="308638593">
          <w:marLeft w:val="0"/>
          <w:marRight w:val="0"/>
          <w:marTop w:val="0"/>
          <w:marBottom w:val="0"/>
          <w:divBdr>
            <w:top w:val="none" w:sz="0" w:space="0" w:color="auto"/>
            <w:left w:val="none" w:sz="0" w:space="0" w:color="auto"/>
            <w:bottom w:val="none" w:sz="0" w:space="0" w:color="auto"/>
            <w:right w:val="none" w:sz="0" w:space="0" w:color="auto"/>
          </w:divBdr>
        </w:div>
        <w:div w:id="1068765201">
          <w:marLeft w:val="0"/>
          <w:marRight w:val="0"/>
          <w:marTop w:val="0"/>
          <w:marBottom w:val="0"/>
          <w:divBdr>
            <w:top w:val="none" w:sz="0" w:space="0" w:color="auto"/>
            <w:left w:val="none" w:sz="0" w:space="0" w:color="auto"/>
            <w:bottom w:val="none" w:sz="0" w:space="0" w:color="auto"/>
            <w:right w:val="none" w:sz="0" w:space="0" w:color="auto"/>
          </w:divBdr>
        </w:div>
        <w:div w:id="1608005040">
          <w:marLeft w:val="0"/>
          <w:marRight w:val="0"/>
          <w:marTop w:val="0"/>
          <w:marBottom w:val="0"/>
          <w:divBdr>
            <w:top w:val="none" w:sz="0" w:space="0" w:color="auto"/>
            <w:left w:val="none" w:sz="0" w:space="0" w:color="auto"/>
            <w:bottom w:val="none" w:sz="0" w:space="0" w:color="auto"/>
            <w:right w:val="none" w:sz="0" w:space="0" w:color="auto"/>
          </w:divBdr>
        </w:div>
      </w:divsChild>
    </w:div>
    <w:div w:id="1012489462">
      <w:bodyDiv w:val="1"/>
      <w:marLeft w:val="0"/>
      <w:marRight w:val="0"/>
      <w:marTop w:val="0"/>
      <w:marBottom w:val="0"/>
      <w:divBdr>
        <w:top w:val="none" w:sz="0" w:space="0" w:color="auto"/>
        <w:left w:val="none" w:sz="0" w:space="0" w:color="auto"/>
        <w:bottom w:val="none" w:sz="0" w:space="0" w:color="auto"/>
        <w:right w:val="none" w:sz="0" w:space="0" w:color="auto"/>
      </w:divBdr>
      <w:divsChild>
        <w:div w:id="471217468">
          <w:marLeft w:val="240"/>
          <w:marRight w:val="0"/>
          <w:marTop w:val="60"/>
          <w:marBottom w:val="60"/>
          <w:divBdr>
            <w:top w:val="none" w:sz="0" w:space="0" w:color="auto"/>
            <w:left w:val="none" w:sz="0" w:space="0" w:color="auto"/>
            <w:bottom w:val="none" w:sz="0" w:space="0" w:color="auto"/>
            <w:right w:val="none" w:sz="0" w:space="0" w:color="auto"/>
          </w:divBdr>
          <w:divsChild>
            <w:div w:id="2112511477">
              <w:marLeft w:val="240"/>
              <w:marRight w:val="0"/>
              <w:marTop w:val="60"/>
              <w:marBottom w:val="60"/>
              <w:divBdr>
                <w:top w:val="none" w:sz="0" w:space="0" w:color="auto"/>
                <w:left w:val="none" w:sz="0" w:space="0" w:color="auto"/>
                <w:bottom w:val="none" w:sz="0" w:space="0" w:color="auto"/>
                <w:right w:val="none" w:sz="0" w:space="0" w:color="auto"/>
              </w:divBdr>
              <w:divsChild>
                <w:div w:id="2095206379">
                  <w:marLeft w:val="0"/>
                  <w:marRight w:val="0"/>
                  <w:marTop w:val="0"/>
                  <w:marBottom w:val="0"/>
                  <w:divBdr>
                    <w:top w:val="none" w:sz="0" w:space="0" w:color="auto"/>
                    <w:left w:val="none" w:sz="0" w:space="0" w:color="auto"/>
                    <w:bottom w:val="none" w:sz="0" w:space="0" w:color="auto"/>
                    <w:right w:val="none" w:sz="0" w:space="0" w:color="auto"/>
                  </w:divBdr>
                </w:div>
              </w:divsChild>
            </w:div>
            <w:div w:id="1895652089">
              <w:marLeft w:val="240"/>
              <w:marRight w:val="0"/>
              <w:marTop w:val="60"/>
              <w:marBottom w:val="60"/>
              <w:divBdr>
                <w:top w:val="none" w:sz="0" w:space="0" w:color="auto"/>
                <w:left w:val="none" w:sz="0" w:space="0" w:color="auto"/>
                <w:bottom w:val="none" w:sz="0" w:space="0" w:color="auto"/>
                <w:right w:val="none" w:sz="0" w:space="0" w:color="auto"/>
              </w:divBdr>
              <w:divsChild>
                <w:div w:id="9018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8257">
          <w:marLeft w:val="240"/>
          <w:marRight w:val="0"/>
          <w:marTop w:val="60"/>
          <w:marBottom w:val="60"/>
          <w:divBdr>
            <w:top w:val="none" w:sz="0" w:space="0" w:color="auto"/>
            <w:left w:val="none" w:sz="0" w:space="0" w:color="auto"/>
            <w:bottom w:val="none" w:sz="0" w:space="0" w:color="auto"/>
            <w:right w:val="none" w:sz="0" w:space="0" w:color="auto"/>
          </w:divBdr>
          <w:divsChild>
            <w:div w:id="974679577">
              <w:marLeft w:val="240"/>
              <w:marRight w:val="0"/>
              <w:marTop w:val="60"/>
              <w:marBottom w:val="60"/>
              <w:divBdr>
                <w:top w:val="none" w:sz="0" w:space="0" w:color="auto"/>
                <w:left w:val="none" w:sz="0" w:space="0" w:color="auto"/>
                <w:bottom w:val="none" w:sz="0" w:space="0" w:color="auto"/>
                <w:right w:val="none" w:sz="0" w:space="0" w:color="auto"/>
              </w:divBdr>
              <w:divsChild>
                <w:div w:id="1724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2626">
      <w:bodyDiv w:val="1"/>
      <w:marLeft w:val="0"/>
      <w:marRight w:val="0"/>
      <w:marTop w:val="0"/>
      <w:marBottom w:val="0"/>
      <w:divBdr>
        <w:top w:val="none" w:sz="0" w:space="0" w:color="auto"/>
        <w:left w:val="none" w:sz="0" w:space="0" w:color="auto"/>
        <w:bottom w:val="none" w:sz="0" w:space="0" w:color="auto"/>
        <w:right w:val="none" w:sz="0" w:space="0" w:color="auto"/>
      </w:divBdr>
    </w:div>
    <w:div w:id="1163662796">
      <w:bodyDiv w:val="1"/>
      <w:marLeft w:val="0"/>
      <w:marRight w:val="0"/>
      <w:marTop w:val="0"/>
      <w:marBottom w:val="0"/>
      <w:divBdr>
        <w:top w:val="none" w:sz="0" w:space="0" w:color="auto"/>
        <w:left w:val="none" w:sz="0" w:space="0" w:color="auto"/>
        <w:bottom w:val="none" w:sz="0" w:space="0" w:color="auto"/>
        <w:right w:val="none" w:sz="0" w:space="0" w:color="auto"/>
      </w:divBdr>
    </w:div>
    <w:div w:id="1620912337">
      <w:bodyDiv w:val="1"/>
      <w:marLeft w:val="0"/>
      <w:marRight w:val="0"/>
      <w:marTop w:val="0"/>
      <w:marBottom w:val="0"/>
      <w:divBdr>
        <w:top w:val="none" w:sz="0" w:space="0" w:color="auto"/>
        <w:left w:val="none" w:sz="0" w:space="0" w:color="auto"/>
        <w:bottom w:val="none" w:sz="0" w:space="0" w:color="auto"/>
        <w:right w:val="none" w:sz="0" w:space="0" w:color="auto"/>
      </w:divBdr>
    </w:div>
    <w:div w:id="1625116853">
      <w:bodyDiv w:val="1"/>
      <w:marLeft w:val="0"/>
      <w:marRight w:val="0"/>
      <w:marTop w:val="0"/>
      <w:marBottom w:val="0"/>
      <w:divBdr>
        <w:top w:val="none" w:sz="0" w:space="0" w:color="auto"/>
        <w:left w:val="none" w:sz="0" w:space="0" w:color="auto"/>
        <w:bottom w:val="none" w:sz="0" w:space="0" w:color="auto"/>
        <w:right w:val="none" w:sz="0" w:space="0" w:color="auto"/>
      </w:divBdr>
    </w:div>
    <w:div w:id="1729187133">
      <w:bodyDiv w:val="1"/>
      <w:marLeft w:val="0"/>
      <w:marRight w:val="0"/>
      <w:marTop w:val="0"/>
      <w:marBottom w:val="0"/>
      <w:divBdr>
        <w:top w:val="none" w:sz="0" w:space="0" w:color="auto"/>
        <w:left w:val="none" w:sz="0" w:space="0" w:color="auto"/>
        <w:bottom w:val="none" w:sz="0" w:space="0" w:color="auto"/>
        <w:right w:val="none" w:sz="0" w:space="0" w:color="auto"/>
      </w:divBdr>
      <w:divsChild>
        <w:div w:id="703791327">
          <w:marLeft w:val="240"/>
          <w:marRight w:val="0"/>
          <w:marTop w:val="60"/>
          <w:marBottom w:val="60"/>
          <w:divBdr>
            <w:top w:val="none" w:sz="0" w:space="0" w:color="auto"/>
            <w:left w:val="none" w:sz="0" w:space="0" w:color="auto"/>
            <w:bottom w:val="none" w:sz="0" w:space="0" w:color="auto"/>
            <w:right w:val="none" w:sz="0" w:space="0" w:color="auto"/>
          </w:divBdr>
          <w:divsChild>
            <w:div w:id="480776334">
              <w:marLeft w:val="240"/>
              <w:marRight w:val="0"/>
              <w:marTop w:val="60"/>
              <w:marBottom w:val="60"/>
              <w:divBdr>
                <w:top w:val="none" w:sz="0" w:space="0" w:color="auto"/>
                <w:left w:val="none" w:sz="0" w:space="0" w:color="auto"/>
                <w:bottom w:val="none" w:sz="0" w:space="0" w:color="auto"/>
                <w:right w:val="none" w:sz="0" w:space="0" w:color="auto"/>
              </w:divBdr>
              <w:divsChild>
                <w:div w:id="947349202">
                  <w:marLeft w:val="0"/>
                  <w:marRight w:val="0"/>
                  <w:marTop w:val="0"/>
                  <w:marBottom w:val="0"/>
                  <w:divBdr>
                    <w:top w:val="none" w:sz="0" w:space="0" w:color="auto"/>
                    <w:left w:val="none" w:sz="0" w:space="0" w:color="auto"/>
                    <w:bottom w:val="none" w:sz="0" w:space="0" w:color="auto"/>
                    <w:right w:val="none" w:sz="0" w:space="0" w:color="auto"/>
                  </w:divBdr>
                </w:div>
              </w:divsChild>
            </w:div>
            <w:div w:id="1311404862">
              <w:marLeft w:val="240"/>
              <w:marRight w:val="0"/>
              <w:marTop w:val="60"/>
              <w:marBottom w:val="60"/>
              <w:divBdr>
                <w:top w:val="none" w:sz="0" w:space="0" w:color="auto"/>
                <w:left w:val="none" w:sz="0" w:space="0" w:color="auto"/>
                <w:bottom w:val="none" w:sz="0" w:space="0" w:color="auto"/>
                <w:right w:val="none" w:sz="0" w:space="0" w:color="auto"/>
              </w:divBdr>
              <w:divsChild>
                <w:div w:id="318775057">
                  <w:marLeft w:val="0"/>
                  <w:marRight w:val="0"/>
                  <w:marTop w:val="0"/>
                  <w:marBottom w:val="0"/>
                  <w:divBdr>
                    <w:top w:val="none" w:sz="0" w:space="0" w:color="auto"/>
                    <w:left w:val="none" w:sz="0" w:space="0" w:color="auto"/>
                    <w:bottom w:val="none" w:sz="0" w:space="0" w:color="auto"/>
                    <w:right w:val="none" w:sz="0" w:space="0" w:color="auto"/>
                  </w:divBdr>
                </w:div>
              </w:divsChild>
            </w:div>
            <w:div w:id="111247787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734620461">
      <w:bodyDiv w:val="1"/>
      <w:marLeft w:val="0"/>
      <w:marRight w:val="0"/>
      <w:marTop w:val="0"/>
      <w:marBottom w:val="0"/>
      <w:divBdr>
        <w:top w:val="none" w:sz="0" w:space="0" w:color="auto"/>
        <w:left w:val="none" w:sz="0" w:space="0" w:color="auto"/>
        <w:bottom w:val="none" w:sz="0" w:space="0" w:color="auto"/>
        <w:right w:val="none" w:sz="0" w:space="0" w:color="auto"/>
      </w:divBdr>
    </w:div>
    <w:div w:id="1863323149">
      <w:bodyDiv w:val="1"/>
      <w:marLeft w:val="0"/>
      <w:marRight w:val="0"/>
      <w:marTop w:val="0"/>
      <w:marBottom w:val="0"/>
      <w:divBdr>
        <w:top w:val="none" w:sz="0" w:space="0" w:color="auto"/>
        <w:left w:val="none" w:sz="0" w:space="0" w:color="auto"/>
        <w:bottom w:val="none" w:sz="0" w:space="0" w:color="auto"/>
        <w:right w:val="none" w:sz="0" w:space="0" w:color="auto"/>
      </w:divBdr>
    </w:div>
    <w:div w:id="2041201655">
      <w:bodyDiv w:val="1"/>
      <w:marLeft w:val="0"/>
      <w:marRight w:val="0"/>
      <w:marTop w:val="0"/>
      <w:marBottom w:val="0"/>
      <w:divBdr>
        <w:top w:val="none" w:sz="0" w:space="0" w:color="auto"/>
        <w:left w:val="none" w:sz="0" w:space="0" w:color="auto"/>
        <w:bottom w:val="none" w:sz="0" w:space="0" w:color="auto"/>
        <w:right w:val="none" w:sz="0" w:space="0" w:color="auto"/>
      </w:divBdr>
      <w:divsChild>
        <w:div w:id="905460574">
          <w:marLeft w:val="0"/>
          <w:marRight w:val="0"/>
          <w:marTop w:val="0"/>
          <w:marBottom w:val="0"/>
          <w:divBdr>
            <w:top w:val="none" w:sz="0" w:space="0" w:color="auto"/>
            <w:left w:val="none" w:sz="0" w:space="0" w:color="auto"/>
            <w:bottom w:val="none" w:sz="0" w:space="0" w:color="auto"/>
            <w:right w:val="none" w:sz="0" w:space="0" w:color="auto"/>
          </w:divBdr>
        </w:div>
        <w:div w:id="493646344">
          <w:marLeft w:val="0"/>
          <w:marRight w:val="0"/>
          <w:marTop w:val="0"/>
          <w:marBottom w:val="0"/>
          <w:divBdr>
            <w:top w:val="none" w:sz="0" w:space="0" w:color="auto"/>
            <w:left w:val="none" w:sz="0" w:space="0" w:color="auto"/>
            <w:bottom w:val="none" w:sz="0" w:space="0" w:color="auto"/>
            <w:right w:val="none" w:sz="0" w:space="0" w:color="auto"/>
          </w:divBdr>
        </w:div>
        <w:div w:id="144534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tzpatrick@tacin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EBE2-CDDC-41FF-AF32-6D1706D9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2210</Words>
  <Characters>12598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Moore</dc:creator>
  <cp:keywords/>
  <dc:description/>
  <cp:lastModifiedBy>Ilona Nagy</cp:lastModifiedBy>
  <cp:revision>2</cp:revision>
  <cp:lastPrinted>2017-01-18T19:54:00Z</cp:lastPrinted>
  <dcterms:created xsi:type="dcterms:W3CDTF">2018-05-03T20:09:00Z</dcterms:created>
  <dcterms:modified xsi:type="dcterms:W3CDTF">2018-05-03T20:09:00Z</dcterms:modified>
</cp:coreProperties>
</file>