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F0F15"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LOW-INCOME HOUSING TAX CREDIT PROGRAM</w:t>
      </w:r>
    </w:p>
    <w:p w14:paraId="4C2F0F16"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SAMPLE OPINION AS TO PROJECT QUALIFICATION</w:t>
      </w:r>
      <w:r w:rsidR="004A3B19" w:rsidRPr="00097E82">
        <w:rPr>
          <w:rFonts w:ascii="Arial" w:hAnsi="Arial" w:cs="Arial"/>
          <w:b/>
          <w:sz w:val="22"/>
          <w:szCs w:val="22"/>
        </w:rPr>
        <w:t xml:space="preserve"> FOR ACQUISITION CREDIT</w:t>
      </w:r>
    </w:p>
    <w:p w14:paraId="4C2F0F17" w14:textId="77777777" w:rsidR="00397AB9" w:rsidRPr="00097E82" w:rsidRDefault="00397AB9">
      <w:pPr>
        <w:spacing w:line="360" w:lineRule="atLeast"/>
        <w:jc w:val="both"/>
        <w:rPr>
          <w:rFonts w:ascii="Arial" w:hAnsi="Arial" w:cs="Arial"/>
          <w:b/>
          <w:sz w:val="22"/>
          <w:szCs w:val="22"/>
        </w:rPr>
      </w:pPr>
    </w:p>
    <w:p w14:paraId="4C2F0F18" w14:textId="77777777" w:rsidR="00397AB9" w:rsidRPr="00097E82" w:rsidRDefault="004A3B19">
      <w:pPr>
        <w:pBdr>
          <w:top w:val="double" w:sz="6" w:space="0" w:color="auto"/>
          <w:left w:val="double" w:sz="6" w:space="0" w:color="auto"/>
          <w:bottom w:val="double" w:sz="6" w:space="0" w:color="auto"/>
          <w:right w:val="double" w:sz="6" w:space="0" w:color="auto"/>
        </w:pBdr>
        <w:spacing w:line="360" w:lineRule="atLeast"/>
        <w:jc w:val="center"/>
        <w:rPr>
          <w:rFonts w:ascii="Arial" w:hAnsi="Arial" w:cs="Arial"/>
          <w:b/>
          <w:sz w:val="22"/>
          <w:szCs w:val="22"/>
        </w:rPr>
      </w:pPr>
      <w:r w:rsidRPr="00097E82">
        <w:rPr>
          <w:rFonts w:ascii="Arial" w:hAnsi="Arial" w:cs="Arial"/>
          <w:b/>
          <w:sz w:val="22"/>
          <w:szCs w:val="22"/>
        </w:rPr>
        <w:t>To be issued</w:t>
      </w:r>
      <w:r w:rsidR="00397AB9" w:rsidRPr="00097E82">
        <w:rPr>
          <w:rFonts w:ascii="Arial" w:hAnsi="Arial" w:cs="Arial"/>
          <w:b/>
          <w:sz w:val="22"/>
          <w:szCs w:val="22"/>
        </w:rPr>
        <w:t xml:space="preserve"> by Tax Counsel </w:t>
      </w:r>
    </w:p>
    <w:p w14:paraId="4C2F0F19" w14:textId="77777777" w:rsidR="00397AB9" w:rsidRPr="00097E82" w:rsidRDefault="00397AB9">
      <w:pPr>
        <w:pStyle w:val="Heading1"/>
        <w:rPr>
          <w:rFonts w:ascii="Arial" w:hAnsi="Arial" w:cs="Arial"/>
          <w:sz w:val="22"/>
          <w:szCs w:val="22"/>
        </w:rPr>
      </w:pPr>
      <w:r w:rsidRPr="00097E82">
        <w:rPr>
          <w:rFonts w:ascii="Arial" w:hAnsi="Arial" w:cs="Arial"/>
          <w:sz w:val="22"/>
          <w:szCs w:val="22"/>
        </w:rPr>
        <w:t>Please be advised that the sample letter is for informational purposes only. The opinion should be project specific to justify the p</w:t>
      </w:r>
      <w:r w:rsidR="004A3B19" w:rsidRPr="00097E82">
        <w:rPr>
          <w:rFonts w:ascii="Arial" w:hAnsi="Arial" w:cs="Arial"/>
          <w:sz w:val="22"/>
          <w:szCs w:val="22"/>
        </w:rPr>
        <w:t>roject’s eligibility for Acquisition</w:t>
      </w:r>
      <w:r w:rsidRPr="00097E82">
        <w:rPr>
          <w:rFonts w:ascii="Arial" w:hAnsi="Arial" w:cs="Arial"/>
          <w:sz w:val="22"/>
          <w:szCs w:val="22"/>
        </w:rPr>
        <w:t xml:space="preserve"> Credits.</w:t>
      </w:r>
      <w:r w:rsidR="004A3B19" w:rsidRPr="00097E82">
        <w:rPr>
          <w:rFonts w:ascii="Arial" w:hAnsi="Arial" w:cs="Arial"/>
          <w:sz w:val="22"/>
          <w:szCs w:val="22"/>
        </w:rPr>
        <w:t xml:space="preserve">  Tax Counsel should include </w:t>
      </w:r>
      <w:r w:rsidR="00425E11" w:rsidRPr="00097E82">
        <w:rPr>
          <w:rFonts w:ascii="Arial" w:hAnsi="Arial" w:cs="Arial"/>
          <w:sz w:val="22"/>
          <w:szCs w:val="22"/>
        </w:rPr>
        <w:t xml:space="preserve">relevant </w:t>
      </w:r>
      <w:r w:rsidR="004A3B19" w:rsidRPr="00097E82">
        <w:rPr>
          <w:rFonts w:ascii="Arial" w:hAnsi="Arial" w:cs="Arial"/>
          <w:sz w:val="22"/>
          <w:szCs w:val="22"/>
        </w:rPr>
        <w:t>support documentation as attachment to the legal opinion, as appropriate.</w:t>
      </w:r>
    </w:p>
    <w:p w14:paraId="4C2F0F1A" w14:textId="77777777" w:rsidR="00425E11" w:rsidRPr="00097E82" w:rsidRDefault="00425E11">
      <w:pPr>
        <w:spacing w:line="360" w:lineRule="atLeast"/>
        <w:jc w:val="both"/>
        <w:rPr>
          <w:rFonts w:ascii="Arial" w:hAnsi="Arial" w:cs="Arial"/>
          <w:sz w:val="22"/>
          <w:szCs w:val="22"/>
        </w:rPr>
      </w:pPr>
    </w:p>
    <w:p w14:paraId="4C2F0F1B" w14:textId="77777777" w:rsidR="00425E11" w:rsidRPr="00097E82" w:rsidRDefault="00425E11">
      <w:pPr>
        <w:spacing w:line="360" w:lineRule="atLeast"/>
        <w:jc w:val="both"/>
        <w:rPr>
          <w:rFonts w:ascii="Arial" w:hAnsi="Arial" w:cs="Arial"/>
          <w:sz w:val="22"/>
          <w:szCs w:val="22"/>
        </w:rPr>
      </w:pPr>
      <w:r w:rsidRPr="00097E82">
        <w:rPr>
          <w:rFonts w:ascii="Arial" w:hAnsi="Arial" w:cs="Arial"/>
          <w:sz w:val="22"/>
          <w:szCs w:val="22"/>
        </w:rPr>
        <w:t>Date</w:t>
      </w:r>
    </w:p>
    <w:p w14:paraId="4C2F0F1C" w14:textId="77777777" w:rsidR="00425E11" w:rsidRPr="00097E82" w:rsidRDefault="00425E11">
      <w:pPr>
        <w:spacing w:line="360" w:lineRule="atLeast"/>
        <w:jc w:val="both"/>
        <w:rPr>
          <w:rFonts w:ascii="Arial" w:hAnsi="Arial" w:cs="Arial"/>
          <w:sz w:val="22"/>
          <w:szCs w:val="22"/>
        </w:rPr>
      </w:pPr>
    </w:p>
    <w:p w14:paraId="4C2F0F1D"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State of Georgia</w:t>
      </w:r>
    </w:p>
    <w:p w14:paraId="4C2F0F1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Department of Community Affairs</w:t>
      </w:r>
    </w:p>
    <w:p w14:paraId="4C2F0F1F"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60 Executive Park South, N.E.</w:t>
      </w:r>
      <w:bookmarkStart w:id="0" w:name="_GoBack"/>
      <w:bookmarkEnd w:id="0"/>
    </w:p>
    <w:p w14:paraId="4C2F0F2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Atlanta, Georgia  30329</w:t>
      </w:r>
    </w:p>
    <w:p w14:paraId="4C2F0F21" w14:textId="77777777" w:rsidR="00397AB9" w:rsidRPr="00097E82" w:rsidRDefault="00397AB9">
      <w:pPr>
        <w:spacing w:line="260" w:lineRule="atLeast"/>
        <w:jc w:val="both"/>
        <w:rPr>
          <w:rFonts w:ascii="Arial" w:hAnsi="Arial" w:cs="Arial"/>
          <w:sz w:val="22"/>
          <w:szCs w:val="22"/>
        </w:rPr>
      </w:pPr>
    </w:p>
    <w:p w14:paraId="4C2F0F22"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ATTN:</w:t>
      </w:r>
      <w:r w:rsidRPr="00097E82">
        <w:rPr>
          <w:rFonts w:ascii="Arial" w:hAnsi="Arial" w:cs="Arial"/>
          <w:sz w:val="22"/>
          <w:szCs w:val="22"/>
        </w:rPr>
        <w:tab/>
        <w:t xml:space="preserve">   Low-Income Housing Credit Program</w:t>
      </w:r>
    </w:p>
    <w:p w14:paraId="4C2F0F23" w14:textId="77777777" w:rsidR="00397AB9" w:rsidRPr="00097E82" w:rsidRDefault="00397AB9">
      <w:pPr>
        <w:tabs>
          <w:tab w:val="left" w:pos="1080"/>
        </w:tabs>
        <w:spacing w:line="260" w:lineRule="atLeast"/>
        <w:jc w:val="both"/>
        <w:rPr>
          <w:rFonts w:ascii="Arial" w:hAnsi="Arial" w:cs="Arial"/>
          <w:sz w:val="22"/>
          <w:szCs w:val="22"/>
        </w:rPr>
      </w:pPr>
    </w:p>
    <w:p w14:paraId="4C2F0F24"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DEVELOPMENT NAME:  </w:t>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5"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BUILDING/DEVELOPMENT LOCATION: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6" w14:textId="77777777" w:rsidR="00397AB9" w:rsidRPr="00097E82" w:rsidRDefault="00397AB9">
      <w:pPr>
        <w:tabs>
          <w:tab w:val="left" w:pos="1080"/>
        </w:tabs>
        <w:spacing w:line="260" w:lineRule="atLeast"/>
        <w:jc w:val="both"/>
        <w:rPr>
          <w:rFonts w:ascii="Arial" w:hAnsi="Arial" w:cs="Arial"/>
          <w:sz w:val="22"/>
          <w:szCs w:val="22"/>
        </w:rPr>
      </w:pPr>
      <w:r w:rsidRPr="00097E82">
        <w:rPr>
          <w:rFonts w:ascii="Arial" w:hAnsi="Arial" w:cs="Arial"/>
          <w:sz w:val="22"/>
          <w:szCs w:val="22"/>
        </w:rPr>
        <w:t xml:space="preserve">BUILDING/DEVELOPMENT OWNER: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t xml:space="preserve"> </w:t>
      </w:r>
    </w:p>
    <w:p w14:paraId="4C2F0F27" w14:textId="77777777" w:rsidR="00397AB9" w:rsidRPr="00097E82" w:rsidRDefault="00397AB9">
      <w:pPr>
        <w:tabs>
          <w:tab w:val="left" w:pos="1080"/>
        </w:tabs>
        <w:spacing w:line="260" w:lineRule="atLeast"/>
        <w:jc w:val="both"/>
        <w:rPr>
          <w:rFonts w:ascii="Arial" w:hAnsi="Arial" w:cs="Arial"/>
          <w:sz w:val="22"/>
          <w:szCs w:val="22"/>
        </w:rPr>
      </w:pPr>
    </w:p>
    <w:p w14:paraId="4C2F0F28" w14:textId="77777777" w:rsidR="00397AB9" w:rsidRPr="00097E82" w:rsidRDefault="00397AB9">
      <w:pPr>
        <w:pStyle w:val="BodyText"/>
        <w:spacing w:line="260" w:lineRule="atLeast"/>
        <w:rPr>
          <w:rFonts w:ascii="Arial" w:hAnsi="Arial" w:cs="Arial"/>
          <w:sz w:val="22"/>
          <w:szCs w:val="22"/>
        </w:rPr>
      </w:pPr>
      <w:r w:rsidRPr="00097E82">
        <w:rPr>
          <w:rFonts w:ascii="Arial" w:hAnsi="Arial" w:cs="Arial"/>
          <w:sz w:val="22"/>
          <w:szCs w:val="22"/>
        </w:rPr>
        <w:t>This opinion is given in compliance with the requirements of the Low-Income Housing Tax Credit Program and the applicable Qualified Allocation Plan.  This firm represents the development owner in a legal capacity.  This opinion is based on factual representations made by the development owner or proposed owner and reasonable and prudent verification of such representations.  This opinion is rendered to induce the Georgia Department of Community Affairs to grant an acquisition credit under Section 42 of the Internal Revenue Code</w:t>
      </w:r>
      <w:r w:rsidR="004A3B19" w:rsidRPr="00097E82">
        <w:rPr>
          <w:rFonts w:ascii="Arial" w:hAnsi="Arial" w:cs="Arial"/>
          <w:sz w:val="22"/>
          <w:szCs w:val="22"/>
        </w:rPr>
        <w:t xml:space="preserve"> (Code)</w:t>
      </w:r>
      <w:r w:rsidRPr="00097E82">
        <w:rPr>
          <w:rFonts w:ascii="Arial" w:hAnsi="Arial" w:cs="Arial"/>
          <w:sz w:val="22"/>
          <w:szCs w:val="22"/>
        </w:rPr>
        <w:t xml:space="preserve"> of 1986, as amended, on the subject building/development.</w:t>
      </w:r>
    </w:p>
    <w:p w14:paraId="4C2F0F29" w14:textId="77777777" w:rsidR="00397AB9" w:rsidRPr="00097E82" w:rsidRDefault="00397AB9">
      <w:pPr>
        <w:tabs>
          <w:tab w:val="left" w:pos="1080"/>
        </w:tabs>
        <w:spacing w:line="260" w:lineRule="atLeast"/>
        <w:jc w:val="both"/>
        <w:rPr>
          <w:rFonts w:ascii="Arial" w:hAnsi="Arial" w:cs="Arial"/>
          <w:sz w:val="22"/>
          <w:szCs w:val="22"/>
        </w:rPr>
      </w:pPr>
    </w:p>
    <w:p w14:paraId="4C2F0F2A"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After reasonable investigation, we are of the opinion that the building for which the acquisition tax credit is requested meets or will meet the following statutory requirements at the time of allocation (PLEASE DELETE PARAGRAPHS WHICH ARE NOT APPLICABLE):</w:t>
      </w:r>
    </w:p>
    <w:p w14:paraId="4C2F0F2B" w14:textId="77777777" w:rsidR="00397AB9" w:rsidRPr="00097E82" w:rsidRDefault="00397AB9">
      <w:pPr>
        <w:tabs>
          <w:tab w:val="left" w:pos="1080"/>
        </w:tabs>
        <w:spacing w:line="260" w:lineRule="atLeast"/>
        <w:jc w:val="both"/>
        <w:rPr>
          <w:rFonts w:ascii="Arial" w:hAnsi="Arial" w:cs="Arial"/>
          <w:sz w:val="22"/>
          <w:szCs w:val="22"/>
        </w:rPr>
      </w:pPr>
    </w:p>
    <w:p w14:paraId="4C2F0F2C"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(1) the building will be acquired by purchase as defined in the Internal Revenue Code Section 179(d)(2); and</w:t>
      </w:r>
    </w:p>
    <w:p w14:paraId="4C2F0F2D" w14:textId="77777777" w:rsidR="00397AB9" w:rsidRPr="00097E82" w:rsidRDefault="00397AB9">
      <w:pPr>
        <w:spacing w:line="260" w:lineRule="atLeast"/>
        <w:ind w:left="360" w:hanging="360"/>
        <w:jc w:val="both"/>
        <w:rPr>
          <w:rFonts w:ascii="Arial" w:hAnsi="Arial" w:cs="Arial"/>
          <w:sz w:val="22"/>
          <w:szCs w:val="22"/>
        </w:rPr>
      </w:pPr>
    </w:p>
    <w:p w14:paraId="4C2F0F2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(2) the building was not previously placed in service by the new owner or </w:t>
      </w:r>
      <w:r w:rsidR="00EC3EDE" w:rsidRPr="00097E82">
        <w:rPr>
          <w:rFonts w:ascii="Arial" w:hAnsi="Arial" w:cs="Arial"/>
          <w:sz w:val="22"/>
          <w:szCs w:val="22"/>
        </w:rPr>
        <w:t xml:space="preserve">by </w:t>
      </w:r>
      <w:r w:rsidRPr="00097E82">
        <w:rPr>
          <w:rFonts w:ascii="Arial" w:hAnsi="Arial" w:cs="Arial"/>
          <w:sz w:val="22"/>
          <w:szCs w:val="22"/>
        </w:rPr>
        <w:t xml:space="preserve">any person who was </w:t>
      </w:r>
      <w:r w:rsidR="00EC3EDE" w:rsidRPr="00097E82">
        <w:rPr>
          <w:rFonts w:ascii="Arial" w:hAnsi="Arial" w:cs="Arial"/>
          <w:sz w:val="22"/>
          <w:szCs w:val="22"/>
        </w:rPr>
        <w:t>a related person with respect to</w:t>
      </w:r>
      <w:r w:rsidRPr="00097E82">
        <w:rPr>
          <w:rFonts w:ascii="Arial" w:hAnsi="Arial" w:cs="Arial"/>
          <w:sz w:val="22"/>
          <w:szCs w:val="22"/>
        </w:rPr>
        <w:t xml:space="preserve"> the new owner </w:t>
      </w:r>
      <w:r w:rsidR="00EC3EDE" w:rsidRPr="00097E82">
        <w:rPr>
          <w:rFonts w:ascii="Arial" w:hAnsi="Arial" w:cs="Arial"/>
          <w:sz w:val="22"/>
          <w:szCs w:val="22"/>
        </w:rPr>
        <w:t xml:space="preserve">as of </w:t>
      </w:r>
      <w:r w:rsidRPr="00097E82">
        <w:rPr>
          <w:rFonts w:ascii="Arial" w:hAnsi="Arial" w:cs="Arial"/>
          <w:sz w:val="22"/>
          <w:szCs w:val="22"/>
        </w:rPr>
        <w:t>the time previously placed in service; and</w:t>
      </w:r>
    </w:p>
    <w:p w14:paraId="4C2F0F2F" w14:textId="77777777" w:rsidR="00397AB9" w:rsidRPr="00097E82" w:rsidRDefault="00397AB9">
      <w:pPr>
        <w:spacing w:line="260" w:lineRule="atLeast"/>
        <w:jc w:val="both"/>
        <w:rPr>
          <w:rFonts w:ascii="Arial" w:hAnsi="Arial" w:cs="Arial"/>
          <w:sz w:val="22"/>
          <w:szCs w:val="22"/>
        </w:rPr>
      </w:pPr>
    </w:p>
    <w:p w14:paraId="4C2F0F3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(3) Except for federally or state assisted buildings as defined in Code Section 42(d)(6)(C) that are exempted from the 10 year placed in service rule by the Housing and Economic Recovery Act of 2008, the building was last placed in service at least 10 years prior to the date of acquisition by the new development owner; </w:t>
      </w:r>
      <w:r w:rsidR="00864042" w:rsidRPr="00097E82">
        <w:rPr>
          <w:rFonts w:ascii="Arial" w:hAnsi="Arial" w:cs="Arial"/>
          <w:sz w:val="22"/>
          <w:szCs w:val="22"/>
        </w:rPr>
        <w:t xml:space="preserve">for an existing tax credit property, the project will have met the 15-year compliance period prior to the earlier of the date of acquisition by the new development owner or the end of the year of the carryover allocation; </w:t>
      </w:r>
      <w:r w:rsidRPr="00097E82">
        <w:rPr>
          <w:rFonts w:ascii="Arial" w:hAnsi="Arial" w:cs="Arial"/>
          <w:sz w:val="22"/>
          <w:szCs w:val="22"/>
        </w:rPr>
        <w:t xml:space="preserve">or </w:t>
      </w:r>
    </w:p>
    <w:p w14:paraId="4C2F0F31" w14:textId="77777777" w:rsidR="00062758" w:rsidRPr="00097E82" w:rsidRDefault="00062758">
      <w:pPr>
        <w:spacing w:line="260" w:lineRule="atLeast"/>
        <w:jc w:val="both"/>
        <w:rPr>
          <w:rFonts w:ascii="Arial" w:hAnsi="Arial" w:cs="Arial"/>
          <w:sz w:val="22"/>
          <w:szCs w:val="22"/>
        </w:rPr>
      </w:pPr>
    </w:p>
    <w:p w14:paraId="4C2F0F32" w14:textId="77777777" w:rsidR="00062758" w:rsidRPr="00097E82" w:rsidRDefault="00062758" w:rsidP="00062758">
      <w:pPr>
        <w:pStyle w:val="BodyTextIndent"/>
        <w:tabs>
          <w:tab w:val="clear" w:pos="720"/>
        </w:tabs>
        <w:spacing w:line="260" w:lineRule="atLeast"/>
        <w:ind w:left="0" w:firstLine="0"/>
        <w:rPr>
          <w:rFonts w:ascii="Arial" w:hAnsi="Arial" w:cs="Arial"/>
          <w:sz w:val="22"/>
          <w:szCs w:val="22"/>
        </w:rPr>
      </w:pPr>
      <w:r w:rsidRPr="00097E82">
        <w:rPr>
          <w:rFonts w:ascii="Arial" w:hAnsi="Arial" w:cs="Arial"/>
          <w:sz w:val="22"/>
          <w:szCs w:val="22"/>
        </w:rPr>
        <w:t>(3) the ten-year rule has been waived by the Secretary of the Treasury in connection with the building as provided in the Internal Revenue Code Section 42(d)(6)(B).  If applicable, a copy of that waiver is attached to this opinion; or</w:t>
      </w:r>
    </w:p>
    <w:p w14:paraId="4C2F0F33" w14:textId="77777777" w:rsidR="00062758" w:rsidRPr="00097E82" w:rsidRDefault="00062758">
      <w:pPr>
        <w:spacing w:line="260" w:lineRule="atLeast"/>
        <w:jc w:val="both"/>
        <w:rPr>
          <w:rFonts w:ascii="Arial" w:hAnsi="Arial" w:cs="Arial"/>
          <w:sz w:val="22"/>
          <w:szCs w:val="22"/>
        </w:rPr>
      </w:pPr>
    </w:p>
    <w:p w14:paraId="4C2F0F34" w14:textId="77777777" w:rsidR="00397AB9" w:rsidRPr="00097E82" w:rsidRDefault="00397AB9">
      <w:pPr>
        <w:spacing w:line="260" w:lineRule="atLeast"/>
        <w:jc w:val="both"/>
        <w:rPr>
          <w:rFonts w:ascii="Arial" w:hAnsi="Arial" w:cs="Arial"/>
          <w:sz w:val="22"/>
          <w:szCs w:val="22"/>
        </w:rPr>
      </w:pPr>
    </w:p>
    <w:p w14:paraId="4C2F0F35" w14:textId="77777777" w:rsidR="00397AB9" w:rsidRPr="00097E82" w:rsidRDefault="00062758">
      <w:pPr>
        <w:spacing w:line="260" w:lineRule="atLeast"/>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is subject to the following special rule for certain transfers as specified in the Internal Revenue Code Section 42(d)(2)(D):</w:t>
      </w:r>
    </w:p>
    <w:p w14:paraId="4C2F0F36"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7"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rPr>
        <w:t xml:space="preserve">; </w:t>
      </w:r>
    </w:p>
    <w:p w14:paraId="4C2F0F38" w14:textId="77777777" w:rsidR="00397AB9" w:rsidRPr="00097E82" w:rsidRDefault="00397AB9">
      <w:pPr>
        <w:spacing w:line="260" w:lineRule="atLeast"/>
        <w:jc w:val="both"/>
        <w:rPr>
          <w:rFonts w:ascii="Arial" w:hAnsi="Arial" w:cs="Arial"/>
          <w:sz w:val="22"/>
          <w:szCs w:val="22"/>
        </w:rPr>
      </w:pPr>
    </w:p>
    <w:p w14:paraId="4C2F0F39"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or</w:t>
      </w:r>
    </w:p>
    <w:p w14:paraId="4C2F0F3A" w14:textId="77777777" w:rsidR="00397AB9" w:rsidRPr="00097E82" w:rsidRDefault="00397AB9" w:rsidP="00062758">
      <w:pPr>
        <w:spacing w:line="260" w:lineRule="atLeast"/>
        <w:jc w:val="both"/>
        <w:rPr>
          <w:rFonts w:ascii="Arial" w:hAnsi="Arial" w:cs="Arial"/>
          <w:sz w:val="22"/>
          <w:szCs w:val="22"/>
        </w:rPr>
      </w:pPr>
    </w:p>
    <w:p w14:paraId="4C2F0F3B" w14:textId="77777777" w:rsidR="00397AB9" w:rsidRPr="00097E82" w:rsidRDefault="00062758">
      <w:pPr>
        <w:spacing w:line="260" w:lineRule="atLeast"/>
        <w:ind w:left="360" w:hanging="360"/>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qualifies for reasons as follows:</w:t>
      </w:r>
    </w:p>
    <w:p w14:paraId="4C2F0F3C" w14:textId="77777777" w:rsidR="00397AB9" w:rsidRPr="00097E82" w:rsidRDefault="00397AB9">
      <w:pPr>
        <w:spacing w:line="260" w:lineRule="atLeast"/>
        <w:ind w:left="360" w:hanging="360"/>
        <w:jc w:val="both"/>
        <w:rPr>
          <w:rFonts w:ascii="Arial" w:hAnsi="Arial" w:cs="Arial"/>
          <w:sz w:val="22"/>
          <w:szCs w:val="22"/>
        </w:rPr>
      </w:pPr>
    </w:p>
    <w:p w14:paraId="4C2F0F3D"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E"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F"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0" w14:textId="77777777" w:rsidR="00397AB9" w:rsidRPr="00097E82" w:rsidRDefault="00397AB9">
      <w:pPr>
        <w:tabs>
          <w:tab w:val="left" w:pos="720"/>
        </w:tabs>
        <w:spacing w:line="260" w:lineRule="atLeast"/>
        <w:ind w:left="1440" w:hanging="1440"/>
        <w:jc w:val="both"/>
        <w:rPr>
          <w:rFonts w:ascii="Arial" w:hAnsi="Arial" w:cs="Arial"/>
          <w:sz w:val="22"/>
          <w:szCs w:val="22"/>
        </w:rPr>
      </w:pPr>
    </w:p>
    <w:p w14:paraId="4C2F0F41"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This opinion relates solely to the application identified at the outset and is rendered solely for the purpose of inducing the Georgia Department of Community Affairs to make an allocation of the low-income housing credit to the identified owner on the building or development specified. This opinion is not to be used for any other purpose or to be relied upon by, or delivered to, any other person.</w:t>
      </w:r>
    </w:p>
    <w:p w14:paraId="4C2F0F42" w14:textId="77777777" w:rsidR="00397AB9" w:rsidRPr="00097E82" w:rsidRDefault="00397AB9">
      <w:pPr>
        <w:tabs>
          <w:tab w:val="left" w:pos="720"/>
        </w:tabs>
        <w:spacing w:line="260" w:lineRule="atLeast"/>
        <w:jc w:val="both"/>
        <w:rPr>
          <w:rFonts w:ascii="Arial" w:hAnsi="Arial" w:cs="Arial"/>
          <w:sz w:val="22"/>
          <w:szCs w:val="22"/>
        </w:rPr>
      </w:pPr>
    </w:p>
    <w:p w14:paraId="4C2F0F43" w14:textId="77777777" w:rsidR="00397AB9" w:rsidRPr="00097E82" w:rsidRDefault="00397AB9">
      <w:pPr>
        <w:tabs>
          <w:tab w:val="left" w:pos="720"/>
        </w:tabs>
        <w:spacing w:line="260" w:lineRule="atLeast"/>
        <w:jc w:val="both"/>
        <w:rPr>
          <w:rFonts w:ascii="Arial" w:hAnsi="Arial" w:cs="Arial"/>
          <w:sz w:val="22"/>
          <w:szCs w:val="22"/>
        </w:rPr>
      </w:pPr>
    </w:p>
    <w:p w14:paraId="4C2F0F44"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t>Very truly yours,</w:t>
      </w:r>
    </w:p>
    <w:p w14:paraId="4C2F0F45"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6"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7"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8" w14:textId="77777777" w:rsidR="00397AB9" w:rsidRPr="00E51C58"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Pr>
          <w:rFonts w:ascii="Times New Roman" w:hAnsi="Times New Roman"/>
          <w:sz w:val="22"/>
          <w:szCs w:val="22"/>
        </w:rPr>
        <w:tab/>
      </w:r>
      <w:r>
        <w:rPr>
          <w:rFonts w:ascii="Times New Roman" w:hAnsi="Times New Roman"/>
          <w:sz w:val="22"/>
          <w:szCs w:val="22"/>
        </w:rPr>
        <w:tab/>
      </w:r>
      <w:r w:rsidRPr="00E51C58">
        <w:rPr>
          <w:rFonts w:ascii="Arial" w:hAnsi="Arial" w:cs="Arial"/>
          <w:sz w:val="22"/>
          <w:szCs w:val="22"/>
        </w:rPr>
        <w:t>(Tax Counsel)</w:t>
      </w:r>
    </w:p>
    <w:sectPr w:rsidR="00397AB9" w:rsidRPr="00E51C58" w:rsidSect="003A24B9">
      <w:headerReference w:type="even" r:id="rId10"/>
      <w:headerReference w:type="default" r:id="rId11"/>
      <w:footerReference w:type="even" r:id="rId12"/>
      <w:footerReference w:type="default" r:id="rId13"/>
      <w:headerReference w:type="first" r:id="rId14"/>
      <w:footerReference w:type="first" r:id="rId15"/>
      <w:pgSz w:w="12240" w:h="15840" w:code="1"/>
      <w:pgMar w:top="1200" w:right="1400" w:bottom="1200" w:left="14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A5B71" w14:textId="77777777" w:rsidR="00580B3B" w:rsidRDefault="00580B3B">
      <w:r>
        <w:separator/>
      </w:r>
    </w:p>
  </w:endnote>
  <w:endnote w:type="continuationSeparator" w:id="0">
    <w:p w14:paraId="132AD0FB" w14:textId="77777777" w:rsidR="00580B3B" w:rsidRDefault="0058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98FBE" w14:textId="77777777" w:rsidR="001C2303" w:rsidRDefault="001C2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4D" w14:textId="53326869" w:rsidR="00A66B28" w:rsidRDefault="00766744">
    <w:pPr>
      <w:pStyle w:val="Footer"/>
      <w:rPr>
        <w:sz w:val="16"/>
      </w:rPr>
    </w:pPr>
    <w:r>
      <w:rPr>
        <w:rFonts w:ascii="Times New Roman" w:hAnsi="Times New Roman"/>
        <w:sz w:val="16"/>
      </w:rPr>
      <w:t>201</w:t>
    </w:r>
    <w:r w:rsidR="00750B05">
      <w:rPr>
        <w:rFonts w:ascii="Times New Roman" w:hAnsi="Times New Roman"/>
        <w:sz w:val="16"/>
      </w:rPr>
      <w:t>8</w:t>
    </w:r>
    <w:r w:rsidR="005D1291">
      <w:rPr>
        <w:rFonts w:ascii="Times New Roman" w:hAnsi="Times New Roman"/>
        <w:sz w:val="16"/>
      </w:rPr>
      <w:t xml:space="preserve"> Legal Opinion</w:t>
    </w:r>
    <w:r w:rsidR="00A66B28">
      <w:rPr>
        <w:rFonts w:ascii="Times New Roman" w:hAnsi="Times New Roman"/>
        <w:sz w:val="16"/>
      </w:rPr>
      <w:tab/>
      <w:t xml:space="preserve">DCA </w:t>
    </w:r>
    <w:r w:rsidR="00E232E1">
      <w:rPr>
        <w:rFonts w:ascii="Times New Roman" w:hAnsi="Times New Roman"/>
        <w:sz w:val="16"/>
      </w:rPr>
      <w:t xml:space="preserve">Housing Finance </w:t>
    </w:r>
    <w:r w:rsidR="001C2303">
      <w:rPr>
        <w:rFonts w:ascii="Times New Roman" w:hAnsi="Times New Roman"/>
        <w:sz w:val="16"/>
      </w:rPr>
      <w:t xml:space="preserve">and </w:t>
    </w:r>
    <w:r w:rsidR="00E232E1">
      <w:rPr>
        <w:rFonts w:ascii="Times New Roman" w:hAnsi="Times New Roman"/>
        <w:sz w:val="16"/>
      </w:rPr>
      <w:t>Development Division</w:t>
    </w:r>
    <w:r w:rsidR="00A66B28">
      <w:rPr>
        <w:rFonts w:ascii="Times New Roman" w:hAnsi="Times New Roman"/>
        <w:sz w:val="16"/>
      </w:rPr>
      <w:tab/>
    </w:r>
    <w:r w:rsidR="00A66B28">
      <w:rPr>
        <w:rFonts w:ascii="Times New Roman" w:hAnsi="Times New Roman"/>
        <w:snapToGrid w:val="0"/>
        <w:sz w:val="16"/>
      </w:rPr>
      <w:t xml:space="preserve">Page </w:t>
    </w:r>
    <w:r w:rsidR="00D70993">
      <w:rPr>
        <w:rFonts w:ascii="Times New Roman" w:hAnsi="Times New Roman"/>
        <w:snapToGrid w:val="0"/>
        <w:sz w:val="16"/>
      </w:rPr>
      <w:fldChar w:fldCharType="begin"/>
    </w:r>
    <w:r w:rsidR="00A66B28">
      <w:rPr>
        <w:rFonts w:ascii="Times New Roman" w:hAnsi="Times New Roman"/>
        <w:snapToGrid w:val="0"/>
        <w:sz w:val="16"/>
      </w:rPr>
      <w:instrText xml:space="preserve"> PAGE </w:instrText>
    </w:r>
    <w:r w:rsidR="00D70993">
      <w:rPr>
        <w:rFonts w:ascii="Times New Roman" w:hAnsi="Times New Roman"/>
        <w:snapToGrid w:val="0"/>
        <w:sz w:val="16"/>
      </w:rPr>
      <w:fldChar w:fldCharType="separate"/>
    </w:r>
    <w:r w:rsidR="00A402BE">
      <w:rPr>
        <w:rFonts w:ascii="Times New Roman" w:hAnsi="Times New Roman"/>
        <w:noProof/>
        <w:snapToGrid w:val="0"/>
        <w:sz w:val="16"/>
      </w:rPr>
      <w:t>2</w:t>
    </w:r>
    <w:r w:rsidR="00D70993">
      <w:rPr>
        <w:rFonts w:ascii="Times New Roman" w:hAnsi="Times New Roman"/>
        <w:snapToGrid w:val="0"/>
        <w:sz w:val="16"/>
      </w:rPr>
      <w:fldChar w:fldCharType="end"/>
    </w:r>
    <w:r w:rsidR="00A66B28">
      <w:rPr>
        <w:rFonts w:ascii="Times New Roman" w:hAnsi="Times New Roman"/>
        <w:snapToGrid w:val="0"/>
        <w:sz w:val="16"/>
      </w:rPr>
      <w:t xml:space="preserve"> of </w:t>
    </w:r>
    <w:r w:rsidR="00D70993">
      <w:rPr>
        <w:rStyle w:val="PageNumber"/>
        <w:sz w:val="16"/>
      </w:rPr>
      <w:fldChar w:fldCharType="begin"/>
    </w:r>
    <w:r w:rsidR="00A66B28">
      <w:rPr>
        <w:rStyle w:val="PageNumber"/>
        <w:sz w:val="16"/>
      </w:rPr>
      <w:instrText xml:space="preserve"> NUMPAGES </w:instrText>
    </w:r>
    <w:r w:rsidR="00D70993">
      <w:rPr>
        <w:rStyle w:val="PageNumber"/>
        <w:sz w:val="16"/>
      </w:rPr>
      <w:fldChar w:fldCharType="separate"/>
    </w:r>
    <w:r w:rsidR="00A402BE">
      <w:rPr>
        <w:rStyle w:val="PageNumber"/>
        <w:noProof/>
        <w:sz w:val="16"/>
      </w:rPr>
      <w:t>2</w:t>
    </w:r>
    <w:r w:rsidR="00D70993">
      <w:rPr>
        <w:rStyle w:val="PageNumber"/>
        <w:sz w:val="16"/>
      </w:rPr>
      <w:fldChar w:fldCharType="end"/>
    </w:r>
  </w:p>
  <w:p w14:paraId="4C2F0F4E" w14:textId="77777777" w:rsidR="00A66B28" w:rsidRDefault="00A66B28">
    <w:pPr>
      <w:pStyle w:val="Footer"/>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51" w14:textId="375AD93A" w:rsidR="00A66B28" w:rsidRPr="00097E82" w:rsidRDefault="00766744">
    <w:pPr>
      <w:pStyle w:val="Footer"/>
      <w:rPr>
        <w:rFonts w:ascii="Arial" w:hAnsi="Arial" w:cs="Arial"/>
        <w:sz w:val="16"/>
      </w:rPr>
    </w:pPr>
    <w:r w:rsidRPr="00097E82">
      <w:rPr>
        <w:rFonts w:ascii="Arial" w:hAnsi="Arial" w:cs="Arial"/>
        <w:sz w:val="16"/>
      </w:rPr>
      <w:t>201</w:t>
    </w:r>
    <w:r w:rsidR="00750B05">
      <w:rPr>
        <w:rFonts w:ascii="Arial" w:hAnsi="Arial" w:cs="Arial"/>
        <w:sz w:val="16"/>
      </w:rPr>
      <w:t>8</w:t>
    </w:r>
    <w:r w:rsidR="00A66B28" w:rsidRPr="00097E82">
      <w:rPr>
        <w:rFonts w:ascii="Arial" w:hAnsi="Arial" w:cs="Arial"/>
        <w:sz w:val="16"/>
      </w:rPr>
      <w:t xml:space="preserve"> Legal Opinion</w:t>
    </w:r>
    <w:r w:rsidR="00A66B28" w:rsidRPr="00097E82">
      <w:rPr>
        <w:rFonts w:ascii="Arial" w:hAnsi="Arial" w:cs="Arial"/>
        <w:sz w:val="16"/>
      </w:rPr>
      <w:tab/>
      <w:t xml:space="preserve">DCA </w:t>
    </w:r>
    <w:r w:rsidR="00E232E1" w:rsidRPr="00097E82">
      <w:rPr>
        <w:rFonts w:ascii="Arial" w:hAnsi="Arial" w:cs="Arial"/>
        <w:sz w:val="16"/>
      </w:rPr>
      <w:t>Housing Finance</w:t>
    </w:r>
    <w:r w:rsidR="00097E82" w:rsidRPr="00097E82">
      <w:rPr>
        <w:rFonts w:ascii="Arial" w:hAnsi="Arial" w:cs="Arial"/>
        <w:sz w:val="16"/>
      </w:rPr>
      <w:t xml:space="preserve"> and</w:t>
    </w:r>
    <w:r w:rsidR="00E232E1" w:rsidRPr="00097E82">
      <w:rPr>
        <w:rFonts w:ascii="Arial" w:hAnsi="Arial" w:cs="Arial"/>
        <w:sz w:val="16"/>
      </w:rPr>
      <w:t xml:space="preserve"> Development Division</w:t>
    </w:r>
    <w:r w:rsidR="00A66B28" w:rsidRPr="00097E82">
      <w:rPr>
        <w:rFonts w:ascii="Arial" w:hAnsi="Arial" w:cs="Arial"/>
        <w:sz w:val="16"/>
      </w:rPr>
      <w:tab/>
    </w:r>
    <w:r w:rsidR="00A66B28" w:rsidRPr="00097E82">
      <w:rPr>
        <w:rFonts w:ascii="Arial" w:hAnsi="Arial" w:cs="Arial"/>
        <w:snapToGrid w:val="0"/>
        <w:sz w:val="16"/>
      </w:rPr>
      <w:t xml:space="preserve">Page </w:t>
    </w:r>
    <w:r w:rsidR="00D70993" w:rsidRPr="00097E82">
      <w:rPr>
        <w:rFonts w:ascii="Arial" w:hAnsi="Arial" w:cs="Arial"/>
        <w:snapToGrid w:val="0"/>
        <w:sz w:val="16"/>
      </w:rPr>
      <w:fldChar w:fldCharType="begin"/>
    </w:r>
    <w:r w:rsidR="00A66B28" w:rsidRPr="00097E82">
      <w:rPr>
        <w:rFonts w:ascii="Arial" w:hAnsi="Arial" w:cs="Arial"/>
        <w:snapToGrid w:val="0"/>
        <w:sz w:val="16"/>
      </w:rPr>
      <w:instrText xml:space="preserve"> PAGE </w:instrText>
    </w:r>
    <w:r w:rsidR="00D70993" w:rsidRPr="00097E82">
      <w:rPr>
        <w:rFonts w:ascii="Arial" w:hAnsi="Arial" w:cs="Arial"/>
        <w:snapToGrid w:val="0"/>
        <w:sz w:val="16"/>
      </w:rPr>
      <w:fldChar w:fldCharType="separate"/>
    </w:r>
    <w:r w:rsidR="00A402BE">
      <w:rPr>
        <w:rFonts w:ascii="Arial" w:hAnsi="Arial" w:cs="Arial"/>
        <w:noProof/>
        <w:snapToGrid w:val="0"/>
        <w:sz w:val="16"/>
      </w:rPr>
      <w:t>1</w:t>
    </w:r>
    <w:r w:rsidR="00D70993" w:rsidRPr="00097E82">
      <w:rPr>
        <w:rFonts w:ascii="Arial" w:hAnsi="Arial" w:cs="Arial"/>
        <w:snapToGrid w:val="0"/>
        <w:sz w:val="16"/>
      </w:rPr>
      <w:fldChar w:fldCharType="end"/>
    </w:r>
    <w:r w:rsidR="00A66B28" w:rsidRPr="00097E82">
      <w:rPr>
        <w:rFonts w:ascii="Arial" w:hAnsi="Arial" w:cs="Arial"/>
        <w:snapToGrid w:val="0"/>
        <w:sz w:val="16"/>
      </w:rPr>
      <w:t xml:space="preserve"> of </w:t>
    </w:r>
    <w:r w:rsidR="00D70993" w:rsidRPr="00097E82">
      <w:rPr>
        <w:rStyle w:val="PageNumber"/>
        <w:rFonts w:ascii="Arial" w:hAnsi="Arial" w:cs="Arial"/>
        <w:sz w:val="16"/>
      </w:rPr>
      <w:fldChar w:fldCharType="begin"/>
    </w:r>
    <w:r w:rsidR="00A66B28" w:rsidRPr="00097E82">
      <w:rPr>
        <w:rStyle w:val="PageNumber"/>
        <w:rFonts w:ascii="Arial" w:hAnsi="Arial" w:cs="Arial"/>
        <w:sz w:val="16"/>
      </w:rPr>
      <w:instrText xml:space="preserve"> NUMPAGES </w:instrText>
    </w:r>
    <w:r w:rsidR="00D70993" w:rsidRPr="00097E82">
      <w:rPr>
        <w:rStyle w:val="PageNumber"/>
        <w:rFonts w:ascii="Arial" w:hAnsi="Arial" w:cs="Arial"/>
        <w:sz w:val="16"/>
      </w:rPr>
      <w:fldChar w:fldCharType="separate"/>
    </w:r>
    <w:r w:rsidR="00A402BE">
      <w:rPr>
        <w:rStyle w:val="PageNumber"/>
        <w:rFonts w:ascii="Arial" w:hAnsi="Arial" w:cs="Arial"/>
        <w:noProof/>
        <w:sz w:val="16"/>
      </w:rPr>
      <w:t>2</w:t>
    </w:r>
    <w:r w:rsidR="00D70993" w:rsidRPr="00097E82">
      <w:rPr>
        <w:rStyle w:val="PageNumber"/>
        <w:rFonts w:ascii="Arial" w:hAnsi="Arial" w:cs="Arial"/>
        <w:sz w:val="16"/>
      </w:rPr>
      <w:fldChar w:fldCharType="end"/>
    </w:r>
  </w:p>
  <w:p w14:paraId="4C2F0F52" w14:textId="77777777" w:rsidR="00A66B28" w:rsidRDefault="00A66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456D3" w14:textId="77777777" w:rsidR="00580B3B" w:rsidRDefault="00580B3B">
      <w:r>
        <w:separator/>
      </w:r>
    </w:p>
  </w:footnote>
  <w:footnote w:type="continuationSeparator" w:id="0">
    <w:p w14:paraId="6D4D3744" w14:textId="77777777" w:rsidR="00580B3B" w:rsidRDefault="00580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E9318" w14:textId="77777777" w:rsidR="001C2303" w:rsidRDefault="001C23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56F3" w14:textId="77777777" w:rsidR="001C2303" w:rsidRDefault="001C23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4F" w14:textId="77777777" w:rsidR="00A66B28" w:rsidRDefault="00A66B28">
    <w:pPr>
      <w:pStyle w:val="Header"/>
      <w:jc w:val="center"/>
      <w:rPr>
        <w:rFonts w:ascii="Times New Roman" w:hAnsi="Times New Roman"/>
        <w:b/>
        <w:i/>
        <w:sz w:val="28"/>
      </w:rPr>
    </w:pPr>
    <w:r>
      <w:rPr>
        <w:rFonts w:ascii="Times New Roman" w:hAnsi="Times New Roman"/>
        <w:b/>
        <w:i/>
        <w:sz w:val="28"/>
      </w:rPr>
      <w:t>[This legal opinion, if applicable, is to be submitted with the Application]</w:t>
    </w:r>
  </w:p>
  <w:p w14:paraId="4C2F0F50" w14:textId="77777777" w:rsidR="00A66B28" w:rsidRDefault="00A66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4B"/>
    <w:rsid w:val="00017885"/>
    <w:rsid w:val="000333B0"/>
    <w:rsid w:val="00062758"/>
    <w:rsid w:val="00097E82"/>
    <w:rsid w:val="000E5C71"/>
    <w:rsid w:val="000F2096"/>
    <w:rsid w:val="00132221"/>
    <w:rsid w:val="001364CD"/>
    <w:rsid w:val="00163A25"/>
    <w:rsid w:val="00166858"/>
    <w:rsid w:val="001C2303"/>
    <w:rsid w:val="001E0906"/>
    <w:rsid w:val="002252B8"/>
    <w:rsid w:val="00254374"/>
    <w:rsid w:val="00266D2F"/>
    <w:rsid w:val="0031444B"/>
    <w:rsid w:val="00344491"/>
    <w:rsid w:val="0039237E"/>
    <w:rsid w:val="00397AB9"/>
    <w:rsid w:val="003A24B9"/>
    <w:rsid w:val="003A58FA"/>
    <w:rsid w:val="00425E11"/>
    <w:rsid w:val="004A3B19"/>
    <w:rsid w:val="00580B3B"/>
    <w:rsid w:val="005D1291"/>
    <w:rsid w:val="006105AF"/>
    <w:rsid w:val="00750B05"/>
    <w:rsid w:val="00766744"/>
    <w:rsid w:val="007D6026"/>
    <w:rsid w:val="0082322A"/>
    <w:rsid w:val="00864042"/>
    <w:rsid w:val="00A00529"/>
    <w:rsid w:val="00A402BE"/>
    <w:rsid w:val="00A66B28"/>
    <w:rsid w:val="00AE3487"/>
    <w:rsid w:val="00B15F18"/>
    <w:rsid w:val="00B25C80"/>
    <w:rsid w:val="00B56ABE"/>
    <w:rsid w:val="00C74EB3"/>
    <w:rsid w:val="00C76B92"/>
    <w:rsid w:val="00CB7EA0"/>
    <w:rsid w:val="00CD5E3B"/>
    <w:rsid w:val="00D453DB"/>
    <w:rsid w:val="00D65EF5"/>
    <w:rsid w:val="00D70993"/>
    <w:rsid w:val="00D85153"/>
    <w:rsid w:val="00E232E1"/>
    <w:rsid w:val="00E51C58"/>
    <w:rsid w:val="00EC3EDE"/>
    <w:rsid w:val="00EE2F66"/>
    <w:rsid w:val="00EF0AF5"/>
    <w:rsid w:val="00F03ED4"/>
    <w:rsid w:val="00F2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B9"/>
    <w:rPr>
      <w:rFonts w:ascii="Geneva" w:hAnsi="Geneva"/>
      <w:sz w:val="24"/>
    </w:rPr>
  </w:style>
  <w:style w:type="paragraph" w:styleId="Heading1">
    <w:name w:val="heading 1"/>
    <w:basedOn w:val="Normal"/>
    <w:next w:val="Normal"/>
    <w:qFormat/>
    <w:rsid w:val="003A24B9"/>
    <w:pPr>
      <w:keepNext/>
      <w:pBdr>
        <w:top w:val="double" w:sz="6" w:space="0" w:color="auto"/>
        <w:left w:val="double" w:sz="6" w:space="0" w:color="auto"/>
        <w:bottom w:val="double" w:sz="6" w:space="0" w:color="auto"/>
        <w:right w:val="double" w:sz="6" w:space="0" w:color="auto"/>
      </w:pBdr>
      <w:spacing w:line="360" w:lineRule="atLeast"/>
      <w:jc w:val="center"/>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24B9"/>
    <w:pPr>
      <w:tabs>
        <w:tab w:val="center" w:pos="4320"/>
        <w:tab w:val="right" w:pos="8640"/>
      </w:tabs>
    </w:pPr>
  </w:style>
  <w:style w:type="paragraph" w:styleId="Header">
    <w:name w:val="header"/>
    <w:basedOn w:val="Normal"/>
    <w:rsid w:val="003A24B9"/>
    <w:pPr>
      <w:tabs>
        <w:tab w:val="center" w:pos="4320"/>
        <w:tab w:val="right" w:pos="8640"/>
      </w:tabs>
    </w:pPr>
  </w:style>
  <w:style w:type="paragraph" w:styleId="BodyTextIndent">
    <w:name w:val="Body Text Indent"/>
    <w:basedOn w:val="Normal"/>
    <w:rsid w:val="003A24B9"/>
    <w:pPr>
      <w:tabs>
        <w:tab w:val="left" w:pos="720"/>
      </w:tabs>
      <w:spacing w:line="360" w:lineRule="atLeast"/>
      <w:ind w:left="1440" w:hanging="1440"/>
      <w:jc w:val="both"/>
    </w:pPr>
    <w:rPr>
      <w:rFonts w:ascii="Times New Roman" w:hAnsi="Times New Roman"/>
    </w:rPr>
  </w:style>
  <w:style w:type="paragraph" w:styleId="BodyText">
    <w:name w:val="Body Text"/>
    <w:basedOn w:val="Normal"/>
    <w:rsid w:val="003A24B9"/>
    <w:pPr>
      <w:tabs>
        <w:tab w:val="left" w:pos="1080"/>
      </w:tabs>
      <w:spacing w:line="360" w:lineRule="atLeast"/>
      <w:jc w:val="both"/>
    </w:pPr>
    <w:rPr>
      <w:rFonts w:ascii="Times New Roman" w:hAnsi="Times New Roman"/>
    </w:rPr>
  </w:style>
  <w:style w:type="character" w:styleId="PageNumber">
    <w:name w:val="page number"/>
    <w:basedOn w:val="DefaultParagraphFont"/>
    <w:rsid w:val="003A24B9"/>
  </w:style>
  <w:style w:type="paragraph" w:styleId="BalloonText">
    <w:name w:val="Balloon Text"/>
    <w:basedOn w:val="Normal"/>
    <w:semiHidden/>
    <w:rsid w:val="003A24B9"/>
    <w:rPr>
      <w:rFonts w:ascii="Tahoma" w:hAnsi="Tahoma" w:cs="Tahoma"/>
      <w:sz w:val="16"/>
      <w:szCs w:val="16"/>
    </w:rPr>
  </w:style>
  <w:style w:type="character" w:styleId="CommentReference">
    <w:name w:val="annotation reference"/>
    <w:basedOn w:val="DefaultParagraphFont"/>
    <w:semiHidden/>
    <w:rsid w:val="003A24B9"/>
    <w:rPr>
      <w:sz w:val="16"/>
      <w:szCs w:val="16"/>
    </w:rPr>
  </w:style>
  <w:style w:type="paragraph" w:styleId="CommentText">
    <w:name w:val="annotation text"/>
    <w:basedOn w:val="Normal"/>
    <w:semiHidden/>
    <w:rsid w:val="003A24B9"/>
    <w:rPr>
      <w:sz w:val="20"/>
    </w:rPr>
  </w:style>
  <w:style w:type="paragraph" w:styleId="CommentSubject">
    <w:name w:val="annotation subject"/>
    <w:basedOn w:val="CommentText"/>
    <w:next w:val="CommentText"/>
    <w:semiHidden/>
    <w:rsid w:val="003A2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02C7E2-4B4F-4A28-A558-2AFFE08B3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d09982-0868-4ab7-a6f9-bf48bc60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455BF-7ADF-482B-8679-58BCAD63BDDD}">
  <ds:schemaRefs>
    <ds:schemaRef ds:uri="http://schemas.microsoft.com/sharepoint/v3/contenttype/forms"/>
  </ds:schemaRefs>
</ds:datastoreItem>
</file>

<file path=customXml/itemProps3.xml><?xml version="1.0" encoding="utf-8"?>
<ds:datastoreItem xmlns:ds="http://schemas.openxmlformats.org/officeDocument/2006/customXml" ds:itemID="{2F8B8DEA-BDAA-495B-A19D-784AC63323CE}">
  <ds:schemaRefs>
    <ds:schemaRef ds:uri="http://schemas.microsoft.com/office/2006/metadata/longProperties"/>
  </ds:schemaRefs>
</ds:datastoreItem>
</file>

<file path=customXml/itemProps4.xml><?xml version="1.0" encoding="utf-8"?>
<ds:datastoreItem xmlns:ds="http://schemas.openxmlformats.org/officeDocument/2006/customXml" ds:itemID="{AEB6E6FD-EA6E-4D27-A757-A79DCF59B052}">
  <ds:schemaRefs>
    <ds:schemaRef ds:uri="http://purl.org/dc/terms/"/>
    <ds:schemaRef ds:uri="http://schemas.microsoft.com/sharepoint/v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4d09982-0868-4ab7-a6f9-bf48bc605a7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2011-02-04T22:16:00Z</cp:lastPrinted>
  <dcterms:created xsi:type="dcterms:W3CDTF">2017-03-07T21:18:00Z</dcterms:created>
  <dcterms:modified xsi:type="dcterms:W3CDTF">2018-01-09T16:37:00Z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0x010100C7889FBD233653459171BD777ADF6DA1</vt:lpwstr>
  </property>
</Properties>
</file>