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D25E9" w:rsidP="37FC9896" w:rsidRDefault="00ED25E9" w14:paraId="01384FEA" w14:textId="6D5273BE">
      <w:pPr>
        <w:pStyle w:val="Heading2"/>
        <w:keepNext w:val="1"/>
        <w:keepLines w:val="1"/>
        <w:spacing w:before="40" w:after="0"/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1B3A4D" w:themeColor="accent6" w:themeTint="FF" w:themeShade="FF"/>
          <w:sz w:val="32"/>
          <w:szCs w:val="32"/>
          <w:lang w:val="en-US"/>
        </w:rPr>
      </w:pPr>
      <w:r w:rsidRPr="37FC9896" w:rsidR="26A8512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1B3A4D" w:themeColor="accent6" w:themeTint="FF" w:themeShade="FF"/>
          <w:sz w:val="32"/>
          <w:szCs w:val="32"/>
          <w:lang w:val="en-US"/>
        </w:rPr>
        <w:t>2026-2027 QAP Approximate Development Timeline</w:t>
      </w:r>
    </w:p>
    <w:p w:rsidR="00ED25E9" w:rsidP="37FC9896" w:rsidRDefault="00ED25E9" w14:paraId="0F0EB601" w14:textId="26BB3E33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2" w:themeTint="FF" w:themeShade="FF"/>
          <w:sz w:val="22"/>
          <w:szCs w:val="22"/>
          <w:lang w:val="en-US"/>
        </w:rPr>
      </w:pPr>
    </w:p>
    <w:p w:rsidR="00ED25E9" w:rsidP="37FC9896" w:rsidRDefault="00ED25E9" w14:paraId="521AEF55" w14:textId="724A124A">
      <w:pPr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2" w:themeTint="FF" w:themeShade="FF"/>
          <w:sz w:val="22"/>
          <w:szCs w:val="22"/>
          <w:lang w:val="en-US"/>
        </w:rPr>
      </w:pPr>
      <w:r w:rsidRPr="37FC9896" w:rsidR="26A8512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000000" w:themeColor="text2" w:themeTint="FF" w:themeShade="FF"/>
          <w:sz w:val="22"/>
          <w:szCs w:val="22"/>
          <w:lang w:val="en-US"/>
        </w:rPr>
        <w:t>Updated 4/15/25</w:t>
      </w:r>
    </w:p>
    <w:p w:rsidR="00ED25E9" w:rsidP="37FC9896" w:rsidRDefault="00ED25E9" w14:paraId="59CCCFA0" w14:textId="64A693A3">
      <w:pPr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2" w:themeTint="FF" w:themeShade="FF"/>
          <w:sz w:val="22"/>
          <w:szCs w:val="22"/>
          <w:lang w:val="en-US"/>
        </w:rPr>
      </w:pPr>
      <w:r w:rsidRPr="37FC9896" w:rsidR="26A8512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2" w:themeTint="FF" w:themeShade="FF"/>
          <w:sz w:val="22"/>
          <w:szCs w:val="22"/>
          <w:lang w:val="en-US"/>
        </w:rPr>
        <w:t xml:space="preserve">DCA is in its first round of a two-year QAP development timeline. Below is an updated approximate timeline of intended steps </w:t>
      </w:r>
      <w:r w:rsidRPr="37FC9896" w:rsidR="26A8512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2" w:themeTint="FF" w:themeShade="FF"/>
          <w:sz w:val="22"/>
          <w:szCs w:val="22"/>
          <w:lang w:val="en-US"/>
        </w:rPr>
        <w:t>in the process of QAP</w:t>
      </w:r>
      <w:r w:rsidRPr="37FC9896" w:rsidR="26A8512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2" w:themeTint="FF" w:themeShade="FF"/>
          <w:sz w:val="22"/>
          <w:szCs w:val="22"/>
          <w:lang w:val="en-US"/>
        </w:rPr>
        <w:t xml:space="preserve"> engagement, development, and publishing. DCA welcomes partners to </w:t>
      </w:r>
      <w:r w:rsidRPr="37FC9896" w:rsidR="26A8512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2" w:themeTint="FF" w:themeShade="FF"/>
          <w:sz w:val="22"/>
          <w:szCs w:val="22"/>
          <w:lang w:val="en-US"/>
        </w:rPr>
        <w:t>submit</w:t>
      </w:r>
      <w:r w:rsidRPr="37FC9896" w:rsidR="26A8512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2" w:themeTint="FF" w:themeShade="FF"/>
          <w:sz w:val="22"/>
          <w:szCs w:val="22"/>
          <w:lang w:val="en-US"/>
        </w:rPr>
        <w:t xml:space="preserve"> questions or concerns on this timeline to the </w:t>
      </w:r>
      <w:hyperlink r:id="R99215292164f475d">
        <w:r w:rsidRPr="37FC9896" w:rsidR="26A8512B">
          <w:rPr>
            <w:rStyle w:val="Hyperlink"/>
            <w:rFonts w:ascii="Calibri" w:hAnsi="Calibri" w:eastAsia="Calibri" w:cs="Calibri" w:asciiTheme="minorAscii" w:hAnsiTheme="minorAscii" w:eastAsiaTheme="minorAscii" w:cstheme="minorAsci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QAP Public Input Survey</w:t>
        </w:r>
      </w:hyperlink>
      <w:r w:rsidRPr="37FC9896" w:rsidR="26A8512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2" w:themeTint="FF" w:themeShade="FF"/>
          <w:sz w:val="22"/>
          <w:szCs w:val="22"/>
          <w:lang w:val="en-US"/>
        </w:rPr>
        <w:t xml:space="preserve"> and to </w:t>
      </w:r>
      <w:hyperlink r:id="Rac7f57d2b8c54f9f">
        <w:r w:rsidRPr="37FC9896" w:rsidR="26A8512B">
          <w:rPr>
            <w:rStyle w:val="Hyperlink"/>
            <w:rFonts w:ascii="Calibri" w:hAnsi="Calibri" w:eastAsia="Calibri" w:cs="Calibri" w:asciiTheme="minorAscii" w:hAnsiTheme="minorAscii" w:eastAsiaTheme="minorAscii" w:cstheme="minorAsci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melissa.florkowski@dca.ga.gov.</w:t>
        </w:r>
      </w:hyperlink>
    </w:p>
    <w:p w:rsidR="00ED25E9" w:rsidP="37FC9896" w:rsidRDefault="00ED25E9" w14:paraId="468B8789" w14:textId="05405406">
      <w:pPr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2" w:themeTint="FF" w:themeShade="FF"/>
          <w:sz w:val="22"/>
          <w:szCs w:val="22"/>
          <w:lang w:val="en-US"/>
        </w:rPr>
      </w:pPr>
      <w:r w:rsidRPr="37FC9896" w:rsidR="26A8512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2" w:themeTint="FF" w:themeShade="FF"/>
          <w:sz w:val="22"/>
          <w:szCs w:val="22"/>
          <w:lang w:val="en-US"/>
        </w:rPr>
        <w:t xml:space="preserve">The </w:t>
      </w:r>
      <w:hyperlink r:id="R0f6e0c547ff545cb">
        <w:r w:rsidRPr="37FC9896" w:rsidR="26A8512B">
          <w:rPr>
            <w:rStyle w:val="Hyperlink"/>
            <w:rFonts w:ascii="Calibri" w:hAnsi="Calibri" w:eastAsia="Calibri" w:cs="Calibri" w:asciiTheme="minorAscii" w:hAnsiTheme="minorAscii" w:eastAsiaTheme="minorAscii" w:cstheme="minorAsci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QAP Public Input Survey</w:t>
        </w:r>
      </w:hyperlink>
      <w:r w:rsidRPr="37FC9896" w:rsidR="26A8512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2" w:themeTint="FF" w:themeShade="FF"/>
          <w:sz w:val="22"/>
          <w:szCs w:val="22"/>
          <w:lang w:val="en-US"/>
        </w:rPr>
        <w:t xml:space="preserve"> is open year-round, but stakeholders are always encouraged to </w:t>
      </w:r>
      <w:r w:rsidRPr="37FC9896" w:rsidR="26A8512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2" w:themeTint="FF" w:themeShade="FF"/>
          <w:sz w:val="22"/>
          <w:szCs w:val="22"/>
          <w:lang w:val="en-US"/>
        </w:rPr>
        <w:t>submit</w:t>
      </w:r>
      <w:r w:rsidRPr="37FC9896" w:rsidR="26A8512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2" w:themeTint="FF" w:themeShade="FF"/>
          <w:sz w:val="22"/>
          <w:szCs w:val="22"/>
          <w:lang w:val="en-US"/>
        </w:rPr>
        <w:t xml:space="preserve"> input as early as possible.</w:t>
      </w:r>
    </w:p>
    <w:p w:rsidR="00ED25E9" w:rsidP="37FC9896" w:rsidRDefault="00ED25E9" w14:paraId="0652CFE9" w14:textId="33228180">
      <w:pPr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2" w:themeTint="FF" w:themeShade="FF"/>
          <w:sz w:val="22"/>
          <w:szCs w:val="22"/>
          <w:lang w:val="en-US"/>
        </w:rPr>
      </w:pPr>
    </w:p>
    <w:tbl>
      <w:tblPr>
        <w:tblStyle w:val="TableGrid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975"/>
        <w:gridCol w:w="3510"/>
        <w:gridCol w:w="4845"/>
      </w:tblGrid>
      <w:tr w:rsidR="37FC9896" w:rsidTr="37FC9896" w14:paraId="2108E5B2">
        <w:trPr>
          <w:trHeight w:val="300"/>
        </w:trPr>
        <w:tc>
          <w:tcPr>
            <w:tcW w:w="975" w:type="dxa"/>
            <w:tcMar>
              <w:left w:w="105" w:type="dxa"/>
              <w:right w:w="105" w:type="dxa"/>
            </w:tcMar>
            <w:vAlign w:val="top"/>
          </w:tcPr>
          <w:p w:rsidR="37FC9896" w:rsidP="37FC9896" w:rsidRDefault="37FC9896" w14:paraId="5DB877B6" w14:textId="26A671EA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7FC9896" w:rsidR="37FC9896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  <w:t>Year</w:t>
            </w:r>
          </w:p>
        </w:tc>
        <w:tc>
          <w:tcPr>
            <w:tcW w:w="3510" w:type="dxa"/>
            <w:tcMar>
              <w:left w:w="105" w:type="dxa"/>
              <w:right w:w="105" w:type="dxa"/>
            </w:tcMar>
            <w:vAlign w:val="top"/>
          </w:tcPr>
          <w:p w:rsidR="37FC9896" w:rsidP="37FC9896" w:rsidRDefault="37FC9896" w14:paraId="16BF3F31" w14:textId="634CEED4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7FC9896" w:rsidR="37FC9896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  <w:t xml:space="preserve">Approximate </w:t>
            </w:r>
            <w:r w:rsidRPr="37FC9896" w:rsidR="37FC9896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  <w:t>Timeframe</w:t>
            </w:r>
          </w:p>
        </w:tc>
        <w:tc>
          <w:tcPr>
            <w:tcW w:w="4845" w:type="dxa"/>
            <w:tcMar>
              <w:left w:w="105" w:type="dxa"/>
              <w:right w:w="105" w:type="dxa"/>
            </w:tcMar>
            <w:vAlign w:val="top"/>
          </w:tcPr>
          <w:p w:rsidR="37FC9896" w:rsidP="37FC9896" w:rsidRDefault="37FC9896" w14:paraId="2189997F" w14:textId="3DB109BF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7FC9896" w:rsidR="37FC9896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  <w:t>Stage</w:t>
            </w:r>
          </w:p>
        </w:tc>
      </w:tr>
      <w:tr w:rsidR="37FC9896" w:rsidTr="37FC9896" w14:paraId="53108D82">
        <w:trPr>
          <w:trHeight w:val="300"/>
        </w:trPr>
        <w:tc>
          <w:tcPr>
            <w:tcW w:w="975" w:type="dxa"/>
            <w:tcMar>
              <w:left w:w="105" w:type="dxa"/>
              <w:right w:w="105" w:type="dxa"/>
            </w:tcMar>
            <w:vAlign w:val="top"/>
          </w:tcPr>
          <w:p w:rsidR="37FC9896" w:rsidP="37FC9896" w:rsidRDefault="37FC9896" w14:paraId="727A3408" w14:textId="26238DBC">
            <w:pPr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7FC9896" w:rsidR="37FC9896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2024</w:t>
            </w:r>
          </w:p>
        </w:tc>
        <w:tc>
          <w:tcPr>
            <w:tcW w:w="3510" w:type="dxa"/>
            <w:tcMar>
              <w:left w:w="105" w:type="dxa"/>
              <w:right w:w="105" w:type="dxa"/>
            </w:tcMar>
            <w:vAlign w:val="top"/>
          </w:tcPr>
          <w:p w:rsidR="37FC9896" w:rsidP="37FC9896" w:rsidRDefault="37FC9896" w14:paraId="4CEA337F" w14:textId="67BD16CF">
            <w:pPr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7FC9896" w:rsidR="37FC9896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April – November</w:t>
            </w:r>
          </w:p>
        </w:tc>
        <w:tc>
          <w:tcPr>
            <w:tcW w:w="4845" w:type="dxa"/>
            <w:tcMar>
              <w:left w:w="105" w:type="dxa"/>
              <w:right w:w="105" w:type="dxa"/>
            </w:tcMar>
            <w:vAlign w:val="top"/>
          </w:tcPr>
          <w:p w:rsidR="37FC9896" w:rsidP="37FC9896" w:rsidRDefault="37FC9896" w14:paraId="23E85988" w14:textId="0E0E30EE">
            <w:pPr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7FC9896" w:rsidR="37FC9896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Open-ended engagement, one-on-one meetings on 2026-2027 QAP priorities</w:t>
            </w:r>
          </w:p>
        </w:tc>
      </w:tr>
      <w:tr w:rsidR="37FC9896" w:rsidTr="37FC9896" w14:paraId="6DB67C3F">
        <w:trPr>
          <w:trHeight w:val="300"/>
        </w:trPr>
        <w:tc>
          <w:tcPr>
            <w:tcW w:w="975" w:type="dxa"/>
            <w:tcMar>
              <w:left w:w="105" w:type="dxa"/>
              <w:right w:w="105" w:type="dxa"/>
            </w:tcMar>
            <w:vAlign w:val="top"/>
          </w:tcPr>
          <w:p w:rsidR="37FC9896" w:rsidP="37FC9896" w:rsidRDefault="37FC9896" w14:paraId="05C0B2DD" w14:textId="04AFF6EB">
            <w:pPr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7FC9896" w:rsidR="37FC9896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2024</w:t>
            </w:r>
          </w:p>
        </w:tc>
        <w:tc>
          <w:tcPr>
            <w:tcW w:w="3510" w:type="dxa"/>
            <w:tcMar>
              <w:left w:w="105" w:type="dxa"/>
              <w:right w:w="105" w:type="dxa"/>
            </w:tcMar>
            <w:vAlign w:val="top"/>
          </w:tcPr>
          <w:p w:rsidR="37FC9896" w:rsidP="37FC9896" w:rsidRDefault="37FC9896" w14:paraId="6A40B19F" w14:textId="7AFF9B11">
            <w:pPr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7FC9896" w:rsidR="37FC9896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October</w:t>
            </w:r>
          </w:p>
        </w:tc>
        <w:tc>
          <w:tcPr>
            <w:tcW w:w="4845" w:type="dxa"/>
            <w:tcMar>
              <w:left w:w="105" w:type="dxa"/>
              <w:right w:w="105" w:type="dxa"/>
            </w:tcMar>
            <w:vAlign w:val="top"/>
          </w:tcPr>
          <w:p w:rsidR="37FC9896" w:rsidP="37FC9896" w:rsidRDefault="37FC9896" w14:paraId="64BE5801" w14:textId="101DDBEF">
            <w:pPr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7FC9896" w:rsidR="37FC9896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Establish list of major policy priorities for 2026-2027 QAP</w:t>
            </w:r>
          </w:p>
        </w:tc>
      </w:tr>
      <w:tr w:rsidR="37FC9896" w:rsidTr="37FC9896" w14:paraId="0333B17C">
        <w:trPr>
          <w:trHeight w:val="300"/>
        </w:trPr>
        <w:tc>
          <w:tcPr>
            <w:tcW w:w="975" w:type="dxa"/>
            <w:tcMar>
              <w:left w:w="105" w:type="dxa"/>
              <w:right w:w="105" w:type="dxa"/>
            </w:tcMar>
            <w:vAlign w:val="top"/>
          </w:tcPr>
          <w:p w:rsidR="37FC9896" w:rsidP="37FC9896" w:rsidRDefault="37FC9896" w14:paraId="4F9757AC" w14:textId="2FACA2B3">
            <w:pPr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7FC9896" w:rsidR="37FC9896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2024</w:t>
            </w:r>
          </w:p>
        </w:tc>
        <w:tc>
          <w:tcPr>
            <w:tcW w:w="3510" w:type="dxa"/>
            <w:tcMar>
              <w:left w:w="105" w:type="dxa"/>
              <w:right w:w="105" w:type="dxa"/>
            </w:tcMar>
            <w:vAlign w:val="top"/>
          </w:tcPr>
          <w:p w:rsidR="37FC9896" w:rsidP="37FC9896" w:rsidRDefault="37FC9896" w14:paraId="0AE2AC56" w14:textId="59602789">
            <w:pPr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7FC9896" w:rsidR="37FC9896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 xml:space="preserve">October – December </w:t>
            </w:r>
          </w:p>
        </w:tc>
        <w:tc>
          <w:tcPr>
            <w:tcW w:w="4845" w:type="dxa"/>
            <w:tcMar>
              <w:left w:w="105" w:type="dxa"/>
              <w:right w:w="105" w:type="dxa"/>
            </w:tcMar>
            <w:vAlign w:val="top"/>
          </w:tcPr>
          <w:p w:rsidR="37FC9896" w:rsidP="37FC9896" w:rsidRDefault="37FC9896" w14:paraId="171EB0C2" w14:textId="76E6BC1B">
            <w:pPr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7FC9896" w:rsidR="37FC9896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Listening sessions on policy priorities</w:t>
            </w:r>
          </w:p>
        </w:tc>
      </w:tr>
      <w:tr w:rsidR="37FC9896" w:rsidTr="37FC9896" w14:paraId="7FA9FF22">
        <w:trPr>
          <w:trHeight w:val="300"/>
        </w:trPr>
        <w:tc>
          <w:tcPr>
            <w:tcW w:w="975" w:type="dxa"/>
            <w:tcMar>
              <w:left w:w="105" w:type="dxa"/>
              <w:right w:w="105" w:type="dxa"/>
            </w:tcMar>
            <w:vAlign w:val="top"/>
          </w:tcPr>
          <w:p w:rsidR="37FC9896" w:rsidP="37FC9896" w:rsidRDefault="37FC9896" w14:paraId="38E5892B" w14:textId="7E594F47">
            <w:pPr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7FC9896" w:rsidR="37FC9896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2025</w:t>
            </w:r>
          </w:p>
        </w:tc>
        <w:tc>
          <w:tcPr>
            <w:tcW w:w="3510" w:type="dxa"/>
            <w:tcMar>
              <w:left w:w="105" w:type="dxa"/>
              <w:right w:w="105" w:type="dxa"/>
            </w:tcMar>
            <w:vAlign w:val="top"/>
          </w:tcPr>
          <w:p w:rsidR="37FC9896" w:rsidP="37FC9896" w:rsidRDefault="37FC9896" w14:paraId="13D675E9" w14:textId="6423D4A9">
            <w:pPr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7FC9896" w:rsidR="37FC9896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January</w:t>
            </w:r>
          </w:p>
        </w:tc>
        <w:tc>
          <w:tcPr>
            <w:tcW w:w="4845" w:type="dxa"/>
            <w:tcMar>
              <w:left w:w="105" w:type="dxa"/>
              <w:right w:w="105" w:type="dxa"/>
            </w:tcMar>
            <w:vAlign w:val="top"/>
          </w:tcPr>
          <w:p w:rsidR="37FC9896" w:rsidP="37FC9896" w:rsidRDefault="37FC9896" w14:paraId="4BFB1540" w14:textId="4319037B">
            <w:pPr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7FC9896" w:rsidR="37FC9896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Publish draft policy proposals for policy priorities</w:t>
            </w:r>
          </w:p>
        </w:tc>
      </w:tr>
      <w:tr w:rsidR="37FC9896" w:rsidTr="37FC9896" w14:paraId="2A7517AE">
        <w:trPr>
          <w:trHeight w:val="300"/>
        </w:trPr>
        <w:tc>
          <w:tcPr>
            <w:tcW w:w="975" w:type="dxa"/>
            <w:tcMar>
              <w:left w:w="105" w:type="dxa"/>
              <w:right w:w="105" w:type="dxa"/>
            </w:tcMar>
            <w:vAlign w:val="top"/>
          </w:tcPr>
          <w:p w:rsidR="37FC9896" w:rsidP="37FC9896" w:rsidRDefault="37FC9896" w14:paraId="44DFD3E3" w14:textId="47B72502">
            <w:pPr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7FC9896" w:rsidR="37FC9896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2025</w:t>
            </w:r>
          </w:p>
        </w:tc>
        <w:tc>
          <w:tcPr>
            <w:tcW w:w="3510" w:type="dxa"/>
            <w:tcMar>
              <w:left w:w="105" w:type="dxa"/>
              <w:right w:w="105" w:type="dxa"/>
            </w:tcMar>
            <w:vAlign w:val="top"/>
          </w:tcPr>
          <w:p w:rsidR="37FC9896" w:rsidP="37FC9896" w:rsidRDefault="37FC9896" w14:paraId="3BFB5D04" w14:textId="093547FF">
            <w:pPr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7FC9896" w:rsidR="37FC9896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January – February</w:t>
            </w:r>
          </w:p>
        </w:tc>
        <w:tc>
          <w:tcPr>
            <w:tcW w:w="4845" w:type="dxa"/>
            <w:tcMar>
              <w:left w:w="105" w:type="dxa"/>
              <w:right w:w="105" w:type="dxa"/>
            </w:tcMar>
            <w:vAlign w:val="top"/>
          </w:tcPr>
          <w:p w:rsidR="37FC9896" w:rsidP="37FC9896" w:rsidRDefault="37FC9896" w14:paraId="53E87040" w14:textId="58A14B41">
            <w:pPr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7FC9896" w:rsidR="37FC9896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Public comment period for policy proposals</w:t>
            </w:r>
          </w:p>
        </w:tc>
      </w:tr>
      <w:tr w:rsidR="37FC9896" w:rsidTr="37FC9896" w14:paraId="34DA58C2">
        <w:trPr>
          <w:trHeight w:val="300"/>
        </w:trPr>
        <w:tc>
          <w:tcPr>
            <w:tcW w:w="975" w:type="dxa"/>
            <w:tcMar>
              <w:left w:w="105" w:type="dxa"/>
              <w:right w:w="105" w:type="dxa"/>
            </w:tcMar>
            <w:vAlign w:val="top"/>
          </w:tcPr>
          <w:p w:rsidR="37FC9896" w:rsidP="37FC9896" w:rsidRDefault="37FC9896" w14:paraId="3A2C46CE" w14:textId="2DAD1977">
            <w:pPr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7FC9896" w:rsidR="37FC9896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2025</w:t>
            </w:r>
          </w:p>
        </w:tc>
        <w:tc>
          <w:tcPr>
            <w:tcW w:w="3510" w:type="dxa"/>
            <w:tcMar>
              <w:left w:w="105" w:type="dxa"/>
              <w:right w:w="105" w:type="dxa"/>
            </w:tcMar>
            <w:vAlign w:val="top"/>
          </w:tcPr>
          <w:p w:rsidR="37FC9896" w:rsidP="37FC9896" w:rsidRDefault="37FC9896" w14:paraId="5AF9BB5A" w14:textId="1D354AF7">
            <w:pPr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7FC9896" w:rsidR="37FC9896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Mid-May</w:t>
            </w:r>
          </w:p>
        </w:tc>
        <w:tc>
          <w:tcPr>
            <w:tcW w:w="4845" w:type="dxa"/>
            <w:tcMar>
              <w:left w:w="105" w:type="dxa"/>
              <w:right w:w="105" w:type="dxa"/>
            </w:tcMar>
            <w:vAlign w:val="top"/>
          </w:tcPr>
          <w:p w:rsidR="37FC9896" w:rsidP="37FC9896" w:rsidRDefault="37FC9896" w14:paraId="035115AE" w14:textId="4DE0B13A">
            <w:pPr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7FC9896" w:rsidR="37FC9896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Publish Draft 1 of 2026-2027 QAP</w:t>
            </w:r>
          </w:p>
        </w:tc>
      </w:tr>
      <w:tr w:rsidR="37FC9896" w:rsidTr="37FC9896" w14:paraId="27073B74">
        <w:trPr>
          <w:trHeight w:val="300"/>
        </w:trPr>
        <w:tc>
          <w:tcPr>
            <w:tcW w:w="975" w:type="dxa"/>
            <w:tcMar>
              <w:left w:w="105" w:type="dxa"/>
              <w:right w:w="105" w:type="dxa"/>
            </w:tcMar>
            <w:vAlign w:val="top"/>
          </w:tcPr>
          <w:p w:rsidR="37FC9896" w:rsidP="37FC9896" w:rsidRDefault="37FC9896" w14:paraId="3251AAB2" w14:textId="40BD3C7C">
            <w:pPr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7FC9896" w:rsidR="37FC9896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2025</w:t>
            </w:r>
          </w:p>
        </w:tc>
        <w:tc>
          <w:tcPr>
            <w:tcW w:w="3510" w:type="dxa"/>
            <w:tcMar>
              <w:left w:w="105" w:type="dxa"/>
              <w:right w:w="105" w:type="dxa"/>
            </w:tcMar>
            <w:vAlign w:val="top"/>
          </w:tcPr>
          <w:p w:rsidR="37FC9896" w:rsidP="37FC9896" w:rsidRDefault="37FC9896" w14:paraId="5E7FA635" w14:textId="38108493">
            <w:pPr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7FC9896" w:rsidR="37FC9896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June</w:t>
            </w:r>
          </w:p>
        </w:tc>
        <w:tc>
          <w:tcPr>
            <w:tcW w:w="4845" w:type="dxa"/>
            <w:tcMar>
              <w:left w:w="105" w:type="dxa"/>
              <w:right w:w="105" w:type="dxa"/>
            </w:tcMar>
            <w:vAlign w:val="top"/>
          </w:tcPr>
          <w:p w:rsidR="37FC9896" w:rsidP="37FC9896" w:rsidRDefault="37FC9896" w14:paraId="6F0C528D" w14:textId="49289841">
            <w:pPr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7FC9896" w:rsidR="37FC9896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Public comment period for Draft 1</w:t>
            </w:r>
          </w:p>
        </w:tc>
      </w:tr>
      <w:tr w:rsidR="37FC9896" w:rsidTr="37FC9896" w14:paraId="3D69395D">
        <w:trPr>
          <w:trHeight w:val="300"/>
        </w:trPr>
        <w:tc>
          <w:tcPr>
            <w:tcW w:w="975" w:type="dxa"/>
            <w:tcMar>
              <w:left w:w="105" w:type="dxa"/>
              <w:right w:w="105" w:type="dxa"/>
            </w:tcMar>
            <w:vAlign w:val="top"/>
          </w:tcPr>
          <w:p w:rsidR="37FC9896" w:rsidP="37FC9896" w:rsidRDefault="37FC9896" w14:paraId="5E0F15D7" w14:textId="52DF57A5">
            <w:pPr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7FC9896" w:rsidR="37FC9896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2025</w:t>
            </w:r>
          </w:p>
        </w:tc>
        <w:tc>
          <w:tcPr>
            <w:tcW w:w="3510" w:type="dxa"/>
            <w:tcMar>
              <w:left w:w="105" w:type="dxa"/>
              <w:right w:w="105" w:type="dxa"/>
            </w:tcMar>
            <w:vAlign w:val="top"/>
          </w:tcPr>
          <w:p w:rsidR="37FC9896" w:rsidP="37FC9896" w:rsidRDefault="37FC9896" w14:paraId="241E0559" w14:textId="3B720CF4">
            <w:pPr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7FC9896" w:rsidR="37FC9896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July</w:t>
            </w:r>
          </w:p>
        </w:tc>
        <w:tc>
          <w:tcPr>
            <w:tcW w:w="4845" w:type="dxa"/>
            <w:tcMar>
              <w:left w:w="105" w:type="dxa"/>
              <w:right w:w="105" w:type="dxa"/>
            </w:tcMar>
            <w:vAlign w:val="top"/>
          </w:tcPr>
          <w:p w:rsidR="37FC9896" w:rsidP="37FC9896" w:rsidRDefault="37FC9896" w14:paraId="6F89324F" w14:textId="263794DB">
            <w:pPr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7FC9896" w:rsidR="37FC9896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Publish Draft 2 of 2026-2027 QAP</w:t>
            </w:r>
          </w:p>
        </w:tc>
      </w:tr>
      <w:tr w:rsidR="37FC9896" w:rsidTr="37FC9896" w14:paraId="6E92E5EA">
        <w:trPr>
          <w:trHeight w:val="300"/>
        </w:trPr>
        <w:tc>
          <w:tcPr>
            <w:tcW w:w="975" w:type="dxa"/>
            <w:tcMar>
              <w:left w:w="105" w:type="dxa"/>
              <w:right w:w="105" w:type="dxa"/>
            </w:tcMar>
            <w:vAlign w:val="top"/>
          </w:tcPr>
          <w:p w:rsidR="37FC9896" w:rsidP="37FC9896" w:rsidRDefault="37FC9896" w14:paraId="77E5C79F" w14:textId="3A0B7A40">
            <w:pPr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7FC9896" w:rsidR="37FC9896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2025</w:t>
            </w:r>
          </w:p>
        </w:tc>
        <w:tc>
          <w:tcPr>
            <w:tcW w:w="3510" w:type="dxa"/>
            <w:tcMar>
              <w:left w:w="105" w:type="dxa"/>
              <w:right w:w="105" w:type="dxa"/>
            </w:tcMar>
            <w:vAlign w:val="top"/>
          </w:tcPr>
          <w:p w:rsidR="37FC9896" w:rsidP="37FC9896" w:rsidRDefault="37FC9896" w14:paraId="5B91D00A" w14:textId="24AA2DB6">
            <w:pPr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7FC9896" w:rsidR="37FC9896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August</w:t>
            </w:r>
          </w:p>
        </w:tc>
        <w:tc>
          <w:tcPr>
            <w:tcW w:w="4845" w:type="dxa"/>
            <w:tcMar>
              <w:left w:w="105" w:type="dxa"/>
              <w:right w:w="105" w:type="dxa"/>
            </w:tcMar>
            <w:vAlign w:val="top"/>
          </w:tcPr>
          <w:p w:rsidR="37FC9896" w:rsidP="37FC9896" w:rsidRDefault="37FC9896" w14:paraId="3DD1EE67" w14:textId="0C054A58">
            <w:pPr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7FC9896" w:rsidR="37FC9896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Public comment period for Draft 2</w:t>
            </w:r>
          </w:p>
        </w:tc>
      </w:tr>
      <w:tr w:rsidR="37FC9896" w:rsidTr="37FC9896" w14:paraId="078144A9">
        <w:trPr>
          <w:trHeight w:val="300"/>
        </w:trPr>
        <w:tc>
          <w:tcPr>
            <w:tcW w:w="975" w:type="dxa"/>
            <w:tcMar>
              <w:left w:w="105" w:type="dxa"/>
              <w:right w:w="105" w:type="dxa"/>
            </w:tcMar>
            <w:vAlign w:val="top"/>
          </w:tcPr>
          <w:p w:rsidR="37FC9896" w:rsidP="37FC9896" w:rsidRDefault="37FC9896" w14:paraId="3B36E156" w14:textId="422DE551">
            <w:pPr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7FC9896" w:rsidR="37FC9896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2025</w:t>
            </w:r>
          </w:p>
        </w:tc>
        <w:tc>
          <w:tcPr>
            <w:tcW w:w="3510" w:type="dxa"/>
            <w:tcMar>
              <w:left w:w="105" w:type="dxa"/>
              <w:right w:w="105" w:type="dxa"/>
            </w:tcMar>
            <w:vAlign w:val="top"/>
          </w:tcPr>
          <w:p w:rsidR="37FC9896" w:rsidP="37FC9896" w:rsidRDefault="37FC9896" w14:paraId="340B4C84" w14:textId="31056C5D">
            <w:pPr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7FC9896" w:rsidR="37FC9896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September</w:t>
            </w:r>
          </w:p>
        </w:tc>
        <w:tc>
          <w:tcPr>
            <w:tcW w:w="4845" w:type="dxa"/>
            <w:tcMar>
              <w:left w:w="105" w:type="dxa"/>
              <w:right w:w="105" w:type="dxa"/>
            </w:tcMar>
            <w:vAlign w:val="top"/>
          </w:tcPr>
          <w:p w:rsidR="37FC9896" w:rsidP="37FC9896" w:rsidRDefault="37FC9896" w14:paraId="538C5952" w14:textId="39F6EE2E">
            <w:pPr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7FC9896" w:rsidR="37FC9896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Publish final draft of 2026-2027 QAP</w:t>
            </w:r>
          </w:p>
        </w:tc>
      </w:tr>
      <w:tr w:rsidR="37FC9896" w:rsidTr="37FC9896" w14:paraId="611C9410">
        <w:trPr>
          <w:trHeight w:val="300"/>
        </w:trPr>
        <w:tc>
          <w:tcPr>
            <w:tcW w:w="975" w:type="dxa"/>
            <w:tcMar>
              <w:left w:w="105" w:type="dxa"/>
              <w:right w:w="105" w:type="dxa"/>
            </w:tcMar>
            <w:vAlign w:val="top"/>
          </w:tcPr>
          <w:p w:rsidR="37FC9896" w:rsidP="37FC9896" w:rsidRDefault="37FC9896" w14:paraId="5E9E0CFD" w14:textId="14A84D1C">
            <w:pPr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7FC9896" w:rsidR="37FC9896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2025</w:t>
            </w:r>
          </w:p>
        </w:tc>
        <w:tc>
          <w:tcPr>
            <w:tcW w:w="3510" w:type="dxa"/>
            <w:tcMar>
              <w:left w:w="105" w:type="dxa"/>
              <w:right w:w="105" w:type="dxa"/>
            </w:tcMar>
            <w:vAlign w:val="top"/>
          </w:tcPr>
          <w:p w:rsidR="37FC9896" w:rsidP="37FC9896" w:rsidRDefault="37FC9896" w14:paraId="4CE049A1" w14:textId="1592657A">
            <w:pPr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7FC9896" w:rsidR="37FC9896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October – November</w:t>
            </w:r>
          </w:p>
        </w:tc>
        <w:tc>
          <w:tcPr>
            <w:tcW w:w="4845" w:type="dxa"/>
            <w:tcMar>
              <w:left w:w="105" w:type="dxa"/>
              <w:right w:w="105" w:type="dxa"/>
            </w:tcMar>
            <w:vAlign w:val="top"/>
          </w:tcPr>
          <w:p w:rsidR="37FC9896" w:rsidP="37FC9896" w:rsidRDefault="37FC9896" w14:paraId="727EB415" w14:textId="37AA790A">
            <w:pPr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7FC9896" w:rsidR="37FC9896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Final approval from DCA Housing Committee and Board</w:t>
            </w:r>
          </w:p>
        </w:tc>
      </w:tr>
    </w:tbl>
    <w:p w:rsidR="00ED25E9" w:rsidP="37FC9896" w:rsidRDefault="00ED25E9" w14:paraId="080D0D96" w14:textId="7213ED62">
      <w:pPr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2" w:themeTint="FF" w:themeShade="FF"/>
          <w:sz w:val="22"/>
          <w:szCs w:val="22"/>
          <w:lang w:val="en-US"/>
        </w:rPr>
      </w:pPr>
    </w:p>
    <w:p w:rsidR="00ED25E9" w:rsidP="37FC9896" w:rsidRDefault="00ED25E9" w14:paraId="11C5ED41" w14:textId="25A2501E">
      <w:p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</w:p>
    <w:p w:rsidR="00ED25E9" w:rsidP="37FC9896" w:rsidRDefault="00ED25E9" w14:paraId="3217BB18" w14:textId="537147C8" w14:noSpellErr="1">
      <w:p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</w:p>
    <w:sectPr w:rsidR="00ED25E9" w:rsidSect="00ED25E9">
      <w:headerReference w:type="default" r:id="rId6"/>
      <w:footerReference w:type="default" r:id="rId7"/>
      <w:headerReference w:type="first" r:id="rId8"/>
      <w:footerReference w:type="first" r:id="rId9"/>
      <w:pgSz w:w="12240" w:h="15840" w:orient="portrait"/>
      <w:pgMar w:top="1080" w:right="1080" w:bottom="1080" w:left="1080" w:header="547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5662A" w:rsidP="001A1CA5" w:rsidRDefault="00A5662A" w14:paraId="287A00AF" w14:textId="77777777">
      <w:pPr>
        <w:spacing w:after="0" w:line="240" w:lineRule="auto"/>
      </w:pPr>
      <w:r>
        <w:separator/>
      </w:r>
    </w:p>
  </w:endnote>
  <w:endnote w:type="continuationSeparator" w:id="0">
    <w:p w:rsidR="00A5662A" w:rsidP="001A1CA5" w:rsidRDefault="00A5662A" w14:paraId="1DB70905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B17C8" w:rsidP="009A3762" w:rsidRDefault="00FB17C8" w14:paraId="0E7FC0ED" w14:textId="77777777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p w:rsidRPr="00B134BF" w:rsidR="00ED25E9" w:rsidP="00ED25E9" w:rsidRDefault="00ED25E9" w14:paraId="21A5EC50" w14:textId="763F7872">
    <w:pPr>
      <w:pStyle w:val="Footer"/>
      <w:jc w:val="center"/>
      <w:rPr>
        <w:color w:val="1B3A4D"/>
      </w:rPr>
    </w:pPr>
    <w:r w:rsidRPr="00B134BF">
      <w:rPr>
        <w:color w:val="1B3A4D"/>
      </w:rPr>
      <w:t>60 Executive Park South, NE | Atlanta, GA 30329-2231 |404-679-4940 | dca.georgia.gov</w:t>
    </w:r>
  </w:p>
  <w:p w:rsidR="00ED25E9" w:rsidP="00ED25E9" w:rsidRDefault="00ED25E9" w14:paraId="75678E1A" w14:textId="77777777">
    <w:pPr>
      <w:pStyle w:val="Footer"/>
      <w:jc w:val="center"/>
      <w:rPr>
        <w:color w:val="1B3A4D"/>
      </w:rPr>
    </w:pPr>
    <w:r w:rsidRPr="00B134BF">
      <w:rPr>
        <w:color w:val="1B3A4D"/>
      </w:rPr>
      <w:t>An Equal Opportunity Employer</w:t>
    </w:r>
  </w:p>
  <w:p w:rsidRPr="00C73E2E" w:rsidR="00ED25E9" w:rsidP="00ED25E9" w:rsidRDefault="00ED25E9" w14:paraId="20C381DE" w14:textId="77777777">
    <w:pPr>
      <w:pStyle w:val="Footer"/>
      <w:jc w:val="center"/>
      <w:rPr>
        <w:color w:val="1B3A4D"/>
        <w:sz w:val="16"/>
        <w:szCs w:val="16"/>
      </w:rPr>
    </w:pPr>
  </w:p>
  <w:p w:rsidRPr="00B134BF" w:rsidR="00ED25E9" w:rsidP="00ED25E9" w:rsidRDefault="00ED25E9" w14:paraId="0759F665" w14:textId="77777777">
    <w:pPr>
      <w:pStyle w:val="Footer"/>
      <w:jc w:val="center"/>
      <w:rPr>
        <w:color w:val="1B3A4D"/>
      </w:rPr>
    </w:pPr>
    <w:r>
      <w:rPr>
        <w:noProof/>
      </w:rPr>
      <w:drawing>
        <wp:inline distT="0" distB="0" distL="0" distR="0" wp14:anchorId="214E44E1" wp14:editId="52B52A74">
          <wp:extent cx="590550" cy="298450"/>
          <wp:effectExtent l="0" t="0" r="0" b="635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687" t="20548" r="22290" b="47260"/>
                  <a:stretch/>
                </pic:blipFill>
                <pic:spPr bwMode="auto">
                  <a:xfrm>
                    <a:off x="0" y="0"/>
                    <a:ext cx="590550" cy="2984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5662A" w:rsidP="001A1CA5" w:rsidRDefault="00A5662A" w14:paraId="1DA34E9B" w14:textId="77777777">
      <w:pPr>
        <w:spacing w:after="0" w:line="240" w:lineRule="auto"/>
      </w:pPr>
      <w:r>
        <w:separator/>
      </w:r>
    </w:p>
  </w:footnote>
  <w:footnote w:type="continuationSeparator" w:id="0">
    <w:p w:rsidR="00A5662A" w:rsidP="001A1CA5" w:rsidRDefault="00A5662A" w14:paraId="55A71702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31651" w:rsidP="001A1CA5" w:rsidRDefault="00C31651" w14:paraId="30F7F376" w14:textId="19168714">
    <w:pPr>
      <w:pStyle w:val="Header"/>
      <w:tabs>
        <w:tab w:val="clear" w:pos="9360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tbl>
    <w:tblPr>
      <w:tblStyle w:val="TableGrid"/>
      <w:tblW w:w="11160" w:type="dxa"/>
      <w:jc w:val="center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ook w:val="04A0" w:firstRow="1" w:lastRow="0" w:firstColumn="1" w:lastColumn="0" w:noHBand="0" w:noVBand="1"/>
    </w:tblPr>
    <w:tblGrid>
      <w:gridCol w:w="2014"/>
      <w:gridCol w:w="7131"/>
      <w:gridCol w:w="2015"/>
    </w:tblGrid>
    <w:tr w:rsidRPr="00B134BF" w:rsidR="00ED25E9" w:rsidTr="00641AE8" w14:paraId="4986D905" w14:textId="77777777">
      <w:trPr>
        <w:trHeight w:val="20"/>
        <w:jc w:val="center"/>
      </w:trPr>
      <w:tc>
        <w:tcPr>
          <w:tcW w:w="2014" w:type="dxa"/>
        </w:tcPr>
        <w:p w:rsidRPr="00B134BF" w:rsidR="00ED25E9" w:rsidP="00ED25E9" w:rsidRDefault="00ED25E9" w14:paraId="6DCD831D" w14:textId="1F7CE4A1">
          <w:pPr>
            <w:pStyle w:val="Header"/>
            <w:tabs>
              <w:tab w:val="clear" w:pos="9360"/>
            </w:tabs>
            <w:jc w:val="center"/>
            <w:rPr>
              <w:b/>
              <w:bCs/>
              <w:color w:val="1B3A4D"/>
              <w:sz w:val="24"/>
              <w:szCs w:val="24"/>
            </w:rPr>
          </w:pPr>
          <w:r w:rsidRPr="00B134BF">
            <w:rPr>
              <w:b/>
              <w:bCs/>
              <w:color w:val="1B3A4D"/>
              <w:sz w:val="24"/>
              <w:szCs w:val="24"/>
            </w:rPr>
            <w:t>Brian P. Kemp</w:t>
          </w:r>
        </w:p>
        <w:p w:rsidRPr="004B4E93" w:rsidR="00ED25E9" w:rsidP="00ED25E9" w:rsidRDefault="00ED25E9" w14:paraId="002BE387" w14:textId="77777777">
          <w:pPr>
            <w:pStyle w:val="Header"/>
            <w:tabs>
              <w:tab w:val="clear" w:pos="9360"/>
            </w:tabs>
            <w:jc w:val="center"/>
            <w:rPr>
              <w:sz w:val="20"/>
              <w:szCs w:val="20"/>
            </w:rPr>
          </w:pPr>
          <w:r w:rsidRPr="00B134BF">
            <w:rPr>
              <w:color w:val="1B3A4D"/>
              <w:sz w:val="20"/>
              <w:szCs w:val="20"/>
            </w:rPr>
            <w:t>Governor</w:t>
          </w:r>
        </w:p>
      </w:tc>
      <w:tc>
        <w:tcPr>
          <w:tcW w:w="7131" w:type="dxa"/>
          <w:vAlign w:val="bottom"/>
        </w:tcPr>
        <w:p w:rsidR="00ED25E9" w:rsidP="00ED25E9" w:rsidRDefault="00ED25E9" w14:paraId="2EC46C6A" w14:textId="77777777">
          <w:pPr>
            <w:pStyle w:val="Header"/>
            <w:tabs>
              <w:tab w:val="clear" w:pos="9360"/>
            </w:tabs>
          </w:pPr>
        </w:p>
      </w:tc>
      <w:tc>
        <w:tcPr>
          <w:tcW w:w="2015" w:type="dxa"/>
        </w:tcPr>
        <w:p w:rsidRPr="00B134BF" w:rsidR="00ED25E9" w:rsidP="00ED25E9" w:rsidRDefault="00ED25E9" w14:paraId="407FE518" w14:textId="77777777">
          <w:pPr>
            <w:pStyle w:val="Header"/>
            <w:tabs>
              <w:tab w:val="clear" w:pos="9360"/>
            </w:tabs>
            <w:jc w:val="center"/>
            <w:rPr>
              <w:b/>
              <w:bCs/>
              <w:color w:val="1B3A4D"/>
              <w:sz w:val="24"/>
              <w:szCs w:val="24"/>
            </w:rPr>
          </w:pPr>
          <w:r w:rsidRPr="00B134BF">
            <w:rPr>
              <w:b/>
              <w:bCs/>
              <w:color w:val="1B3A4D"/>
              <w:sz w:val="24"/>
              <w:szCs w:val="24"/>
            </w:rPr>
            <w:t>Christopher Nunn</w:t>
          </w:r>
        </w:p>
        <w:p w:rsidRPr="00B134BF" w:rsidR="00ED25E9" w:rsidP="00ED25E9" w:rsidRDefault="00ED25E9" w14:paraId="05848FA1" w14:textId="77777777">
          <w:pPr>
            <w:pStyle w:val="Header"/>
            <w:tabs>
              <w:tab w:val="clear" w:pos="9360"/>
            </w:tabs>
            <w:jc w:val="center"/>
            <w:rPr>
              <w:color w:val="1B3A4D"/>
              <w:sz w:val="20"/>
              <w:szCs w:val="20"/>
            </w:rPr>
          </w:pPr>
          <w:r w:rsidRPr="00B134BF">
            <w:rPr>
              <w:color w:val="1B3A4D"/>
              <w:sz w:val="20"/>
              <w:szCs w:val="20"/>
            </w:rPr>
            <w:t>Commissioner</w:t>
          </w:r>
        </w:p>
      </w:tc>
    </w:tr>
    <w:tr w:rsidRPr="00C31651" w:rsidR="00ED25E9" w:rsidTr="00641AE8" w14:paraId="271DCF76" w14:textId="77777777">
      <w:trPr>
        <w:trHeight w:val="20"/>
        <w:jc w:val="center"/>
      </w:trPr>
      <w:tc>
        <w:tcPr>
          <w:tcW w:w="11160" w:type="dxa"/>
          <w:gridSpan w:val="3"/>
          <w:vAlign w:val="bottom"/>
        </w:tcPr>
        <w:p w:rsidRPr="00C31651" w:rsidR="00ED25E9" w:rsidP="00ED25E9" w:rsidRDefault="00ED25E9" w14:paraId="5540843C" w14:textId="77777777">
          <w:pPr>
            <w:pStyle w:val="Header"/>
            <w:tabs>
              <w:tab w:val="clear" w:pos="9360"/>
            </w:tabs>
            <w:jc w:val="center"/>
            <w:rPr>
              <w:b/>
              <w:bCs/>
              <w:sz w:val="24"/>
              <w:szCs w:val="24"/>
            </w:rPr>
          </w:pPr>
          <w:r>
            <w:rPr>
              <w:noProof/>
            </w:rPr>
            <w:drawing>
              <wp:inline distT="0" distB="0" distL="0" distR="0" wp14:anchorId="3DAC974B" wp14:editId="2134DF48">
                <wp:extent cx="4572000" cy="745309"/>
                <wp:effectExtent l="0" t="0" r="0" b="0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4547"/>
                        <a:stretch/>
                      </pic:blipFill>
                      <pic:spPr bwMode="auto">
                        <a:xfrm>
                          <a:off x="0" y="0"/>
                          <a:ext cx="4572000" cy="745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:rsidR="00ED25E9" w:rsidRDefault="00ED25E9" w14:paraId="531D9AE9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trackRevisions w:val="false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CA5"/>
    <w:rsid w:val="000070C4"/>
    <w:rsid w:val="00036850"/>
    <w:rsid w:val="001A1CA5"/>
    <w:rsid w:val="00357515"/>
    <w:rsid w:val="003818C1"/>
    <w:rsid w:val="00423BBF"/>
    <w:rsid w:val="004B4E93"/>
    <w:rsid w:val="004B7D26"/>
    <w:rsid w:val="004E749C"/>
    <w:rsid w:val="0055473D"/>
    <w:rsid w:val="005E1984"/>
    <w:rsid w:val="006725EC"/>
    <w:rsid w:val="0087670B"/>
    <w:rsid w:val="008B3B6E"/>
    <w:rsid w:val="008D48EE"/>
    <w:rsid w:val="009454C9"/>
    <w:rsid w:val="009A3762"/>
    <w:rsid w:val="00A0559D"/>
    <w:rsid w:val="00A469DF"/>
    <w:rsid w:val="00A5662A"/>
    <w:rsid w:val="00B134BF"/>
    <w:rsid w:val="00B2270A"/>
    <w:rsid w:val="00B87B1F"/>
    <w:rsid w:val="00C212B8"/>
    <w:rsid w:val="00C23116"/>
    <w:rsid w:val="00C31651"/>
    <w:rsid w:val="00C73E2E"/>
    <w:rsid w:val="00CD6BAA"/>
    <w:rsid w:val="00D07324"/>
    <w:rsid w:val="00E21EC6"/>
    <w:rsid w:val="00ED25E9"/>
    <w:rsid w:val="00FB17C8"/>
    <w:rsid w:val="00FF45DB"/>
    <w:rsid w:val="08D8B681"/>
    <w:rsid w:val="128ABD6D"/>
    <w:rsid w:val="26A8512B"/>
    <w:rsid w:val="37FC9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E908F2B"/>
  <w15:chartTrackingRefBased/>
  <w15:docId w15:val="{BDFF869B-265D-4A85-9F55-A2F898532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A1CA5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1A1CA5"/>
  </w:style>
  <w:style w:type="paragraph" w:styleId="Footer">
    <w:name w:val="footer"/>
    <w:basedOn w:val="Normal"/>
    <w:link w:val="FooterChar"/>
    <w:uiPriority w:val="99"/>
    <w:unhideWhenUsed/>
    <w:rsid w:val="001A1CA5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1A1CA5"/>
  </w:style>
  <w:style w:type="table" w:styleId="TableGrid">
    <w:name w:val="Table Grid"/>
    <w:basedOn w:val="TableNormal"/>
    <w:uiPriority w:val="39"/>
    <w:rsid w:val="001A1CA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Subtitle">
    <w:name w:val="Subtitle"/>
    <w:basedOn w:val="Normal"/>
    <w:next w:val="Normal"/>
    <w:link w:val="SubtitleChar"/>
    <w:uiPriority w:val="11"/>
    <w:qFormat/>
    <w:rsid w:val="00C3165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styleId="SubtitleChar" w:customStyle="1">
    <w:name w:val="Subtitle Char"/>
    <w:basedOn w:val="DefaultParagraphFont"/>
    <w:link w:val="Subtitle"/>
    <w:uiPriority w:val="11"/>
    <w:rsid w:val="00C31651"/>
    <w:rPr>
      <w:rFonts w:eastAsiaTheme="minorEastAsia"/>
      <w:color w:val="5A5A5A" w:themeColor="text1" w:themeTint="A5"/>
      <w:spacing w:val="1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16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C31651"/>
    <w:rPr>
      <w:rFonts w:ascii="Tahoma" w:hAnsi="Tahoma" w:cs="Tahoma"/>
      <w:sz w:val="16"/>
      <w:szCs w:val="16"/>
    </w:rPr>
  </w:style>
  <w:style w:type="paragraph" w:styleId="paragraph" w:customStyle="1">
    <w:name w:val="paragraph"/>
    <w:basedOn w:val="Normal"/>
    <w:rsid w:val="00C31651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normaltextrun" w:customStyle="1">
    <w:name w:val="normaltextrun"/>
    <w:basedOn w:val="DefaultParagraphFont"/>
    <w:rsid w:val="00C31651"/>
  </w:style>
  <w:style w:type="character" w:styleId="eop" w:customStyle="1">
    <w:name w:val="eop"/>
    <w:basedOn w:val="DefaultParagraphFont"/>
    <w:rsid w:val="00C31651"/>
  </w:style>
  <w:style xmlns:w14="http://schemas.microsoft.com/office/word/2010/wordml" xmlns:mc="http://schemas.openxmlformats.org/markup-compatibility/2006" xmlns:w="http://schemas.openxmlformats.org/wordprocessingml/2006/main" w:type="character" w:styleId="Heading2Char" w:customStyle="1" mc:Ignorable="w14">
    <w:name xmlns:w="http://schemas.openxmlformats.org/wordprocessingml/2006/main" w:val="Heading 2 Char"/>
    <w:basedOn xmlns:w="http://schemas.openxmlformats.org/wordprocessingml/2006/main" w:val="DefaultParagraphFont"/>
    <w:link xmlns:w="http://schemas.openxmlformats.org/wordprocessingml/2006/main" w:val="Heading2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2" mc:Ignorable="w14">
    <w:name xmlns:w="http://schemas.openxmlformats.org/wordprocessingml/2006/main" w:val="heading 2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2Char"/>
    <w:uiPriority xmlns:w="http://schemas.openxmlformats.org/wordprocessingml/2006/main" w:val="9"/>
    <w:unhideWhenUsed xmlns:w="http://schemas.openxmlformats.org/wordprocessingml/2006/main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40" w:after="0"/>
      <w:outlineLvl xmlns:w="http://schemas.openxmlformats.org/wordprocessingml/2006/main" w:val="1"/>
    </w:pPr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080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773215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321470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36148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88258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2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792781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05583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08495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7760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customXml" Target="../customXml/item2.xml" Id="rId13" /><Relationship Type="http://schemas.openxmlformats.org/officeDocument/2006/relationships/webSettings" Target="webSettings.xml" Id="rId3" /><Relationship Type="http://schemas.openxmlformats.org/officeDocument/2006/relationships/footer" Target="footer1.xml" Id="rId7" /><Relationship Type="http://schemas.openxmlformats.org/officeDocument/2006/relationships/customXml" Target="../customXml/item1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theme" Target="theme/theme1.xml" Id="rId11" /><Relationship Type="http://schemas.openxmlformats.org/officeDocument/2006/relationships/endnotes" Target="endnotes.xml" Id="rId5" /><Relationship Type="http://schemas.openxmlformats.org/officeDocument/2006/relationships/fontTable" Target="fontTable.xml" Id="rId10" /><Relationship Type="http://schemas.openxmlformats.org/officeDocument/2006/relationships/footnotes" Target="footnotes.xml" Id="rId4" /><Relationship Type="http://schemas.openxmlformats.org/officeDocument/2006/relationships/footer" Target="footer2.xml" Id="rId9" /><Relationship Type="http://schemas.openxmlformats.org/officeDocument/2006/relationships/customXml" Target="../customXml/item3.xml" Id="rId14" /><Relationship Type="http://schemas.openxmlformats.org/officeDocument/2006/relationships/hyperlink" Target="https://dcaqap.formstack.com/forms/2023_htc_program_public_input_copy_copy" TargetMode="External" Id="R99215292164f475d" /><Relationship Type="http://schemas.openxmlformats.org/officeDocument/2006/relationships/hyperlink" Target="mailto:melissa.florkowski@dca.ga.gov" TargetMode="External" Id="Rac7f57d2b8c54f9f" /><Relationship Type="http://schemas.openxmlformats.org/officeDocument/2006/relationships/hyperlink" Target="https://dcaqap.formstack.com/forms/2023_htc_program_public_input_copy_copy" TargetMode="External" Id="R0f6e0c547ff545cb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49A942"/>
      </a:accent1>
      <a:accent2>
        <a:srgbClr val="1B3A4D"/>
      </a:accent2>
      <a:accent3>
        <a:srgbClr val="F58220"/>
      </a:accent3>
      <a:accent4>
        <a:srgbClr val="8DC63F"/>
      </a:accent4>
      <a:accent5>
        <a:srgbClr val="D5E04E"/>
      </a:accent5>
      <a:accent6>
        <a:srgbClr val="1B3A4D"/>
      </a:accent6>
      <a:hlink>
        <a:srgbClr val="AE462D"/>
      </a:hlink>
      <a:folHlink>
        <a:srgbClr val="AE462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9A2A25E5621E4FB01A6656374D9759" ma:contentTypeVersion="31" ma:contentTypeDescription="Create a new document." ma:contentTypeScope="" ma:versionID="f6fb48a4149fe22d4b77faa516de3eb7">
  <xsd:schema xmlns:xsd="http://www.w3.org/2001/XMLSchema" xmlns:xs="http://www.w3.org/2001/XMLSchema" xmlns:p="http://schemas.microsoft.com/office/2006/metadata/properties" xmlns:ns2="431100d4-4470-42c1-96bc-46686c1829ae" xmlns:ns3="07da3740-463b-4cf7-bfb8-6875f2c449a4" targetNamespace="http://schemas.microsoft.com/office/2006/metadata/properties" ma:root="true" ma:fieldsID="7529bac738a126986c7073a2a36467df" ns2:_="" ns3:_="">
    <xsd:import namespace="431100d4-4470-42c1-96bc-46686c1829ae"/>
    <xsd:import namespace="07da3740-463b-4cf7-bfb8-6875f2c449a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100d4-4470-42c1-96bc-46686c1829a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5" nillable="true" ma:displayName="Taxonomy Catch All Column" ma:hidden="true" ma:list="{9e4df687-44af-4f4f-83ce-cc549dc79046}" ma:internalName="TaxCatchAll" ma:showField="CatchAllData" ma:web="431100d4-4470-42c1-96bc-46686c1829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da3740-463b-4cf7-bfb8-6875f2c449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5e84caa5-4932-4209-ae5a-cc2c42c667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31100d4-4470-42c1-96bc-46686c1829ae" xsi:nil="true"/>
    <lcf76f155ced4ddcb4097134ff3c332f xmlns="07da3740-463b-4cf7-bfb8-6875f2c449a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FB49440-DF84-4FE9-A0D3-27917A377535}"/>
</file>

<file path=customXml/itemProps2.xml><?xml version="1.0" encoding="utf-8"?>
<ds:datastoreItem xmlns:ds="http://schemas.openxmlformats.org/officeDocument/2006/customXml" ds:itemID="{6E195A0E-E0D6-4531-A251-741F81764D5C}"/>
</file>

<file path=customXml/itemProps3.xml><?xml version="1.0" encoding="utf-8"?>
<ds:datastoreItem xmlns:ds="http://schemas.openxmlformats.org/officeDocument/2006/customXml" ds:itemID="{E92644BF-1FC4-4E64-A331-929B94174A5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Shayla Moultrie</dc:creator>
  <cp:keywords/>
  <dc:description/>
  <cp:lastModifiedBy>Melissa Florkowski</cp:lastModifiedBy>
  <cp:revision>26</cp:revision>
  <dcterms:created xsi:type="dcterms:W3CDTF">2024-07-23T19:43:00Z</dcterms:created>
  <dcterms:modified xsi:type="dcterms:W3CDTF">2025-04-22T13:24:35Z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0x0101008D9A2A25E5621E4FB01A6656374D9759</vt:lpwstr>
  </property>
  <property fmtid="{D5CDD505-2E9C-101B-9397-08002B2CF9AE}" pid="3" name="MediaServiceImageTags">
    <vt:lpwstr/>
  </property>
</Properties>
</file>