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4AFA" w14:textId="77777777" w:rsidR="00446674" w:rsidRDefault="00D5722C">
      <w:pPr>
        <w:pStyle w:val="Heading1"/>
        <w:spacing w:before="60"/>
        <w:ind w:left="3360" w:right="3360"/>
        <w:jc w:val="center"/>
      </w:pPr>
      <w:bookmarkStart w:id="0" w:name="M_E_M_O_R_A_N_D_U_M"/>
      <w:bookmarkEnd w:id="0"/>
      <w:r>
        <w:t>M E M O R A N D U M</w:t>
      </w:r>
    </w:p>
    <w:p w14:paraId="178E4AFB" w14:textId="77777777" w:rsidR="00446674" w:rsidRDefault="00D5722C">
      <w:pPr>
        <w:pStyle w:val="BodyText"/>
        <w:tabs>
          <w:tab w:val="left" w:pos="1379"/>
        </w:tabs>
        <w:spacing w:before="226"/>
        <w:ind w:left="120"/>
      </w:pPr>
      <w:bookmarkStart w:id="1" w:name="TO:_Low_Income_Housing_Tax_Credit_Awarde"/>
      <w:bookmarkEnd w:id="1"/>
      <w:r>
        <w:rPr>
          <w:b/>
        </w:rPr>
        <w:t>TO:</w:t>
      </w:r>
      <w:r>
        <w:rPr>
          <w:b/>
        </w:rPr>
        <w:tab/>
      </w:r>
      <w:r>
        <w:t>Low Income Housing Tax Credit</w:t>
      </w:r>
      <w:r>
        <w:rPr>
          <w:spacing w:val="-2"/>
        </w:rPr>
        <w:t xml:space="preserve"> </w:t>
      </w:r>
      <w:r>
        <w:t>Awardees</w:t>
      </w:r>
    </w:p>
    <w:p w14:paraId="178E4AFC" w14:textId="7094E1D9" w:rsidR="00446674" w:rsidRDefault="00D5722C">
      <w:pPr>
        <w:pStyle w:val="BodyText"/>
        <w:tabs>
          <w:tab w:val="left" w:pos="1379"/>
        </w:tabs>
        <w:spacing w:before="231"/>
        <w:ind w:left="120"/>
      </w:pPr>
      <w:r>
        <w:rPr>
          <w:b/>
        </w:rPr>
        <w:t>FROM:</w:t>
      </w:r>
      <w:r>
        <w:rPr>
          <w:b/>
        </w:rPr>
        <w:tab/>
      </w:r>
      <w:r w:rsidR="00511817">
        <w:t>Onome Uwhubetine</w:t>
      </w:r>
      <w:r>
        <w:t>, D</w:t>
      </w:r>
      <w:r w:rsidR="00511817">
        <w:t>evelopment Manager</w:t>
      </w:r>
      <w:r>
        <w:t>, Office of Housing</w:t>
      </w:r>
      <w:r>
        <w:rPr>
          <w:spacing w:val="-5"/>
        </w:rPr>
        <w:t xml:space="preserve"> </w:t>
      </w:r>
      <w:r>
        <w:t>Finance</w:t>
      </w:r>
    </w:p>
    <w:p w14:paraId="178E4AFD" w14:textId="77777777" w:rsidR="00446674" w:rsidRDefault="00446674">
      <w:pPr>
        <w:pStyle w:val="BodyText"/>
        <w:spacing w:before="2"/>
      </w:pPr>
    </w:p>
    <w:p w14:paraId="178E4AFE" w14:textId="77777777" w:rsidR="00446674" w:rsidRDefault="00D5722C">
      <w:pPr>
        <w:pStyle w:val="Heading2"/>
        <w:tabs>
          <w:tab w:val="left" w:pos="1379"/>
        </w:tabs>
      </w:pPr>
      <w:r>
        <w:t>RE:</w:t>
      </w:r>
      <w:r>
        <w:tab/>
        <w:t>Certification of the 10%</w:t>
      </w:r>
      <w:r>
        <w:rPr>
          <w:spacing w:val="-4"/>
        </w:rPr>
        <w:t xml:space="preserve"> </w:t>
      </w:r>
      <w:r>
        <w:t>Test</w:t>
      </w:r>
    </w:p>
    <w:p w14:paraId="178E4AFF" w14:textId="77777777" w:rsidR="00446674" w:rsidRDefault="00D5722C">
      <w:pPr>
        <w:spacing w:line="275" w:lineRule="exact"/>
        <w:ind w:left="119"/>
        <w:rPr>
          <w:b/>
          <w:sz w:val="24"/>
        </w:rPr>
      </w:pPr>
      <w:r>
        <w:rPr>
          <w:b/>
          <w:sz w:val="24"/>
        </w:rPr>
        <w:t>===============================================================</w:t>
      </w:r>
    </w:p>
    <w:p w14:paraId="178E4B00" w14:textId="30AE2BA3" w:rsidR="00446674" w:rsidRDefault="00D5722C">
      <w:pPr>
        <w:pStyle w:val="BodyText"/>
        <w:ind w:left="119" w:right="116"/>
        <w:jc w:val="both"/>
      </w:pPr>
      <w:r>
        <w:t xml:space="preserve">The certification of the 10% test electronic forms will be available on the Department of Community Affairs (DCA) Office of Affordable Housing Tax Credit Program website at </w:t>
      </w:r>
      <w:hyperlink r:id="rId10">
        <w:r w:rsidR="00177E3B" w:rsidRPr="00177E3B">
          <w:rPr>
            <w:rStyle w:val="Hyperlink"/>
          </w:rPr>
          <w:t>The 10% Test</w:t>
        </w:r>
        <w:r w:rsidR="00177E3B">
          <w:rPr>
            <w:rStyle w:val="Hyperlink"/>
          </w:rPr>
          <w:t xml:space="preserve"> DCA</w:t>
        </w:r>
        <w:r w:rsidR="00177E3B" w:rsidRPr="00177E3B">
          <w:rPr>
            <w:rStyle w:val="Hyperlink"/>
          </w:rPr>
          <w:t xml:space="preserve"> W</w:t>
        </w:r>
        <w:r w:rsidR="00177E3B" w:rsidRPr="00177E3B">
          <w:rPr>
            <w:rStyle w:val="Hyperlink"/>
          </w:rPr>
          <w:t>e</w:t>
        </w:r>
        <w:r w:rsidR="00177E3B" w:rsidRPr="00177E3B">
          <w:rPr>
            <w:rStyle w:val="Hyperlink"/>
          </w:rPr>
          <w:t>bsite Location</w:t>
        </w:r>
        <w:r>
          <w:t>.</w:t>
        </w:r>
      </w:hyperlink>
      <w:r>
        <w:t xml:space="preserve"> I hope this will make the completion of the certification easier for you. If you are unable to open the attached forms or download them from the web site, please contact us.</w:t>
      </w:r>
    </w:p>
    <w:p w14:paraId="178E4B01" w14:textId="77777777" w:rsidR="00446674" w:rsidRDefault="00446674">
      <w:pPr>
        <w:pStyle w:val="BodyText"/>
      </w:pPr>
    </w:p>
    <w:p w14:paraId="178E4B02" w14:textId="32B721CE" w:rsidR="00446674" w:rsidRDefault="00D5722C" w:rsidP="00511817">
      <w:pPr>
        <w:spacing w:before="1"/>
        <w:ind w:left="119" w:right="117"/>
        <w:jc w:val="both"/>
        <w:rPr>
          <w:b/>
          <w:i/>
          <w:sz w:val="24"/>
        </w:rPr>
      </w:pPr>
      <w:r>
        <w:rPr>
          <w:b/>
          <w:i/>
          <w:sz w:val="24"/>
        </w:rPr>
        <w:t xml:space="preserve">Awardees must complete the attached Excel spreadsheet and electronically submit the information required below in </w:t>
      </w:r>
      <w:r w:rsidR="00511817">
        <w:rPr>
          <w:b/>
          <w:i/>
          <w:sz w:val="24"/>
        </w:rPr>
        <w:t xml:space="preserve">zip file and email to </w:t>
      </w:r>
      <w:hyperlink r:id="rId11" w:history="1">
        <w:r w:rsidR="00511817" w:rsidRPr="00B7600A">
          <w:rPr>
            <w:rStyle w:val="Hyperlink"/>
            <w:b/>
            <w:i/>
            <w:sz w:val="24"/>
          </w:rPr>
          <w:t>Development@dca.ga.gov</w:t>
        </w:r>
      </w:hyperlink>
      <w:r>
        <w:rPr>
          <w:b/>
          <w:i/>
          <w:sz w:val="24"/>
        </w:rPr>
        <w:t>.</w:t>
      </w:r>
      <w:r w:rsidR="00D521A0">
        <w:rPr>
          <w:b/>
          <w:i/>
          <w:sz w:val="24"/>
        </w:rPr>
        <w:t xml:space="preserve"> </w:t>
      </w:r>
      <w:r>
        <w:rPr>
          <w:b/>
          <w:i/>
          <w:sz w:val="24"/>
        </w:rPr>
        <w:t>Awardees must also submit individual PDF scanned copies of all information with required signatures. All documentation is due to DCA within one year after the date of the carryover allocation (the date the carryover was executed by DCA). This deadline will be strictly enforced. Please note that your carryover allocation is contingent upon the satisfaction of the 10% test and the timely submission thereof to DCA. Submissions must be enclosed in a protective zippered pencil case sleeve within a padded mailing envelope. A backup flash drive containing identical copies of all documents is required to be included as</w:t>
      </w:r>
      <w:r>
        <w:rPr>
          <w:b/>
          <w:i/>
          <w:spacing w:val="-4"/>
          <w:sz w:val="24"/>
        </w:rPr>
        <w:t xml:space="preserve"> </w:t>
      </w:r>
      <w:r>
        <w:rPr>
          <w:b/>
          <w:i/>
          <w:sz w:val="24"/>
        </w:rPr>
        <w:t>well.</w:t>
      </w:r>
    </w:p>
    <w:p w14:paraId="178E4B03" w14:textId="77777777" w:rsidR="00446674" w:rsidRDefault="00446674">
      <w:pPr>
        <w:pStyle w:val="BodyText"/>
        <w:spacing w:before="9"/>
        <w:rPr>
          <w:b/>
          <w:i/>
          <w:sz w:val="23"/>
        </w:rPr>
      </w:pPr>
    </w:p>
    <w:p w14:paraId="178E4B04" w14:textId="11B474A5" w:rsidR="00446674" w:rsidRDefault="00D5722C">
      <w:pPr>
        <w:pStyle w:val="BodyText"/>
        <w:ind w:left="119"/>
      </w:pPr>
      <w:r>
        <w:t>The Certification package must include the following</w:t>
      </w:r>
      <w:r w:rsidR="00D521A0">
        <w:t xml:space="preserve"> in subfolders</w:t>
      </w:r>
      <w:r>
        <w:t>:</w:t>
      </w:r>
    </w:p>
    <w:p w14:paraId="178E4B05" w14:textId="7ACE4227" w:rsidR="00446674" w:rsidRDefault="00D521A0">
      <w:pPr>
        <w:pStyle w:val="ListParagraph"/>
        <w:numPr>
          <w:ilvl w:val="0"/>
          <w:numId w:val="3"/>
        </w:numPr>
        <w:tabs>
          <w:tab w:val="left" w:pos="479"/>
          <w:tab w:val="left" w:pos="480"/>
        </w:tabs>
        <w:spacing w:before="1" w:line="240" w:lineRule="auto"/>
        <w:ind w:hanging="361"/>
        <w:rPr>
          <w:i/>
          <w:sz w:val="24"/>
        </w:rPr>
      </w:pPr>
      <w:r>
        <w:rPr>
          <w:sz w:val="24"/>
        </w:rPr>
        <w:t>A</w:t>
      </w:r>
      <w:r w:rsidR="00D5722C">
        <w:rPr>
          <w:sz w:val="24"/>
        </w:rPr>
        <w:t xml:space="preserve">ccurately completed electronic </w:t>
      </w:r>
      <w:r w:rsidR="00D5722C">
        <w:rPr>
          <w:i/>
          <w:sz w:val="24"/>
        </w:rPr>
        <w:t>OAH Form – 10%</w:t>
      </w:r>
      <w:r w:rsidR="00D5722C">
        <w:rPr>
          <w:i/>
          <w:spacing w:val="-9"/>
          <w:sz w:val="24"/>
        </w:rPr>
        <w:t xml:space="preserve"> </w:t>
      </w:r>
      <w:r w:rsidR="00D5722C">
        <w:rPr>
          <w:i/>
          <w:sz w:val="24"/>
        </w:rPr>
        <w:t>Test</w:t>
      </w:r>
    </w:p>
    <w:p w14:paraId="178E4B06" w14:textId="77777777" w:rsidR="00446674" w:rsidRDefault="00D5722C">
      <w:pPr>
        <w:pStyle w:val="ListParagraph"/>
        <w:numPr>
          <w:ilvl w:val="0"/>
          <w:numId w:val="3"/>
        </w:numPr>
        <w:tabs>
          <w:tab w:val="left" w:pos="479"/>
          <w:tab w:val="left" w:pos="480"/>
        </w:tabs>
        <w:ind w:hanging="361"/>
        <w:rPr>
          <w:sz w:val="24"/>
        </w:rPr>
      </w:pPr>
      <w:r>
        <w:rPr>
          <w:sz w:val="24"/>
        </w:rPr>
        <w:t>Certification</w:t>
      </w:r>
      <w:r>
        <w:rPr>
          <w:spacing w:val="-3"/>
          <w:sz w:val="24"/>
        </w:rPr>
        <w:t xml:space="preserve"> </w:t>
      </w:r>
      <w:r>
        <w:rPr>
          <w:sz w:val="24"/>
        </w:rPr>
        <w:t>Checklist</w:t>
      </w:r>
    </w:p>
    <w:p w14:paraId="178E4B07" w14:textId="77777777" w:rsidR="00446674" w:rsidRDefault="00D5722C">
      <w:pPr>
        <w:pStyle w:val="ListParagraph"/>
        <w:numPr>
          <w:ilvl w:val="0"/>
          <w:numId w:val="3"/>
        </w:numPr>
        <w:tabs>
          <w:tab w:val="left" w:pos="479"/>
          <w:tab w:val="left" w:pos="480"/>
        </w:tabs>
        <w:ind w:hanging="361"/>
        <w:rPr>
          <w:sz w:val="24"/>
        </w:rPr>
      </w:pPr>
      <w:r>
        <w:rPr>
          <w:sz w:val="24"/>
        </w:rPr>
        <w:t>General Project</w:t>
      </w:r>
      <w:r>
        <w:rPr>
          <w:spacing w:val="-1"/>
          <w:sz w:val="24"/>
        </w:rPr>
        <w:t xml:space="preserve"> </w:t>
      </w:r>
      <w:r>
        <w:rPr>
          <w:sz w:val="24"/>
        </w:rPr>
        <w:t>Information</w:t>
      </w:r>
    </w:p>
    <w:p w14:paraId="178E4B08" w14:textId="77777777" w:rsidR="00446674" w:rsidRDefault="00D5722C">
      <w:pPr>
        <w:pStyle w:val="ListParagraph"/>
        <w:numPr>
          <w:ilvl w:val="0"/>
          <w:numId w:val="3"/>
        </w:numPr>
        <w:tabs>
          <w:tab w:val="left" w:pos="479"/>
          <w:tab w:val="left" w:pos="480"/>
        </w:tabs>
        <w:ind w:hanging="361"/>
        <w:rPr>
          <w:sz w:val="24"/>
        </w:rPr>
      </w:pPr>
      <w:r>
        <w:rPr>
          <w:sz w:val="24"/>
        </w:rPr>
        <w:t>Owner Certification of Property Ownership (including evidence of</w:t>
      </w:r>
      <w:r>
        <w:rPr>
          <w:spacing w:val="-8"/>
          <w:sz w:val="24"/>
        </w:rPr>
        <w:t xml:space="preserve"> </w:t>
      </w:r>
      <w:r>
        <w:rPr>
          <w:sz w:val="24"/>
        </w:rPr>
        <w:t>ownership)</w:t>
      </w:r>
    </w:p>
    <w:p w14:paraId="178E4B09" w14:textId="77777777" w:rsidR="00446674" w:rsidRDefault="00D5722C">
      <w:pPr>
        <w:pStyle w:val="ListParagraph"/>
        <w:numPr>
          <w:ilvl w:val="0"/>
          <w:numId w:val="3"/>
        </w:numPr>
        <w:tabs>
          <w:tab w:val="left" w:pos="479"/>
          <w:tab w:val="left" w:pos="480"/>
        </w:tabs>
        <w:ind w:hanging="361"/>
        <w:rPr>
          <w:sz w:val="24"/>
        </w:rPr>
      </w:pPr>
      <w:r>
        <w:rPr>
          <w:sz w:val="24"/>
        </w:rPr>
        <w:t>Settlement</w:t>
      </w:r>
      <w:r>
        <w:rPr>
          <w:spacing w:val="-1"/>
          <w:sz w:val="24"/>
        </w:rPr>
        <w:t xml:space="preserve"> </w:t>
      </w:r>
      <w:r>
        <w:rPr>
          <w:sz w:val="24"/>
        </w:rPr>
        <w:t>Statement</w:t>
      </w:r>
    </w:p>
    <w:p w14:paraId="178E4B0A" w14:textId="77777777" w:rsidR="00446674" w:rsidRDefault="00D5722C">
      <w:pPr>
        <w:pStyle w:val="ListParagraph"/>
        <w:numPr>
          <w:ilvl w:val="0"/>
          <w:numId w:val="3"/>
        </w:numPr>
        <w:tabs>
          <w:tab w:val="left" w:pos="479"/>
          <w:tab w:val="left" w:pos="480"/>
        </w:tabs>
        <w:ind w:hanging="361"/>
        <w:rPr>
          <w:sz w:val="24"/>
        </w:rPr>
      </w:pPr>
      <w:r>
        <w:rPr>
          <w:sz w:val="24"/>
        </w:rPr>
        <w:t>Exhibit A: Legal Description of</w:t>
      </w:r>
      <w:r>
        <w:rPr>
          <w:spacing w:val="-2"/>
          <w:sz w:val="24"/>
        </w:rPr>
        <w:t xml:space="preserve"> </w:t>
      </w:r>
      <w:r>
        <w:rPr>
          <w:sz w:val="24"/>
        </w:rPr>
        <w:t>Property</w:t>
      </w:r>
    </w:p>
    <w:p w14:paraId="178E4B0B" w14:textId="77777777" w:rsidR="00446674" w:rsidRDefault="00D5722C">
      <w:pPr>
        <w:pStyle w:val="ListParagraph"/>
        <w:numPr>
          <w:ilvl w:val="0"/>
          <w:numId w:val="3"/>
        </w:numPr>
        <w:tabs>
          <w:tab w:val="left" w:pos="479"/>
          <w:tab w:val="left" w:pos="480"/>
        </w:tabs>
        <w:ind w:hanging="361"/>
        <w:rPr>
          <w:sz w:val="24"/>
        </w:rPr>
      </w:pPr>
      <w:r>
        <w:rPr>
          <w:sz w:val="24"/>
        </w:rPr>
        <w:t>Development</w:t>
      </w:r>
      <w:r>
        <w:rPr>
          <w:spacing w:val="-1"/>
          <w:sz w:val="24"/>
        </w:rPr>
        <w:t xml:space="preserve"> </w:t>
      </w:r>
      <w:r>
        <w:rPr>
          <w:sz w:val="24"/>
        </w:rPr>
        <w:t>Agreement</w:t>
      </w:r>
    </w:p>
    <w:p w14:paraId="178E4B0C" w14:textId="77777777" w:rsidR="00446674" w:rsidRDefault="00D5722C">
      <w:pPr>
        <w:pStyle w:val="ListParagraph"/>
        <w:numPr>
          <w:ilvl w:val="0"/>
          <w:numId w:val="3"/>
        </w:numPr>
        <w:tabs>
          <w:tab w:val="left" w:pos="479"/>
          <w:tab w:val="left" w:pos="480"/>
        </w:tabs>
        <w:ind w:hanging="361"/>
        <w:rPr>
          <w:sz w:val="24"/>
        </w:rPr>
      </w:pPr>
      <w:r>
        <w:rPr>
          <w:sz w:val="24"/>
        </w:rPr>
        <w:t>Independent Auditor’s</w:t>
      </w:r>
      <w:r>
        <w:rPr>
          <w:spacing w:val="-2"/>
          <w:sz w:val="24"/>
        </w:rPr>
        <w:t xml:space="preserve"> </w:t>
      </w:r>
      <w:r>
        <w:rPr>
          <w:sz w:val="24"/>
        </w:rPr>
        <w:t>Report</w:t>
      </w:r>
    </w:p>
    <w:p w14:paraId="178E4B0D" w14:textId="77777777" w:rsidR="00446674" w:rsidRDefault="00D5722C">
      <w:pPr>
        <w:pStyle w:val="ListParagraph"/>
        <w:numPr>
          <w:ilvl w:val="0"/>
          <w:numId w:val="3"/>
        </w:numPr>
        <w:tabs>
          <w:tab w:val="left" w:pos="479"/>
          <w:tab w:val="left" w:pos="480"/>
        </w:tabs>
        <w:ind w:hanging="361"/>
        <w:rPr>
          <w:sz w:val="24"/>
        </w:rPr>
      </w:pPr>
      <w:r>
        <w:rPr>
          <w:sz w:val="24"/>
        </w:rPr>
        <w:t>10% Test: Computation and Certification of Basis</w:t>
      </w:r>
      <w:r>
        <w:rPr>
          <w:spacing w:val="-5"/>
          <w:sz w:val="24"/>
        </w:rPr>
        <w:t xml:space="preserve"> </w:t>
      </w:r>
      <w:r>
        <w:rPr>
          <w:sz w:val="24"/>
        </w:rPr>
        <w:t>Expenditure</w:t>
      </w:r>
    </w:p>
    <w:p w14:paraId="178E4B0E" w14:textId="77777777" w:rsidR="00446674" w:rsidRDefault="00D5722C">
      <w:pPr>
        <w:pStyle w:val="ListParagraph"/>
        <w:numPr>
          <w:ilvl w:val="0"/>
          <w:numId w:val="3"/>
        </w:numPr>
        <w:tabs>
          <w:tab w:val="left" w:pos="479"/>
          <w:tab w:val="left" w:pos="480"/>
        </w:tabs>
        <w:ind w:hanging="361"/>
        <w:rPr>
          <w:sz w:val="24"/>
        </w:rPr>
      </w:pPr>
      <w:r>
        <w:rPr>
          <w:sz w:val="24"/>
        </w:rPr>
        <w:t>For USDA/FmHA projects</w:t>
      </w:r>
      <w:r>
        <w:rPr>
          <w:spacing w:val="-2"/>
          <w:sz w:val="24"/>
        </w:rPr>
        <w:t xml:space="preserve"> </w:t>
      </w:r>
      <w:r>
        <w:rPr>
          <w:sz w:val="24"/>
        </w:rPr>
        <w:t>only:</w:t>
      </w:r>
    </w:p>
    <w:p w14:paraId="178E4B0F" w14:textId="77777777" w:rsidR="00446674" w:rsidRDefault="00D5722C">
      <w:pPr>
        <w:pStyle w:val="ListParagraph"/>
        <w:numPr>
          <w:ilvl w:val="1"/>
          <w:numId w:val="3"/>
        </w:numPr>
        <w:tabs>
          <w:tab w:val="left" w:pos="1379"/>
          <w:tab w:val="left" w:pos="1380"/>
        </w:tabs>
        <w:ind w:hanging="361"/>
        <w:rPr>
          <w:sz w:val="24"/>
        </w:rPr>
      </w:pPr>
      <w:r>
        <w:rPr>
          <w:sz w:val="24"/>
        </w:rPr>
        <w:t>Mortgage Obligation – Funds</w:t>
      </w:r>
      <w:r>
        <w:rPr>
          <w:spacing w:val="-1"/>
          <w:sz w:val="24"/>
        </w:rPr>
        <w:t xml:space="preserve"> </w:t>
      </w:r>
      <w:r>
        <w:rPr>
          <w:sz w:val="24"/>
        </w:rPr>
        <w:t>Analysis</w:t>
      </w:r>
    </w:p>
    <w:p w14:paraId="178E4B10" w14:textId="77777777" w:rsidR="00446674" w:rsidRDefault="00D5722C">
      <w:pPr>
        <w:pStyle w:val="ListParagraph"/>
        <w:numPr>
          <w:ilvl w:val="1"/>
          <w:numId w:val="3"/>
        </w:numPr>
        <w:tabs>
          <w:tab w:val="left" w:pos="1379"/>
          <w:tab w:val="left" w:pos="1380"/>
        </w:tabs>
        <w:ind w:hanging="361"/>
        <w:rPr>
          <w:sz w:val="24"/>
        </w:rPr>
      </w:pPr>
      <w:r>
        <w:rPr>
          <w:sz w:val="24"/>
        </w:rPr>
        <w:t>Estimate and Certification of Actual</w:t>
      </w:r>
      <w:r>
        <w:rPr>
          <w:spacing w:val="-2"/>
          <w:sz w:val="24"/>
        </w:rPr>
        <w:t xml:space="preserve"> </w:t>
      </w:r>
      <w:r>
        <w:rPr>
          <w:sz w:val="24"/>
        </w:rPr>
        <w:t>Cost</w:t>
      </w:r>
    </w:p>
    <w:p w14:paraId="178E4B11" w14:textId="77777777" w:rsidR="00446674" w:rsidRDefault="00446674">
      <w:pPr>
        <w:pStyle w:val="BodyText"/>
        <w:spacing w:before="9"/>
        <w:rPr>
          <w:sz w:val="23"/>
        </w:rPr>
      </w:pPr>
    </w:p>
    <w:p w14:paraId="178E4B12" w14:textId="0B5AD68A" w:rsidR="00446674" w:rsidRDefault="00D5722C">
      <w:pPr>
        <w:pStyle w:val="BodyText"/>
        <w:ind w:left="119"/>
      </w:pPr>
      <w:r>
        <w:t xml:space="preserve">Please label the submission with the following information on </w:t>
      </w:r>
      <w:r w:rsidR="00511817">
        <w:t>the zip file</w:t>
      </w:r>
      <w:r>
        <w:t>:</w:t>
      </w:r>
    </w:p>
    <w:p w14:paraId="178E4B14" w14:textId="60CAC90C" w:rsidR="00446674" w:rsidRDefault="00D5722C">
      <w:pPr>
        <w:pStyle w:val="ListParagraph"/>
        <w:numPr>
          <w:ilvl w:val="0"/>
          <w:numId w:val="2"/>
        </w:numPr>
        <w:tabs>
          <w:tab w:val="left" w:pos="1739"/>
          <w:tab w:val="left" w:pos="1740"/>
        </w:tabs>
        <w:spacing w:line="240" w:lineRule="auto"/>
        <w:ind w:hanging="721"/>
        <w:rPr>
          <w:sz w:val="24"/>
        </w:rPr>
      </w:pPr>
      <w:r>
        <w:rPr>
          <w:sz w:val="24"/>
        </w:rPr>
        <w:t>Project Name and</w:t>
      </w:r>
      <w:r w:rsidR="00177E3B">
        <w:rPr>
          <w:sz w:val="24"/>
        </w:rPr>
        <w:t xml:space="preserve"> DCA Project</w:t>
      </w:r>
      <w:r>
        <w:rPr>
          <w:spacing w:val="-1"/>
          <w:sz w:val="24"/>
        </w:rPr>
        <w:t xml:space="preserve"> </w:t>
      </w:r>
      <w:r>
        <w:rPr>
          <w:sz w:val="24"/>
        </w:rPr>
        <w:t>Number</w:t>
      </w:r>
    </w:p>
    <w:p w14:paraId="178E4B16" w14:textId="77777777" w:rsidR="00446674" w:rsidRDefault="00446674">
      <w:pPr>
        <w:pStyle w:val="BodyText"/>
      </w:pPr>
    </w:p>
    <w:p w14:paraId="6E30C754" w14:textId="6D7C709D" w:rsidR="00D521A0" w:rsidRDefault="00D521A0">
      <w:pPr>
        <w:pStyle w:val="BodyText"/>
        <w:ind w:left="120" w:right="119"/>
        <w:jc w:val="both"/>
      </w:pPr>
      <w:r>
        <w:t>All submissions should be sent via zip</w:t>
      </w:r>
      <w:r>
        <w:t xml:space="preserve"> file within subfolders to </w:t>
      </w:r>
      <w:hyperlink r:id="rId12" w:history="1">
        <w:r w:rsidRPr="00B7600A">
          <w:rPr>
            <w:rStyle w:val="Hyperlink"/>
          </w:rPr>
          <w:t>Development@dca.ga.gov</w:t>
        </w:r>
      </w:hyperlink>
    </w:p>
    <w:p w14:paraId="3DF1D1C5" w14:textId="77777777" w:rsidR="00D521A0" w:rsidRDefault="00D521A0">
      <w:pPr>
        <w:pStyle w:val="BodyText"/>
        <w:ind w:left="120" w:right="119"/>
        <w:jc w:val="both"/>
      </w:pPr>
    </w:p>
    <w:p w14:paraId="178E4B17" w14:textId="37B67845" w:rsidR="00446674" w:rsidRDefault="00D5722C">
      <w:pPr>
        <w:pStyle w:val="BodyText"/>
        <w:ind w:left="120" w:right="119"/>
        <w:jc w:val="both"/>
      </w:pPr>
      <w:r>
        <w:t>.</w:t>
      </w:r>
    </w:p>
    <w:p w14:paraId="178E4B18" w14:textId="77777777" w:rsidR="00446674" w:rsidRDefault="00446674">
      <w:pPr>
        <w:jc w:val="both"/>
        <w:sectPr w:rsidR="00446674">
          <w:footerReference w:type="default" r:id="rId13"/>
          <w:type w:val="continuous"/>
          <w:pgSz w:w="12240" w:h="15840"/>
          <w:pgMar w:top="1380" w:right="1320" w:bottom="940" w:left="1320" w:header="720" w:footer="745" w:gutter="0"/>
          <w:pgNumType w:start="1"/>
          <w:cols w:space="720"/>
        </w:sectPr>
      </w:pPr>
    </w:p>
    <w:p w14:paraId="178E4B1E" w14:textId="77777777" w:rsidR="00446674" w:rsidRDefault="00446674">
      <w:pPr>
        <w:pStyle w:val="BodyText"/>
        <w:spacing w:before="11"/>
        <w:rPr>
          <w:sz w:val="23"/>
        </w:rPr>
      </w:pPr>
      <w:bookmarkStart w:id="2" w:name="Georgia_Department_of_Community_Affairs"/>
      <w:bookmarkEnd w:id="2"/>
    </w:p>
    <w:p w14:paraId="178E4B1F" w14:textId="28F560F1" w:rsidR="00446674" w:rsidRDefault="00D5722C" w:rsidP="00D521A0">
      <w:pPr>
        <w:pStyle w:val="BodyText"/>
        <w:ind w:right="117"/>
        <w:jc w:val="both"/>
      </w:pPr>
      <w:r>
        <w:t>Please note that you must submit a Final Allocation application to DCA to request for issuance of Form(s) 8609 (please refer to your carryover allocation for the applicable deadline). The electronic final allocation application form is available at the DCA website</w:t>
      </w:r>
      <w:r>
        <w:rPr>
          <w:spacing w:val="-7"/>
        </w:rPr>
        <w:t xml:space="preserve"> </w:t>
      </w:r>
      <w:r w:rsidR="00D521A0">
        <w:t>link below</w:t>
      </w:r>
      <w:r>
        <w:t>.</w:t>
      </w:r>
    </w:p>
    <w:p w14:paraId="7149B44B" w14:textId="77777777" w:rsidR="00D521A0" w:rsidRDefault="00D521A0">
      <w:pPr>
        <w:pStyle w:val="BodyText"/>
      </w:pPr>
    </w:p>
    <w:p w14:paraId="3D4B8EE5" w14:textId="79B35ED3" w:rsidR="00D521A0" w:rsidRDefault="00D521A0">
      <w:pPr>
        <w:pStyle w:val="BodyText"/>
      </w:pPr>
      <w:hyperlink r:id="rId14" w:history="1">
        <w:r w:rsidRPr="00D521A0">
          <w:rPr>
            <w:rStyle w:val="Hyperlink"/>
          </w:rPr>
          <w:t>Final Allocation Applicati</w:t>
        </w:r>
        <w:r w:rsidRPr="00D521A0">
          <w:rPr>
            <w:rStyle w:val="Hyperlink"/>
          </w:rPr>
          <w:t>o</w:t>
        </w:r>
        <w:r w:rsidRPr="00D521A0">
          <w:rPr>
            <w:rStyle w:val="Hyperlink"/>
          </w:rPr>
          <w:t>n DCA Website Location</w:t>
        </w:r>
      </w:hyperlink>
      <w:r>
        <w:t xml:space="preserve"> </w:t>
      </w:r>
    </w:p>
    <w:p w14:paraId="31AB9D0E" w14:textId="77777777" w:rsidR="00D521A0" w:rsidRDefault="00D521A0">
      <w:pPr>
        <w:pStyle w:val="BodyText"/>
      </w:pPr>
    </w:p>
    <w:p w14:paraId="178E4B21" w14:textId="1675920D" w:rsidR="00446674" w:rsidRDefault="00D5722C" w:rsidP="00D521A0">
      <w:pPr>
        <w:pStyle w:val="BodyText"/>
        <w:ind w:right="119"/>
        <w:jc w:val="both"/>
      </w:pPr>
      <w:r>
        <w:t>If you have any questions regarding the certification of the 10% test, please contact me at (</w:t>
      </w:r>
      <w:r w:rsidR="00511817">
        <w:t>678</w:t>
      </w:r>
      <w:r>
        <w:t xml:space="preserve">) </w:t>
      </w:r>
      <w:r w:rsidR="00511817">
        <w:t>713</w:t>
      </w:r>
      <w:r w:rsidR="0065140C">
        <w:t>-</w:t>
      </w:r>
      <w:r w:rsidR="00511817">
        <w:t>9459</w:t>
      </w:r>
      <w:r>
        <w:t>.</w:t>
      </w:r>
    </w:p>
    <w:p w14:paraId="178E4B22" w14:textId="77777777" w:rsidR="00446674" w:rsidRDefault="00446674">
      <w:pPr>
        <w:jc w:val="both"/>
        <w:sectPr w:rsidR="00446674">
          <w:pgSz w:w="12240" w:h="15840"/>
          <w:pgMar w:top="1500" w:right="1320" w:bottom="940" w:left="1320" w:header="0" w:footer="745" w:gutter="0"/>
          <w:cols w:space="720"/>
        </w:sectPr>
      </w:pPr>
    </w:p>
    <w:p w14:paraId="178E4B23" w14:textId="77777777" w:rsidR="00446674" w:rsidRDefault="00446674">
      <w:pPr>
        <w:pStyle w:val="BodyText"/>
        <w:spacing w:before="3"/>
        <w:rPr>
          <w:sz w:val="11"/>
        </w:rPr>
      </w:pPr>
    </w:p>
    <w:p w14:paraId="178E4B24" w14:textId="77777777" w:rsidR="00446674" w:rsidRDefault="00D5722C">
      <w:pPr>
        <w:spacing w:before="85"/>
        <w:ind w:left="1150" w:right="1131" w:firstLine="1348"/>
        <w:rPr>
          <w:b/>
          <w:sz w:val="36"/>
        </w:rPr>
      </w:pPr>
      <w:bookmarkStart w:id="3" w:name="Certification_of_The_10%_Test"/>
      <w:bookmarkStart w:id="4" w:name="Directions_for_Automated_Application_Pro"/>
      <w:bookmarkEnd w:id="3"/>
      <w:bookmarkEnd w:id="4"/>
      <w:r>
        <w:rPr>
          <w:b/>
          <w:sz w:val="36"/>
        </w:rPr>
        <w:t>Certification of The 10% Test Directions for Automated Application Program</w:t>
      </w:r>
    </w:p>
    <w:p w14:paraId="178E4B25" w14:textId="77777777" w:rsidR="00446674" w:rsidRDefault="00446674">
      <w:pPr>
        <w:pStyle w:val="BodyText"/>
        <w:spacing w:before="9"/>
        <w:rPr>
          <w:b/>
          <w:sz w:val="47"/>
        </w:rPr>
      </w:pPr>
    </w:p>
    <w:p w14:paraId="178E4B26" w14:textId="77777777" w:rsidR="00446674" w:rsidRDefault="00D5722C">
      <w:pPr>
        <w:pStyle w:val="BodyText"/>
        <w:spacing w:before="1"/>
        <w:ind w:left="120"/>
      </w:pPr>
      <w:r>
        <w:rPr>
          <w:b/>
          <w:i/>
        </w:rPr>
        <w:t>IMPORTANT NOTE</w:t>
      </w:r>
      <w:r>
        <w:t>: The Certification of The 10% Test computer program is written in Microsoft Excel 2007.</w:t>
      </w:r>
    </w:p>
    <w:p w14:paraId="178E4B27" w14:textId="77777777" w:rsidR="00446674" w:rsidRDefault="00446674">
      <w:pPr>
        <w:pStyle w:val="BodyText"/>
        <w:spacing w:before="3"/>
      </w:pPr>
    </w:p>
    <w:p w14:paraId="178E4B28" w14:textId="77777777" w:rsidR="00446674" w:rsidRDefault="00D5722C">
      <w:pPr>
        <w:pStyle w:val="Heading1"/>
        <w:rPr>
          <w:sz w:val="24"/>
        </w:rPr>
      </w:pPr>
      <w:r>
        <w:t>Before attempting to complete the Certification of the 10% Test, please read all directions carefully</w:t>
      </w:r>
      <w:r>
        <w:rPr>
          <w:sz w:val="24"/>
        </w:rPr>
        <w:t>.</w:t>
      </w:r>
    </w:p>
    <w:p w14:paraId="178E4B29" w14:textId="77777777" w:rsidR="00446674" w:rsidRDefault="00446674">
      <w:pPr>
        <w:pStyle w:val="BodyText"/>
        <w:spacing w:before="7"/>
        <w:rPr>
          <w:b/>
          <w:sz w:val="23"/>
        </w:rPr>
      </w:pPr>
    </w:p>
    <w:p w14:paraId="178E4B2A" w14:textId="77777777" w:rsidR="00446674" w:rsidRDefault="00D5722C">
      <w:pPr>
        <w:pStyle w:val="ListParagraph"/>
        <w:numPr>
          <w:ilvl w:val="0"/>
          <w:numId w:val="1"/>
        </w:numPr>
        <w:tabs>
          <w:tab w:val="left" w:pos="480"/>
        </w:tabs>
        <w:spacing w:line="240" w:lineRule="auto"/>
        <w:rPr>
          <w:sz w:val="24"/>
        </w:rPr>
      </w:pPr>
      <w:r>
        <w:rPr>
          <w:sz w:val="24"/>
        </w:rPr>
        <w:t>Please fill in only the areas shaded in green. Non-green cells are not for applicant</w:t>
      </w:r>
      <w:r>
        <w:rPr>
          <w:spacing w:val="-13"/>
          <w:sz w:val="24"/>
        </w:rPr>
        <w:t xml:space="preserve"> </w:t>
      </w:r>
      <w:r>
        <w:rPr>
          <w:sz w:val="24"/>
        </w:rPr>
        <w:t>use.</w:t>
      </w:r>
    </w:p>
    <w:p w14:paraId="178E4B2B" w14:textId="77777777" w:rsidR="00446674" w:rsidRDefault="00446674">
      <w:pPr>
        <w:pStyle w:val="BodyText"/>
      </w:pPr>
    </w:p>
    <w:p w14:paraId="178E4B2C" w14:textId="77777777" w:rsidR="00446674" w:rsidRDefault="00D5722C">
      <w:pPr>
        <w:pStyle w:val="ListParagraph"/>
        <w:numPr>
          <w:ilvl w:val="0"/>
          <w:numId w:val="1"/>
        </w:numPr>
        <w:tabs>
          <w:tab w:val="left" w:pos="480"/>
        </w:tabs>
        <w:spacing w:line="240" w:lineRule="auto"/>
        <w:ind w:left="479" w:right="118"/>
        <w:jc w:val="both"/>
        <w:rPr>
          <w:sz w:val="24"/>
        </w:rPr>
      </w:pPr>
      <w:r>
        <w:rPr>
          <w:sz w:val="24"/>
        </w:rPr>
        <w:t>In general, cells with black-font characters are formula or text cells that should not be changed by the</w:t>
      </w:r>
      <w:r>
        <w:rPr>
          <w:spacing w:val="-1"/>
          <w:sz w:val="24"/>
        </w:rPr>
        <w:t xml:space="preserve"> </w:t>
      </w:r>
      <w:r>
        <w:rPr>
          <w:sz w:val="24"/>
        </w:rPr>
        <w:t>applicant.</w:t>
      </w:r>
    </w:p>
    <w:p w14:paraId="178E4B2D" w14:textId="77777777" w:rsidR="00446674" w:rsidRDefault="00446674">
      <w:pPr>
        <w:pStyle w:val="BodyText"/>
      </w:pPr>
    </w:p>
    <w:p w14:paraId="178E4B2E" w14:textId="77777777" w:rsidR="00446674" w:rsidRDefault="00D5722C">
      <w:pPr>
        <w:pStyle w:val="ListParagraph"/>
        <w:numPr>
          <w:ilvl w:val="0"/>
          <w:numId w:val="1"/>
        </w:numPr>
        <w:tabs>
          <w:tab w:val="left" w:pos="480"/>
        </w:tabs>
        <w:spacing w:before="1" w:line="240" w:lineRule="auto"/>
        <w:ind w:left="479" w:right="117"/>
        <w:jc w:val="both"/>
        <w:rPr>
          <w:sz w:val="24"/>
        </w:rPr>
      </w:pPr>
      <w:r>
        <w:rPr>
          <w:sz w:val="24"/>
        </w:rPr>
        <w:t>In general, cells with color-font characters are formula or text cells that may be changed by the applicant. However, please exercise caution when making any</w:t>
      </w:r>
      <w:r>
        <w:rPr>
          <w:spacing w:val="-7"/>
          <w:sz w:val="24"/>
        </w:rPr>
        <w:t xml:space="preserve"> </w:t>
      </w:r>
      <w:r>
        <w:rPr>
          <w:sz w:val="24"/>
        </w:rPr>
        <w:t>changes.</w:t>
      </w:r>
    </w:p>
    <w:p w14:paraId="178E4B2F" w14:textId="77777777" w:rsidR="00446674" w:rsidRDefault="00446674">
      <w:pPr>
        <w:pStyle w:val="BodyText"/>
        <w:spacing w:before="11"/>
        <w:rPr>
          <w:sz w:val="23"/>
        </w:rPr>
      </w:pPr>
    </w:p>
    <w:p w14:paraId="178E4B30" w14:textId="77777777" w:rsidR="00446674" w:rsidRDefault="00D5722C">
      <w:pPr>
        <w:pStyle w:val="ListParagraph"/>
        <w:numPr>
          <w:ilvl w:val="0"/>
          <w:numId w:val="1"/>
        </w:numPr>
        <w:tabs>
          <w:tab w:val="left" w:pos="480"/>
        </w:tabs>
        <w:spacing w:line="240" w:lineRule="auto"/>
        <w:ind w:left="479" w:right="117"/>
        <w:jc w:val="both"/>
        <w:rPr>
          <w:sz w:val="24"/>
        </w:rPr>
      </w:pPr>
      <w:r>
        <w:rPr>
          <w:sz w:val="24"/>
        </w:rPr>
        <w:t>Please do not create new cell references, either to other cells in the application or to other spreadsheets that you may be using. Such new references may cause errors, circular references, or other problems that may render the electronic application useless. Do not delete existing tabs in this Excel workbook. Do not transfer tabs from external workbooks into this</w:t>
      </w:r>
      <w:r>
        <w:rPr>
          <w:spacing w:val="-1"/>
          <w:sz w:val="24"/>
        </w:rPr>
        <w:t xml:space="preserve"> </w:t>
      </w:r>
      <w:r>
        <w:rPr>
          <w:sz w:val="24"/>
        </w:rPr>
        <w:t>workbook.</w:t>
      </w:r>
    </w:p>
    <w:p w14:paraId="178E4B31" w14:textId="77777777" w:rsidR="00446674" w:rsidRDefault="00446674">
      <w:pPr>
        <w:pStyle w:val="BodyText"/>
      </w:pPr>
    </w:p>
    <w:p w14:paraId="178E4B32" w14:textId="77777777" w:rsidR="00446674" w:rsidRDefault="00D5722C">
      <w:pPr>
        <w:pStyle w:val="ListParagraph"/>
        <w:numPr>
          <w:ilvl w:val="0"/>
          <w:numId w:val="1"/>
        </w:numPr>
        <w:tabs>
          <w:tab w:val="left" w:pos="480"/>
        </w:tabs>
        <w:spacing w:line="240" w:lineRule="auto"/>
        <w:ind w:left="479" w:right="117"/>
        <w:jc w:val="both"/>
        <w:rPr>
          <w:sz w:val="24"/>
        </w:rPr>
      </w:pPr>
      <w:r>
        <w:rPr>
          <w:sz w:val="24"/>
        </w:rPr>
        <w:t>This computer program has been designed so that certain pieces of information, such as the project name and address, need only be entered once. In order to take advantage of this feature, please enter information in the order in which it appears in the</w:t>
      </w:r>
      <w:r>
        <w:rPr>
          <w:spacing w:val="-11"/>
          <w:sz w:val="24"/>
        </w:rPr>
        <w:t xml:space="preserve"> </w:t>
      </w:r>
      <w:r>
        <w:rPr>
          <w:sz w:val="24"/>
        </w:rPr>
        <w:t>program.</w:t>
      </w:r>
    </w:p>
    <w:p w14:paraId="178E4B33" w14:textId="77777777" w:rsidR="00446674" w:rsidRDefault="00446674">
      <w:pPr>
        <w:pStyle w:val="BodyText"/>
      </w:pPr>
    </w:p>
    <w:p w14:paraId="178E4B34" w14:textId="77777777" w:rsidR="00446674" w:rsidRDefault="00D5722C">
      <w:pPr>
        <w:pStyle w:val="ListParagraph"/>
        <w:numPr>
          <w:ilvl w:val="0"/>
          <w:numId w:val="1"/>
        </w:numPr>
        <w:tabs>
          <w:tab w:val="left" w:pos="480"/>
        </w:tabs>
        <w:spacing w:line="240" w:lineRule="auto"/>
        <w:ind w:left="479" w:right="117"/>
        <w:jc w:val="both"/>
        <w:rPr>
          <w:sz w:val="24"/>
        </w:rPr>
      </w:pPr>
      <w:r>
        <w:rPr>
          <w:sz w:val="24"/>
        </w:rPr>
        <w:t>Cells with red shading in the upper right-hand corner contain additional cell-specific instructions. These instructions may be accessed by placing the cursor over the</w:t>
      </w:r>
      <w:r>
        <w:rPr>
          <w:spacing w:val="-13"/>
          <w:sz w:val="24"/>
        </w:rPr>
        <w:t xml:space="preserve"> </w:t>
      </w:r>
      <w:r>
        <w:rPr>
          <w:sz w:val="24"/>
        </w:rPr>
        <w:t>cell.</w:t>
      </w:r>
    </w:p>
    <w:p w14:paraId="178E4B35" w14:textId="77777777" w:rsidR="00446674" w:rsidRDefault="00446674">
      <w:pPr>
        <w:pStyle w:val="BodyText"/>
        <w:rPr>
          <w:sz w:val="26"/>
        </w:rPr>
      </w:pPr>
    </w:p>
    <w:p w14:paraId="178E4B36" w14:textId="77777777" w:rsidR="00446674" w:rsidRDefault="00446674">
      <w:pPr>
        <w:pStyle w:val="BodyText"/>
        <w:spacing w:before="3"/>
        <w:rPr>
          <w:sz w:val="22"/>
        </w:rPr>
      </w:pPr>
    </w:p>
    <w:p w14:paraId="178E4B37" w14:textId="77777777" w:rsidR="00446674" w:rsidRDefault="00D5722C">
      <w:pPr>
        <w:pStyle w:val="Heading2"/>
      </w:pPr>
      <w:r>
        <w:rPr>
          <w:u w:val="thick"/>
        </w:rPr>
        <w:t>The following sections must be completed prior to submission to DCA.</w:t>
      </w:r>
    </w:p>
    <w:p w14:paraId="178E4B38" w14:textId="77777777" w:rsidR="00446674" w:rsidRDefault="00446674">
      <w:pPr>
        <w:pStyle w:val="BodyText"/>
        <w:spacing w:before="2"/>
        <w:rPr>
          <w:b/>
          <w:sz w:val="16"/>
        </w:rPr>
      </w:pPr>
    </w:p>
    <w:p w14:paraId="178E4B39" w14:textId="77777777" w:rsidR="00446674" w:rsidRDefault="00D5722C">
      <w:pPr>
        <w:spacing w:before="90" w:line="275" w:lineRule="exact"/>
        <w:ind w:left="120"/>
        <w:rPr>
          <w:b/>
          <w:sz w:val="24"/>
        </w:rPr>
      </w:pPr>
      <w:bookmarkStart w:id="5" w:name="Certification_Checklist_(p._1)"/>
      <w:bookmarkEnd w:id="5"/>
      <w:r>
        <w:rPr>
          <w:b/>
          <w:sz w:val="24"/>
        </w:rPr>
        <w:t>Certification Checklist (p. 1)</w:t>
      </w:r>
    </w:p>
    <w:p w14:paraId="178E4B3A" w14:textId="77777777" w:rsidR="00446674" w:rsidRDefault="00D5722C">
      <w:pPr>
        <w:pStyle w:val="BodyText"/>
        <w:spacing w:line="275" w:lineRule="exact"/>
        <w:ind w:left="120"/>
      </w:pPr>
      <w:r>
        <w:t>This section is included at the beginning of the computer worksheet.</w:t>
      </w:r>
    </w:p>
    <w:p w14:paraId="178E4B3B" w14:textId="77777777" w:rsidR="00446674" w:rsidRDefault="00446674">
      <w:pPr>
        <w:pStyle w:val="BodyText"/>
        <w:spacing w:before="2"/>
      </w:pPr>
    </w:p>
    <w:p w14:paraId="178E4B3C" w14:textId="77777777" w:rsidR="00446674" w:rsidRDefault="00D5722C">
      <w:pPr>
        <w:pStyle w:val="Heading2"/>
        <w:spacing w:line="275" w:lineRule="exact"/>
      </w:pPr>
      <w:r>
        <w:t>General Project Information and Owner Certification of Property Ownership (pp. 2-3)</w:t>
      </w:r>
    </w:p>
    <w:p w14:paraId="178E4B3D" w14:textId="77777777" w:rsidR="00446674" w:rsidRDefault="00D5722C">
      <w:pPr>
        <w:pStyle w:val="BodyText"/>
        <w:spacing w:line="275" w:lineRule="exact"/>
        <w:ind w:left="120"/>
      </w:pPr>
      <w:r>
        <w:t>Complete all information on page 2.</w:t>
      </w:r>
    </w:p>
    <w:p w14:paraId="178E4B3E" w14:textId="77777777" w:rsidR="00446674" w:rsidRDefault="00446674">
      <w:pPr>
        <w:pStyle w:val="BodyText"/>
      </w:pPr>
    </w:p>
    <w:p w14:paraId="178E4B3F" w14:textId="77777777" w:rsidR="00446674" w:rsidRDefault="00D5722C">
      <w:pPr>
        <w:pStyle w:val="BodyText"/>
        <w:ind w:left="120"/>
      </w:pPr>
      <w:r>
        <w:t>Please complete the Owner Certification of Property Ownership on page 3; submit evidence of property ownership and the settlement statement to DCA.</w:t>
      </w:r>
    </w:p>
    <w:p w14:paraId="178E4B40" w14:textId="77777777" w:rsidR="00446674" w:rsidRDefault="00446674">
      <w:pPr>
        <w:sectPr w:rsidR="00446674">
          <w:pgSz w:w="12240" w:h="15840"/>
          <w:pgMar w:top="1500" w:right="1320" w:bottom="940" w:left="1320" w:header="0" w:footer="745" w:gutter="0"/>
          <w:cols w:space="720"/>
        </w:sectPr>
      </w:pPr>
    </w:p>
    <w:p w14:paraId="178E4B41" w14:textId="77777777" w:rsidR="00446674" w:rsidRDefault="00D5722C">
      <w:pPr>
        <w:pStyle w:val="BodyText"/>
        <w:spacing w:before="76"/>
        <w:ind w:left="120" w:right="118"/>
        <w:jc w:val="both"/>
      </w:pPr>
      <w:r>
        <w:lastRenderedPageBreak/>
        <w:t>Please note that if there is any change to the project concept (such as unit mix, # of BINs), the owner must submit a separate written request to DCA and obtain DCA’s approval before it takes effect.</w:t>
      </w:r>
    </w:p>
    <w:p w14:paraId="178E4B42" w14:textId="77777777" w:rsidR="00446674" w:rsidRDefault="00446674">
      <w:pPr>
        <w:pStyle w:val="BodyText"/>
        <w:spacing w:before="3"/>
      </w:pPr>
    </w:p>
    <w:p w14:paraId="178E4B43" w14:textId="77777777" w:rsidR="00446674" w:rsidRDefault="00D5722C">
      <w:pPr>
        <w:pStyle w:val="Heading2"/>
        <w:ind w:left="119" w:right="116"/>
        <w:jc w:val="both"/>
      </w:pPr>
      <w:r>
        <w:t>Computation and Certification of Basis Expenditure – 10% Test (pp. 4-6; Accountant’s Letter)</w:t>
      </w:r>
    </w:p>
    <w:p w14:paraId="178E4B44" w14:textId="77777777" w:rsidR="00446674" w:rsidRDefault="00446674">
      <w:pPr>
        <w:pStyle w:val="BodyText"/>
        <w:spacing w:before="10"/>
        <w:rPr>
          <w:b/>
          <w:sz w:val="23"/>
        </w:rPr>
      </w:pPr>
    </w:p>
    <w:p w14:paraId="178E4B45" w14:textId="77777777" w:rsidR="00446674" w:rsidRDefault="00D5722C">
      <w:pPr>
        <w:ind w:left="119"/>
        <w:jc w:val="both"/>
        <w:rPr>
          <w:i/>
          <w:sz w:val="24"/>
        </w:rPr>
      </w:pPr>
      <w:r>
        <w:rPr>
          <w:i/>
          <w:sz w:val="24"/>
        </w:rPr>
        <w:t xml:space="preserve">This form </w:t>
      </w:r>
      <w:r>
        <w:rPr>
          <w:b/>
          <w:i/>
          <w:sz w:val="24"/>
        </w:rPr>
        <w:t xml:space="preserve">must </w:t>
      </w:r>
      <w:r>
        <w:rPr>
          <w:i/>
          <w:sz w:val="24"/>
        </w:rPr>
        <w:t>be completed and signed by an independent Certified Public Accountant.</w:t>
      </w:r>
    </w:p>
    <w:p w14:paraId="178E4B46" w14:textId="77777777" w:rsidR="00446674" w:rsidRDefault="00446674">
      <w:pPr>
        <w:pStyle w:val="BodyText"/>
        <w:spacing w:before="10"/>
        <w:rPr>
          <w:i/>
          <w:sz w:val="23"/>
        </w:rPr>
      </w:pPr>
    </w:p>
    <w:p w14:paraId="178E4B47" w14:textId="77777777" w:rsidR="00446674" w:rsidRDefault="00D5722C">
      <w:pPr>
        <w:pStyle w:val="BodyText"/>
        <w:spacing w:before="1"/>
        <w:ind w:left="119" w:right="118"/>
        <w:jc w:val="both"/>
      </w:pPr>
      <w:r>
        <w:t xml:space="preserve">This spreadsheet has been designed to perform the 10% test: it will determine </w:t>
      </w:r>
      <w:proofErr w:type="gramStart"/>
      <w:r>
        <w:t>whether or not</w:t>
      </w:r>
      <w:proofErr w:type="gramEnd"/>
      <w:r>
        <w:t xml:space="preserve"> the 10% test has been met.</w:t>
      </w:r>
    </w:p>
    <w:p w14:paraId="178E4B48" w14:textId="77777777" w:rsidR="00446674" w:rsidRDefault="00446674">
      <w:pPr>
        <w:pStyle w:val="BodyText"/>
      </w:pPr>
    </w:p>
    <w:p w14:paraId="178E4B49" w14:textId="77777777" w:rsidR="00446674" w:rsidRDefault="00D5722C">
      <w:pPr>
        <w:pStyle w:val="BodyText"/>
        <w:ind w:left="119" w:right="118"/>
        <w:jc w:val="both"/>
      </w:pPr>
      <w:r>
        <w:t xml:space="preserve">The “Total Cost” column should include </w:t>
      </w:r>
      <w:r>
        <w:rPr>
          <w:b/>
        </w:rPr>
        <w:t xml:space="preserve">all </w:t>
      </w:r>
      <w:r>
        <w:t xml:space="preserve">projected development costs. The “Accumulated Basis” column should include, on a line item basis, the amount of funds </w:t>
      </w:r>
      <w:r>
        <w:rPr>
          <w:b/>
        </w:rPr>
        <w:t xml:space="preserve">expended </w:t>
      </w:r>
      <w:r>
        <w:t>to date. Under no circumstances should the amounts in the “Accumulated Basis” column exceed the amounts the “Total Cost” column. All applicable line items must be completed. Any costs that are shown as “Other” must be specifically</w:t>
      </w:r>
      <w:r>
        <w:rPr>
          <w:spacing w:val="-2"/>
        </w:rPr>
        <w:t xml:space="preserve"> </w:t>
      </w:r>
      <w:r>
        <w:t>identified.</w:t>
      </w:r>
    </w:p>
    <w:p w14:paraId="178E4B4A" w14:textId="77777777" w:rsidR="00446674" w:rsidRDefault="00446674">
      <w:pPr>
        <w:pStyle w:val="BodyText"/>
      </w:pPr>
    </w:p>
    <w:p w14:paraId="178E4B4B" w14:textId="77777777" w:rsidR="00446674" w:rsidRDefault="00D5722C">
      <w:pPr>
        <w:pStyle w:val="BodyText"/>
        <w:ind w:left="120" w:right="117"/>
        <w:jc w:val="both"/>
      </w:pPr>
      <w:r>
        <w:t>The “Reasonably Expected Basis in the Project” can be found in the carryover allocation document for your project. Please enter such amount in the specified cell. After all the above information has been entered, the computer program will determine what percentage of Reasonably Expected has been</w:t>
      </w:r>
      <w:r>
        <w:rPr>
          <w:spacing w:val="-3"/>
        </w:rPr>
        <w:t xml:space="preserve"> </w:t>
      </w:r>
      <w:r>
        <w:t>expended.</w:t>
      </w:r>
    </w:p>
    <w:p w14:paraId="178E4B4C" w14:textId="77777777" w:rsidR="00446674" w:rsidRDefault="00446674">
      <w:pPr>
        <w:pStyle w:val="BodyText"/>
      </w:pPr>
    </w:p>
    <w:p w14:paraId="178E4B4D" w14:textId="77777777" w:rsidR="00446674" w:rsidRDefault="00D5722C">
      <w:pPr>
        <w:pStyle w:val="BodyText"/>
        <w:ind w:left="120" w:right="118"/>
        <w:jc w:val="both"/>
      </w:pPr>
      <w:r>
        <w:t xml:space="preserve">The amount required to be expended is </w:t>
      </w:r>
      <w:r>
        <w:rPr>
          <w:b/>
        </w:rPr>
        <w:t xml:space="preserve">more than </w:t>
      </w:r>
      <w:r>
        <w:t>10 percent of the “taxpayer’s reasonably expected basis” in the project.</w:t>
      </w:r>
    </w:p>
    <w:p w14:paraId="178E4B4E" w14:textId="77777777" w:rsidR="00446674" w:rsidRDefault="00446674">
      <w:pPr>
        <w:pStyle w:val="BodyText"/>
        <w:spacing w:before="10"/>
        <w:rPr>
          <w:sz w:val="23"/>
        </w:rPr>
      </w:pPr>
    </w:p>
    <w:p w14:paraId="178E4B4F" w14:textId="77777777" w:rsidR="00446674" w:rsidRDefault="00D5722C">
      <w:pPr>
        <w:pStyle w:val="BodyText"/>
        <w:ind w:left="120" w:right="118"/>
        <w:jc w:val="both"/>
      </w:pPr>
      <w:r>
        <w:t xml:space="preserve">In determining reasonably expected basis and </w:t>
      </w:r>
      <w:proofErr w:type="gramStart"/>
      <w:r>
        <w:t>whether or not</w:t>
      </w:r>
      <w:proofErr w:type="gramEnd"/>
      <w:r>
        <w:t xml:space="preserve"> the project meets the 10% requirement for Carryover Allocation, Applicants should </w:t>
      </w:r>
      <w:r>
        <w:rPr>
          <w:b/>
        </w:rPr>
        <w:t xml:space="preserve">not </w:t>
      </w:r>
      <w:r>
        <w:t>consider any increase in eligible basis due to the project’s location in a qualified census tract or difficult development area.</w:t>
      </w:r>
    </w:p>
    <w:p w14:paraId="178E4B50" w14:textId="77777777" w:rsidR="00446674" w:rsidRDefault="00446674">
      <w:pPr>
        <w:pStyle w:val="BodyText"/>
        <w:spacing w:before="3"/>
      </w:pPr>
    </w:p>
    <w:p w14:paraId="178E4B51" w14:textId="77777777" w:rsidR="00446674" w:rsidRDefault="00D5722C">
      <w:pPr>
        <w:pStyle w:val="Heading2"/>
        <w:jc w:val="both"/>
      </w:pPr>
      <w:r>
        <w:t>Independent Auditor’s Report</w:t>
      </w:r>
    </w:p>
    <w:p w14:paraId="178E4B52" w14:textId="77777777" w:rsidR="00446674" w:rsidRDefault="00446674">
      <w:pPr>
        <w:pStyle w:val="BodyText"/>
        <w:spacing w:before="9"/>
        <w:rPr>
          <w:b/>
          <w:sz w:val="23"/>
        </w:rPr>
      </w:pPr>
    </w:p>
    <w:p w14:paraId="178E4B53" w14:textId="77777777" w:rsidR="00446674" w:rsidRDefault="00D5722C">
      <w:pPr>
        <w:pStyle w:val="BodyText"/>
        <w:ind w:left="120" w:right="116"/>
        <w:jc w:val="both"/>
      </w:pPr>
      <w:r>
        <w:t xml:space="preserve">The </w:t>
      </w:r>
      <w:r>
        <w:rPr>
          <w:i/>
        </w:rPr>
        <w:t xml:space="preserve">Independent Auditor’s Report </w:t>
      </w:r>
      <w:r>
        <w:t xml:space="preserve">is for your auditor’s use. It must be printed on the letterhead of an accounting firm. The exact language in the </w:t>
      </w:r>
      <w:r>
        <w:rPr>
          <w:i/>
        </w:rPr>
        <w:t xml:space="preserve">Independent Auditor’s Report </w:t>
      </w:r>
      <w:r>
        <w:t>must be used. An exception can be made when a modification to the Report is required specific to the project, such as the audit opinion or accounting</w:t>
      </w:r>
      <w:r>
        <w:rPr>
          <w:spacing w:val="-3"/>
        </w:rPr>
        <w:t xml:space="preserve"> </w:t>
      </w:r>
      <w:r>
        <w:t>method.</w:t>
      </w:r>
    </w:p>
    <w:sectPr w:rsidR="00446674">
      <w:pgSz w:w="12240" w:h="15840"/>
      <w:pgMar w:top="1360" w:right="1320" w:bottom="940" w:left="132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EFEA" w14:textId="77777777" w:rsidR="004B09FD" w:rsidRDefault="004B09FD">
      <w:r>
        <w:separator/>
      </w:r>
    </w:p>
  </w:endnote>
  <w:endnote w:type="continuationSeparator" w:id="0">
    <w:p w14:paraId="5D5EB602" w14:textId="77777777" w:rsidR="004B09FD" w:rsidRDefault="004B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4B54" w14:textId="69FD3B00" w:rsidR="00446674" w:rsidRDefault="00BE7E8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78E4B55" wp14:editId="5BE48CDF">
              <wp:simplePos x="0" y="0"/>
              <wp:positionH relativeFrom="page">
                <wp:posOffset>3586480</wp:posOffset>
              </wp:positionH>
              <wp:positionV relativeFrom="page">
                <wp:posOffset>9445625</wp:posOffset>
              </wp:positionV>
              <wp:extent cx="60071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4B56" w14:textId="77777777" w:rsidR="00446674" w:rsidRDefault="00D5722C">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E4B55" id="_x0000_t202" coordsize="21600,21600" o:spt="202" path="m,l,21600r21600,l21600,xe">
              <v:stroke joinstyle="miter"/>
              <v:path gradientshapeok="t" o:connecttype="rect"/>
            </v:shapetype>
            <v:shape id="Text Box 1" o:spid="_x0000_s1026" type="#_x0000_t202" style="position:absolute;margin-left:282.4pt;margin-top:743.75pt;width:47.3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RjrAIAAKgFAAAOAAAAZHJzL2Uyb0RvYy54bWysVG1vmzAQ/j5p/8HydwqkhAR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" filled="f" stroked="f">
              <v:textbox inset="0,0,0,0">
                <w:txbxContent>
                  <w:p w14:paraId="178E4B56" w14:textId="77777777" w:rsidR="00446674" w:rsidRDefault="00D5722C">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EE70" w14:textId="77777777" w:rsidR="004B09FD" w:rsidRDefault="004B09FD">
      <w:r>
        <w:separator/>
      </w:r>
    </w:p>
  </w:footnote>
  <w:footnote w:type="continuationSeparator" w:id="0">
    <w:p w14:paraId="35E00508" w14:textId="77777777" w:rsidR="004B09FD" w:rsidRDefault="004B0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B64"/>
    <w:multiLevelType w:val="hybridMultilevel"/>
    <w:tmpl w:val="43A46490"/>
    <w:lvl w:ilvl="0" w:tplc="7FE036F8">
      <w:numFmt w:val="bullet"/>
      <w:lvlText w:val=""/>
      <w:lvlJc w:val="left"/>
      <w:pPr>
        <w:ind w:left="480" w:hanging="360"/>
      </w:pPr>
      <w:rPr>
        <w:rFonts w:ascii="Symbol" w:eastAsia="Symbol" w:hAnsi="Symbol" w:cs="Symbol" w:hint="default"/>
        <w:w w:val="100"/>
        <w:sz w:val="24"/>
        <w:szCs w:val="24"/>
        <w:lang w:val="en-US" w:eastAsia="en-US" w:bidi="en-US"/>
      </w:rPr>
    </w:lvl>
    <w:lvl w:ilvl="1" w:tplc="22ACA8D4">
      <w:numFmt w:val="bullet"/>
      <w:lvlText w:val=""/>
      <w:lvlJc w:val="left"/>
      <w:pPr>
        <w:ind w:left="1380" w:hanging="360"/>
      </w:pPr>
      <w:rPr>
        <w:rFonts w:ascii="Symbol" w:eastAsia="Symbol" w:hAnsi="Symbol" w:cs="Symbol" w:hint="default"/>
        <w:w w:val="100"/>
        <w:sz w:val="24"/>
        <w:szCs w:val="24"/>
        <w:lang w:val="en-US" w:eastAsia="en-US" w:bidi="en-US"/>
      </w:rPr>
    </w:lvl>
    <w:lvl w:ilvl="2" w:tplc="605E8942">
      <w:numFmt w:val="bullet"/>
      <w:lvlText w:val="•"/>
      <w:lvlJc w:val="left"/>
      <w:pPr>
        <w:ind w:left="2293" w:hanging="360"/>
      </w:pPr>
      <w:rPr>
        <w:rFonts w:hint="default"/>
        <w:lang w:val="en-US" w:eastAsia="en-US" w:bidi="en-US"/>
      </w:rPr>
    </w:lvl>
    <w:lvl w:ilvl="3" w:tplc="254EA8A8">
      <w:numFmt w:val="bullet"/>
      <w:lvlText w:val="•"/>
      <w:lvlJc w:val="left"/>
      <w:pPr>
        <w:ind w:left="3206" w:hanging="360"/>
      </w:pPr>
      <w:rPr>
        <w:rFonts w:hint="default"/>
        <w:lang w:val="en-US" w:eastAsia="en-US" w:bidi="en-US"/>
      </w:rPr>
    </w:lvl>
    <w:lvl w:ilvl="4" w:tplc="D982F438">
      <w:numFmt w:val="bullet"/>
      <w:lvlText w:val="•"/>
      <w:lvlJc w:val="left"/>
      <w:pPr>
        <w:ind w:left="4120" w:hanging="360"/>
      </w:pPr>
      <w:rPr>
        <w:rFonts w:hint="default"/>
        <w:lang w:val="en-US" w:eastAsia="en-US" w:bidi="en-US"/>
      </w:rPr>
    </w:lvl>
    <w:lvl w:ilvl="5" w:tplc="BD5294F8">
      <w:numFmt w:val="bullet"/>
      <w:lvlText w:val="•"/>
      <w:lvlJc w:val="left"/>
      <w:pPr>
        <w:ind w:left="5033" w:hanging="360"/>
      </w:pPr>
      <w:rPr>
        <w:rFonts w:hint="default"/>
        <w:lang w:val="en-US" w:eastAsia="en-US" w:bidi="en-US"/>
      </w:rPr>
    </w:lvl>
    <w:lvl w:ilvl="6" w:tplc="7248B224">
      <w:numFmt w:val="bullet"/>
      <w:lvlText w:val="•"/>
      <w:lvlJc w:val="left"/>
      <w:pPr>
        <w:ind w:left="5946" w:hanging="360"/>
      </w:pPr>
      <w:rPr>
        <w:rFonts w:hint="default"/>
        <w:lang w:val="en-US" w:eastAsia="en-US" w:bidi="en-US"/>
      </w:rPr>
    </w:lvl>
    <w:lvl w:ilvl="7" w:tplc="825EB48A">
      <w:numFmt w:val="bullet"/>
      <w:lvlText w:val="•"/>
      <w:lvlJc w:val="left"/>
      <w:pPr>
        <w:ind w:left="6860" w:hanging="360"/>
      </w:pPr>
      <w:rPr>
        <w:rFonts w:hint="default"/>
        <w:lang w:val="en-US" w:eastAsia="en-US" w:bidi="en-US"/>
      </w:rPr>
    </w:lvl>
    <w:lvl w:ilvl="8" w:tplc="B78E7262">
      <w:numFmt w:val="bullet"/>
      <w:lvlText w:val="•"/>
      <w:lvlJc w:val="left"/>
      <w:pPr>
        <w:ind w:left="7773" w:hanging="360"/>
      </w:pPr>
      <w:rPr>
        <w:rFonts w:hint="default"/>
        <w:lang w:val="en-US" w:eastAsia="en-US" w:bidi="en-US"/>
      </w:rPr>
    </w:lvl>
  </w:abstractNum>
  <w:abstractNum w:abstractNumId="1" w15:restartNumberingAfterBreak="0">
    <w:nsid w:val="47264FA3"/>
    <w:multiLevelType w:val="hybridMultilevel"/>
    <w:tmpl w:val="AFDAACB2"/>
    <w:lvl w:ilvl="0" w:tplc="CF42BFEC">
      <w:start w:val="1"/>
      <w:numFmt w:val="lowerRoman"/>
      <w:lvlText w:val="(%1)"/>
      <w:lvlJc w:val="left"/>
      <w:pPr>
        <w:ind w:left="1740" w:hanging="720"/>
        <w:jc w:val="left"/>
      </w:pPr>
      <w:rPr>
        <w:rFonts w:ascii="Times New Roman" w:eastAsia="Times New Roman" w:hAnsi="Times New Roman" w:cs="Times New Roman" w:hint="default"/>
        <w:spacing w:val="-2"/>
        <w:w w:val="99"/>
        <w:sz w:val="24"/>
        <w:szCs w:val="24"/>
        <w:lang w:val="en-US" w:eastAsia="en-US" w:bidi="en-US"/>
      </w:rPr>
    </w:lvl>
    <w:lvl w:ilvl="1" w:tplc="3DA0A708">
      <w:numFmt w:val="bullet"/>
      <w:lvlText w:val="•"/>
      <w:lvlJc w:val="left"/>
      <w:pPr>
        <w:ind w:left="2526" w:hanging="720"/>
      </w:pPr>
      <w:rPr>
        <w:rFonts w:hint="default"/>
        <w:lang w:val="en-US" w:eastAsia="en-US" w:bidi="en-US"/>
      </w:rPr>
    </w:lvl>
    <w:lvl w:ilvl="2" w:tplc="56AC7804">
      <w:numFmt w:val="bullet"/>
      <w:lvlText w:val="•"/>
      <w:lvlJc w:val="left"/>
      <w:pPr>
        <w:ind w:left="3312" w:hanging="720"/>
      </w:pPr>
      <w:rPr>
        <w:rFonts w:hint="default"/>
        <w:lang w:val="en-US" w:eastAsia="en-US" w:bidi="en-US"/>
      </w:rPr>
    </w:lvl>
    <w:lvl w:ilvl="3" w:tplc="CC44F3A8">
      <w:numFmt w:val="bullet"/>
      <w:lvlText w:val="•"/>
      <w:lvlJc w:val="left"/>
      <w:pPr>
        <w:ind w:left="4098" w:hanging="720"/>
      </w:pPr>
      <w:rPr>
        <w:rFonts w:hint="default"/>
        <w:lang w:val="en-US" w:eastAsia="en-US" w:bidi="en-US"/>
      </w:rPr>
    </w:lvl>
    <w:lvl w:ilvl="4" w:tplc="F844DCFE">
      <w:numFmt w:val="bullet"/>
      <w:lvlText w:val="•"/>
      <w:lvlJc w:val="left"/>
      <w:pPr>
        <w:ind w:left="4884" w:hanging="720"/>
      </w:pPr>
      <w:rPr>
        <w:rFonts w:hint="default"/>
        <w:lang w:val="en-US" w:eastAsia="en-US" w:bidi="en-US"/>
      </w:rPr>
    </w:lvl>
    <w:lvl w:ilvl="5" w:tplc="97447AE0">
      <w:numFmt w:val="bullet"/>
      <w:lvlText w:val="•"/>
      <w:lvlJc w:val="left"/>
      <w:pPr>
        <w:ind w:left="5670" w:hanging="720"/>
      </w:pPr>
      <w:rPr>
        <w:rFonts w:hint="default"/>
        <w:lang w:val="en-US" w:eastAsia="en-US" w:bidi="en-US"/>
      </w:rPr>
    </w:lvl>
    <w:lvl w:ilvl="6" w:tplc="7F2E8518">
      <w:numFmt w:val="bullet"/>
      <w:lvlText w:val="•"/>
      <w:lvlJc w:val="left"/>
      <w:pPr>
        <w:ind w:left="6456" w:hanging="720"/>
      </w:pPr>
      <w:rPr>
        <w:rFonts w:hint="default"/>
        <w:lang w:val="en-US" w:eastAsia="en-US" w:bidi="en-US"/>
      </w:rPr>
    </w:lvl>
    <w:lvl w:ilvl="7" w:tplc="4FF043F4">
      <w:numFmt w:val="bullet"/>
      <w:lvlText w:val="•"/>
      <w:lvlJc w:val="left"/>
      <w:pPr>
        <w:ind w:left="7242" w:hanging="720"/>
      </w:pPr>
      <w:rPr>
        <w:rFonts w:hint="default"/>
        <w:lang w:val="en-US" w:eastAsia="en-US" w:bidi="en-US"/>
      </w:rPr>
    </w:lvl>
    <w:lvl w:ilvl="8" w:tplc="37E00F66">
      <w:numFmt w:val="bullet"/>
      <w:lvlText w:val="•"/>
      <w:lvlJc w:val="left"/>
      <w:pPr>
        <w:ind w:left="8028" w:hanging="720"/>
      </w:pPr>
      <w:rPr>
        <w:rFonts w:hint="default"/>
        <w:lang w:val="en-US" w:eastAsia="en-US" w:bidi="en-US"/>
      </w:rPr>
    </w:lvl>
  </w:abstractNum>
  <w:abstractNum w:abstractNumId="2" w15:restartNumberingAfterBreak="0">
    <w:nsid w:val="48DE3273"/>
    <w:multiLevelType w:val="hybridMultilevel"/>
    <w:tmpl w:val="5B3EC3C6"/>
    <w:lvl w:ilvl="0" w:tplc="0206DC30">
      <w:start w:val="1"/>
      <w:numFmt w:val="decimal"/>
      <w:lvlText w:val="%1."/>
      <w:lvlJc w:val="left"/>
      <w:pPr>
        <w:ind w:left="480" w:hanging="360"/>
        <w:jc w:val="left"/>
      </w:pPr>
      <w:rPr>
        <w:rFonts w:ascii="Times New Roman" w:eastAsia="Times New Roman" w:hAnsi="Times New Roman" w:cs="Times New Roman" w:hint="default"/>
        <w:spacing w:val="-2"/>
        <w:w w:val="99"/>
        <w:sz w:val="24"/>
        <w:szCs w:val="24"/>
        <w:lang w:val="en-US" w:eastAsia="en-US" w:bidi="en-US"/>
      </w:rPr>
    </w:lvl>
    <w:lvl w:ilvl="1" w:tplc="DA3847A0">
      <w:numFmt w:val="bullet"/>
      <w:lvlText w:val="•"/>
      <w:lvlJc w:val="left"/>
      <w:pPr>
        <w:ind w:left="1392" w:hanging="360"/>
      </w:pPr>
      <w:rPr>
        <w:rFonts w:hint="default"/>
        <w:lang w:val="en-US" w:eastAsia="en-US" w:bidi="en-US"/>
      </w:rPr>
    </w:lvl>
    <w:lvl w:ilvl="2" w:tplc="1E0E4D16">
      <w:numFmt w:val="bullet"/>
      <w:lvlText w:val="•"/>
      <w:lvlJc w:val="left"/>
      <w:pPr>
        <w:ind w:left="2304" w:hanging="360"/>
      </w:pPr>
      <w:rPr>
        <w:rFonts w:hint="default"/>
        <w:lang w:val="en-US" w:eastAsia="en-US" w:bidi="en-US"/>
      </w:rPr>
    </w:lvl>
    <w:lvl w:ilvl="3" w:tplc="9508B6DC">
      <w:numFmt w:val="bullet"/>
      <w:lvlText w:val="•"/>
      <w:lvlJc w:val="left"/>
      <w:pPr>
        <w:ind w:left="3216" w:hanging="360"/>
      </w:pPr>
      <w:rPr>
        <w:rFonts w:hint="default"/>
        <w:lang w:val="en-US" w:eastAsia="en-US" w:bidi="en-US"/>
      </w:rPr>
    </w:lvl>
    <w:lvl w:ilvl="4" w:tplc="895897F2">
      <w:numFmt w:val="bullet"/>
      <w:lvlText w:val="•"/>
      <w:lvlJc w:val="left"/>
      <w:pPr>
        <w:ind w:left="4128" w:hanging="360"/>
      </w:pPr>
      <w:rPr>
        <w:rFonts w:hint="default"/>
        <w:lang w:val="en-US" w:eastAsia="en-US" w:bidi="en-US"/>
      </w:rPr>
    </w:lvl>
    <w:lvl w:ilvl="5" w:tplc="A796B48C">
      <w:numFmt w:val="bullet"/>
      <w:lvlText w:val="•"/>
      <w:lvlJc w:val="left"/>
      <w:pPr>
        <w:ind w:left="5040" w:hanging="360"/>
      </w:pPr>
      <w:rPr>
        <w:rFonts w:hint="default"/>
        <w:lang w:val="en-US" w:eastAsia="en-US" w:bidi="en-US"/>
      </w:rPr>
    </w:lvl>
    <w:lvl w:ilvl="6" w:tplc="0D328826">
      <w:numFmt w:val="bullet"/>
      <w:lvlText w:val="•"/>
      <w:lvlJc w:val="left"/>
      <w:pPr>
        <w:ind w:left="5952" w:hanging="360"/>
      </w:pPr>
      <w:rPr>
        <w:rFonts w:hint="default"/>
        <w:lang w:val="en-US" w:eastAsia="en-US" w:bidi="en-US"/>
      </w:rPr>
    </w:lvl>
    <w:lvl w:ilvl="7" w:tplc="84DA06EC">
      <w:numFmt w:val="bullet"/>
      <w:lvlText w:val="•"/>
      <w:lvlJc w:val="left"/>
      <w:pPr>
        <w:ind w:left="6864" w:hanging="360"/>
      </w:pPr>
      <w:rPr>
        <w:rFonts w:hint="default"/>
        <w:lang w:val="en-US" w:eastAsia="en-US" w:bidi="en-US"/>
      </w:rPr>
    </w:lvl>
    <w:lvl w:ilvl="8" w:tplc="08E47846">
      <w:numFmt w:val="bullet"/>
      <w:lvlText w:val="•"/>
      <w:lvlJc w:val="left"/>
      <w:pPr>
        <w:ind w:left="7776" w:hanging="360"/>
      </w:pPr>
      <w:rPr>
        <w:rFonts w:hint="default"/>
        <w:lang w:val="en-US" w:eastAsia="en-US" w:bidi="en-US"/>
      </w:rPr>
    </w:lvl>
  </w:abstractNum>
  <w:num w:numId="1" w16cid:durableId="751780632">
    <w:abstractNumId w:val="2"/>
  </w:num>
  <w:num w:numId="2" w16cid:durableId="1683363482">
    <w:abstractNumId w:val="1"/>
  </w:num>
  <w:num w:numId="3" w16cid:durableId="119376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4"/>
    <w:rsid w:val="00177E3B"/>
    <w:rsid w:val="00446674"/>
    <w:rsid w:val="004B09FD"/>
    <w:rsid w:val="00511817"/>
    <w:rsid w:val="00564E52"/>
    <w:rsid w:val="0065140C"/>
    <w:rsid w:val="008949FB"/>
    <w:rsid w:val="00BE7E85"/>
    <w:rsid w:val="00D521A0"/>
    <w:rsid w:val="00D5722C"/>
    <w:rsid w:val="00EB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E4AFA"/>
  <w15:docId w15:val="{51C1CCFB-2FC1-474D-81EC-EDEDAAF2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right="106"/>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4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1817"/>
    <w:rPr>
      <w:color w:val="0000FF" w:themeColor="hyperlink"/>
      <w:u w:val="single"/>
    </w:rPr>
  </w:style>
  <w:style w:type="character" w:styleId="UnresolvedMention">
    <w:name w:val="Unresolved Mention"/>
    <w:basedOn w:val="DefaultParagraphFont"/>
    <w:uiPriority w:val="99"/>
    <w:semiHidden/>
    <w:unhideWhenUsed/>
    <w:rsid w:val="00511817"/>
    <w:rPr>
      <w:color w:val="605E5C"/>
      <w:shd w:val="clear" w:color="auto" w:fill="E1DFDD"/>
    </w:rPr>
  </w:style>
  <w:style w:type="character" w:styleId="FollowedHyperlink">
    <w:name w:val="FollowedHyperlink"/>
    <w:basedOn w:val="DefaultParagraphFont"/>
    <w:uiPriority w:val="99"/>
    <w:semiHidden/>
    <w:unhideWhenUsed/>
    <w:rsid w:val="00D521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velopment@dca.g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elopment@dca.g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ca.georgia.gov/housing-finance-development/housing-tax-credit-program/resources-awarded-developments/10-t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ca.georgia.gov/affordable-housing/housing-development/housing-tax-credit-program/resources-awarded-developments-2#:~:text=All%20Final%20Allocation%20Applications%20must%20be%20submitted%20by,checks%20payable%20to%20Georgia%20Housing%20Finance%20Authority%20%28GHFA%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13A1AAC045A4CB6559683E4899B1E" ma:contentTypeVersion="8" ma:contentTypeDescription="Create a new document." ma:contentTypeScope="" ma:versionID="ba95629ef6c6576beddf2ef8157524da">
  <xsd:schema xmlns:xsd="http://www.w3.org/2001/XMLSchema" xmlns:xs="http://www.w3.org/2001/XMLSchema" xmlns:p="http://schemas.microsoft.com/office/2006/metadata/properties" xmlns:ns3="0b2ec006-d1bb-4915-9be3-14ee667aa43a" targetNamespace="http://schemas.microsoft.com/office/2006/metadata/properties" ma:root="true" ma:fieldsID="3d79f753b200d38adff94b556aac3e30" ns3:_="">
    <xsd:import namespace="0b2ec006-d1bb-4915-9be3-14ee667aa4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ec006-d1bb-4915-9be3-14ee667aa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99C6A-65D6-412C-AD31-041786D3C3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94F9A-407D-47EF-88EB-A4DB4533BF14}">
  <ds:schemaRefs>
    <ds:schemaRef ds:uri="http://schemas.microsoft.com/sharepoint/v3/contenttype/forms"/>
  </ds:schemaRefs>
</ds:datastoreItem>
</file>

<file path=customXml/itemProps3.xml><?xml version="1.0" encoding="utf-8"?>
<ds:datastoreItem xmlns:ds="http://schemas.openxmlformats.org/officeDocument/2006/customXml" ds:itemID="{464CF25F-1FB3-415E-A5B6-5BD7E820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ec006-d1bb-4915-9be3-14ee667aa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1997 Carryover Allocation Application Directions</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Carryover Allocation Application Directions</dc:title>
  <dc:creator>cfahsel</dc:creator>
  <cp:lastModifiedBy>Onome Uwhubetine</cp:lastModifiedBy>
  <cp:revision>3</cp:revision>
  <dcterms:created xsi:type="dcterms:W3CDTF">2025-02-19T12:51:00Z</dcterms:created>
  <dcterms:modified xsi:type="dcterms:W3CDTF">2025-02-19T13:20:00Z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Creator">
    <vt:lpwstr>Acrobat PDFMaker 15 for Word</vt:lpwstr>
  </property>
  <property fmtid="{D5CDD505-2E9C-101B-9397-08002B2CF9AE}" pid="4" name="LastSaved">
    <vt:filetime>2020-09-23T00:00:00Z</vt:filetime>
  </property>
  <property fmtid="{D5CDD505-2E9C-101B-9397-08002B2CF9AE}" pid="5" name="ContentTypeId">
    <vt:lpwstr>0x01010064913A1AAC045A4CB6559683E4899B1E</vt:lpwstr>
  </property>
</Properties>
</file>