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A8B00" w14:textId="12EB8F60" w:rsidR="005B7783" w:rsidRDefault="005B7783" w:rsidP="002E4BDA">
      <w:pPr>
        <w:jc w:val="right"/>
        <w:rPr>
          <w:rFonts w:ascii="Arial" w:hAnsi="Arial" w:cs="Arial"/>
          <w:noProof/>
        </w:rPr>
      </w:pPr>
    </w:p>
    <w:p w14:paraId="785351CB" w14:textId="0A47577E" w:rsidR="00F14868" w:rsidRDefault="003F0EDA" w:rsidP="002E4BDA">
      <w:pPr>
        <w:jc w:val="right"/>
        <w:rPr>
          <w:rFonts w:ascii="Arial" w:hAnsi="Arial" w:cs="Arial"/>
        </w:rPr>
      </w:pPr>
      <w:r>
        <w:rPr>
          <w:noProof/>
          <w:color w:val="666666"/>
          <w:sz w:val="32"/>
        </w:rPr>
        <mc:AlternateContent>
          <mc:Choice Requires="wps">
            <w:drawing>
              <wp:anchor distT="0" distB="0" distL="114300" distR="114300" simplePos="0" relativeHeight="251710464" behindDoc="0" locked="0" layoutInCell="1" allowOverlap="1" wp14:anchorId="6DF4356B" wp14:editId="21F8846E">
                <wp:simplePos x="0" y="0"/>
                <wp:positionH relativeFrom="column">
                  <wp:posOffset>4046220</wp:posOffset>
                </wp:positionH>
                <wp:positionV relativeFrom="paragraph">
                  <wp:posOffset>6506845</wp:posOffset>
                </wp:positionV>
                <wp:extent cx="82296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rot="10800000">
                          <a:off x="0" y="0"/>
                          <a:ext cx="822960" cy="0"/>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C8A3D7A" id="_x0000_t32" coordsize="21600,21600" o:spt="32" o:oned="t" path="m,l21600,21600e" filled="f">
                <v:path arrowok="t" fillok="f" o:connecttype="none"/>
                <o:lock v:ext="edit" shapetype="t"/>
              </v:shapetype>
              <v:shape id="Straight Arrow Connector 7" o:spid="_x0000_s1026" type="#_x0000_t32" style="position:absolute;margin-left:318.6pt;margin-top:512.35pt;width:64.8pt;height:0;rotation:18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" strokecolor="#92d050" strokeweight="1pt">
                <v:stroke endarrow="block" joinstyle="miter"/>
              </v:shape>
            </w:pict>
          </mc:Fallback>
        </mc:AlternateContent>
      </w:r>
      <w:r>
        <w:rPr>
          <w:noProof/>
          <w:color w:val="666666"/>
          <w:sz w:val="32"/>
        </w:rPr>
        <mc:AlternateContent>
          <mc:Choice Requires="wps">
            <w:drawing>
              <wp:anchor distT="0" distB="0" distL="114300" distR="114300" simplePos="0" relativeHeight="251708416" behindDoc="0" locked="0" layoutInCell="1" allowOverlap="1" wp14:anchorId="625C425D" wp14:editId="35F1BF8C">
                <wp:simplePos x="0" y="0"/>
                <wp:positionH relativeFrom="column">
                  <wp:posOffset>1082040</wp:posOffset>
                </wp:positionH>
                <wp:positionV relativeFrom="paragraph">
                  <wp:posOffset>6506845</wp:posOffset>
                </wp:positionV>
                <wp:extent cx="822960" cy="0"/>
                <wp:effectExtent l="0" t="76200" r="15240" b="95250"/>
                <wp:wrapNone/>
                <wp:docPr id="6" name="Straight Arrow Connector 6"/>
                <wp:cNvGraphicFramePr/>
                <a:graphic xmlns:a="http://schemas.openxmlformats.org/drawingml/2006/main">
                  <a:graphicData uri="http://schemas.microsoft.com/office/word/2010/wordprocessingShape">
                    <wps:wsp>
                      <wps:cNvCnPr/>
                      <wps:spPr>
                        <a:xfrm rot="10800000" flipH="1">
                          <a:off x="0" y="0"/>
                          <a:ext cx="822960" cy="0"/>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67D76A" id="Straight Arrow Connector 6" o:spid="_x0000_s1026" type="#_x0000_t32" style="position:absolute;margin-left:85.2pt;margin-top:512.35pt;width:64.8pt;height:0;rotation:180;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" strokecolor="#92d050" strokeweight="1pt">
                <v:stroke endarrow="block" joinstyle="miter"/>
              </v:shape>
            </w:pict>
          </mc:Fallback>
        </mc:AlternateContent>
      </w:r>
      <w:r w:rsidR="000F56E6" w:rsidRPr="005F3EB0">
        <w:rPr>
          <w:noProof/>
          <w:color w:val="666666"/>
          <w:sz w:val="32"/>
        </w:rPr>
        <mc:AlternateContent>
          <mc:Choice Requires="wps">
            <w:drawing>
              <wp:anchor distT="45720" distB="45720" distL="114300" distR="114300" simplePos="0" relativeHeight="251705344" behindDoc="0" locked="0" layoutInCell="1" allowOverlap="1" wp14:anchorId="64992D99" wp14:editId="4BDBB3EE">
                <wp:simplePos x="0" y="0"/>
                <wp:positionH relativeFrom="margin">
                  <wp:posOffset>852170</wp:posOffset>
                </wp:positionH>
                <wp:positionV relativeFrom="paragraph">
                  <wp:posOffset>5897245</wp:posOffset>
                </wp:positionV>
                <wp:extent cx="4251960" cy="92964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929640"/>
                        </a:xfrm>
                        <a:prstGeom prst="rect">
                          <a:avLst/>
                        </a:prstGeom>
                        <a:solidFill>
                          <a:srgbClr val="FFFFFF"/>
                        </a:solidFill>
                        <a:ln w="9525">
                          <a:noFill/>
                          <a:miter lim="800000"/>
                          <a:headEnd/>
                          <a:tailEnd/>
                        </a:ln>
                      </wps:spPr>
                      <wps:txbx>
                        <w:txbxContent>
                          <w:p w14:paraId="38546F2D" w14:textId="6A0A17C7" w:rsidR="005F3EB0" w:rsidRPr="000F56E6" w:rsidRDefault="005F3EB0" w:rsidP="000F56E6">
                            <w:pPr>
                              <w:spacing w:after="0"/>
                              <w:jc w:val="center"/>
                              <w:rPr>
                                <w:rFonts w:ascii="Segoe UI Light" w:hAnsi="Segoe UI Light" w:cs="Segoe UI Light"/>
                                <w:color w:val="666666"/>
                                <w:sz w:val="40"/>
                              </w:rPr>
                            </w:pPr>
                            <w:r w:rsidRPr="000F56E6">
                              <w:rPr>
                                <w:rFonts w:ascii="Segoe UI Light" w:hAnsi="Segoe UI Light" w:cs="Segoe UI Light"/>
                                <w:color w:val="666666"/>
                                <w:sz w:val="40"/>
                              </w:rPr>
                              <w:t>Dea</w:t>
                            </w:r>
                            <w:r w:rsidR="000F56E6" w:rsidRPr="000F56E6">
                              <w:rPr>
                                <w:rFonts w:ascii="Segoe UI Light" w:hAnsi="Segoe UI Light" w:cs="Segoe UI Light"/>
                                <w:color w:val="666666"/>
                                <w:sz w:val="40"/>
                              </w:rPr>
                              <w:t>dline to Request Planning Funds:</w:t>
                            </w:r>
                          </w:p>
                          <w:p w14:paraId="56013C3E" w14:textId="305621FC" w:rsidR="005F3EB0" w:rsidRPr="003F0EDA" w:rsidRDefault="00361818" w:rsidP="000F56E6">
                            <w:pPr>
                              <w:spacing w:after="0"/>
                              <w:jc w:val="center"/>
                              <w:rPr>
                                <w:rFonts w:ascii="Segoe UI Light" w:hAnsi="Segoe UI Light" w:cs="Segoe UI Light"/>
                                <w:b/>
                                <w:color w:val="666666"/>
                                <w:sz w:val="40"/>
                              </w:rPr>
                            </w:pPr>
                            <w:r>
                              <w:rPr>
                                <w:rFonts w:ascii="Segoe UI Light" w:hAnsi="Segoe UI Light" w:cs="Segoe UI Light"/>
                                <w:b/>
                                <w:color w:val="666666"/>
                                <w:sz w:val="40"/>
                              </w:rPr>
                              <w:t xml:space="preserve">January </w:t>
                            </w:r>
                            <w:r w:rsidR="00CA2252">
                              <w:rPr>
                                <w:rFonts w:ascii="Segoe UI Light" w:hAnsi="Segoe UI Light" w:cs="Segoe UI Light"/>
                                <w:b/>
                                <w:color w:val="666666"/>
                                <w:sz w:val="40"/>
                              </w:rPr>
                              <w:t>29</w:t>
                            </w:r>
                            <w:r>
                              <w:rPr>
                                <w:rFonts w:ascii="Segoe UI Light" w:hAnsi="Segoe UI Light" w:cs="Segoe UI Light"/>
                                <w:b/>
                                <w:color w:val="666666"/>
                                <w:sz w:val="40"/>
                              </w:rPr>
                              <w:t>, 2021</w:t>
                            </w:r>
                          </w:p>
                          <w:p w14:paraId="4C5C7DDF" w14:textId="4644BC86" w:rsidR="005F3EB0" w:rsidRDefault="005F3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92D99" id="_x0000_t202" coordsize="21600,21600" o:spt="202" path="m,l,21600r21600,l21600,xe">
                <v:stroke joinstyle="miter"/>
                <v:path gradientshapeok="t" o:connecttype="rect"/>
              </v:shapetype>
              <v:shape id="Text Box 2" o:spid="_x0000_s1026" type="#_x0000_t202" style="position:absolute;left:0;text-align:left;margin-left:67.1pt;margin-top:464.35pt;width:334.8pt;height:73.2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" stroked="f">
                <v:textbox>
                  <w:txbxContent>
                    <w:p w14:paraId="38546F2D" w14:textId="6A0A17C7" w:rsidR="005F3EB0" w:rsidRPr="000F56E6" w:rsidRDefault="005F3EB0" w:rsidP="000F56E6">
                      <w:pPr>
                        <w:spacing w:after="0"/>
                        <w:jc w:val="center"/>
                        <w:rPr>
                          <w:rFonts w:ascii="Segoe UI Light" w:hAnsi="Segoe UI Light" w:cs="Segoe UI Light"/>
                          <w:color w:val="666666"/>
                          <w:sz w:val="40"/>
                        </w:rPr>
                      </w:pPr>
                      <w:r w:rsidRPr="000F56E6">
                        <w:rPr>
                          <w:rFonts w:ascii="Segoe UI Light" w:hAnsi="Segoe UI Light" w:cs="Segoe UI Light"/>
                          <w:color w:val="666666"/>
                          <w:sz w:val="40"/>
                        </w:rPr>
                        <w:t>Dea</w:t>
                      </w:r>
                      <w:r w:rsidR="000F56E6" w:rsidRPr="000F56E6">
                        <w:rPr>
                          <w:rFonts w:ascii="Segoe UI Light" w:hAnsi="Segoe UI Light" w:cs="Segoe UI Light"/>
                          <w:color w:val="666666"/>
                          <w:sz w:val="40"/>
                        </w:rPr>
                        <w:t>dline to Request Planning Funds:</w:t>
                      </w:r>
                    </w:p>
                    <w:p w14:paraId="56013C3E" w14:textId="305621FC" w:rsidR="005F3EB0" w:rsidRPr="003F0EDA" w:rsidRDefault="00361818" w:rsidP="000F56E6">
                      <w:pPr>
                        <w:spacing w:after="0"/>
                        <w:jc w:val="center"/>
                        <w:rPr>
                          <w:rFonts w:ascii="Segoe UI Light" w:hAnsi="Segoe UI Light" w:cs="Segoe UI Light"/>
                          <w:b/>
                          <w:color w:val="666666"/>
                          <w:sz w:val="40"/>
                        </w:rPr>
                      </w:pPr>
                      <w:r>
                        <w:rPr>
                          <w:rFonts w:ascii="Segoe UI Light" w:hAnsi="Segoe UI Light" w:cs="Segoe UI Light"/>
                          <w:b/>
                          <w:color w:val="666666"/>
                          <w:sz w:val="40"/>
                        </w:rPr>
                        <w:t xml:space="preserve">January </w:t>
                      </w:r>
                      <w:r w:rsidR="00CA2252">
                        <w:rPr>
                          <w:rFonts w:ascii="Segoe UI Light" w:hAnsi="Segoe UI Light" w:cs="Segoe UI Light"/>
                          <w:b/>
                          <w:color w:val="666666"/>
                          <w:sz w:val="40"/>
                        </w:rPr>
                        <w:t>29</w:t>
                      </w:r>
                      <w:r>
                        <w:rPr>
                          <w:rFonts w:ascii="Segoe UI Light" w:hAnsi="Segoe UI Light" w:cs="Segoe UI Light"/>
                          <w:b/>
                          <w:color w:val="666666"/>
                          <w:sz w:val="40"/>
                        </w:rPr>
                        <w:t>, 2021</w:t>
                      </w:r>
                    </w:p>
                    <w:p w14:paraId="4C5C7DDF" w14:textId="4644BC86" w:rsidR="005F3EB0" w:rsidRDefault="005F3EB0"/>
                  </w:txbxContent>
                </v:textbox>
                <w10:wrap type="square" anchorx="margin"/>
              </v:shape>
            </w:pict>
          </mc:Fallback>
        </mc:AlternateContent>
      </w:r>
      <w:r w:rsidR="000F56E6">
        <w:rPr>
          <w:rFonts w:ascii="Arial" w:hAnsi="Arial" w:cs="Arial"/>
          <w:noProof/>
        </w:rPr>
        <w:drawing>
          <wp:anchor distT="0" distB="0" distL="114300" distR="114300" simplePos="0" relativeHeight="251701248" behindDoc="0" locked="0" layoutInCell="1" allowOverlap="1" wp14:anchorId="36D92CD8" wp14:editId="367D62EB">
            <wp:simplePos x="0" y="0"/>
            <wp:positionH relativeFrom="margin">
              <wp:posOffset>1914525</wp:posOffset>
            </wp:positionH>
            <wp:positionV relativeFrom="paragraph">
              <wp:posOffset>4182110</wp:posOffset>
            </wp:positionV>
            <wp:extent cx="2257425" cy="1096645"/>
            <wp:effectExtent l="0" t="0" r="9525" b="8255"/>
            <wp:wrapSquare wrapText="bothSides"/>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DBG-DR.jpg"/>
                    <pic:cNvPicPr/>
                  </pic:nvPicPr>
                  <pic:blipFill rotWithShape="1">
                    <a:blip r:embed="rId12" cstate="print">
                      <a:extLst>
                        <a:ext uri="{28A0092B-C50C-407E-A947-70E740481C1C}">
                          <a14:useLocalDpi xmlns:a14="http://schemas.microsoft.com/office/drawing/2010/main" val="0"/>
                        </a:ext>
                      </a:extLst>
                    </a:blip>
                    <a:srcRect l="4951" r="5401"/>
                    <a:stretch/>
                  </pic:blipFill>
                  <pic:spPr bwMode="auto">
                    <a:xfrm>
                      <a:off x="0" y="0"/>
                      <a:ext cx="2257425" cy="1096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56E6" w:rsidRPr="005B7783">
        <w:rPr>
          <w:rFonts w:ascii="Arial" w:hAnsi="Arial" w:cs="Arial"/>
          <w:noProof/>
        </w:rPr>
        <mc:AlternateContent>
          <mc:Choice Requires="wps">
            <w:drawing>
              <wp:anchor distT="45720" distB="45720" distL="114300" distR="114300" simplePos="0" relativeHeight="251703296" behindDoc="0" locked="0" layoutInCell="1" allowOverlap="1" wp14:anchorId="6BCFA11E" wp14:editId="1AA491E3">
                <wp:simplePos x="0" y="0"/>
                <wp:positionH relativeFrom="page">
                  <wp:posOffset>1978025</wp:posOffset>
                </wp:positionH>
                <wp:positionV relativeFrom="paragraph">
                  <wp:posOffset>2355850</wp:posOffset>
                </wp:positionV>
                <wp:extent cx="3822700" cy="13081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308100"/>
                        </a:xfrm>
                        <a:prstGeom prst="rect">
                          <a:avLst/>
                        </a:prstGeom>
                        <a:solidFill>
                          <a:srgbClr val="FFFFFF"/>
                        </a:solidFill>
                        <a:ln w="9525">
                          <a:noFill/>
                          <a:miter lim="800000"/>
                          <a:headEnd/>
                          <a:tailEnd/>
                        </a:ln>
                      </wps:spPr>
                      <wps:txbx>
                        <w:txbxContent>
                          <w:p w14:paraId="353D2F8B" w14:textId="77777777" w:rsidR="001D161D" w:rsidRPr="005B7783" w:rsidRDefault="001D161D" w:rsidP="005B7783">
                            <w:pPr>
                              <w:spacing w:after="0" w:line="240" w:lineRule="auto"/>
                              <w:jc w:val="center"/>
                              <w:rPr>
                                <w:color w:val="8A7A67"/>
                                <w:sz w:val="72"/>
                              </w:rPr>
                            </w:pPr>
                            <w:r w:rsidRPr="005B7783">
                              <w:rPr>
                                <w:color w:val="8A7A67"/>
                                <w:sz w:val="72"/>
                              </w:rPr>
                              <w:t>CDBG-MIT</w:t>
                            </w:r>
                          </w:p>
                          <w:p w14:paraId="0755BD11" w14:textId="7459C322" w:rsidR="001D161D" w:rsidRPr="005B7783" w:rsidRDefault="00835A0C" w:rsidP="005B7783">
                            <w:pPr>
                              <w:spacing w:after="0" w:line="240" w:lineRule="auto"/>
                              <w:jc w:val="center"/>
                              <w:rPr>
                                <w:color w:val="8A7A67"/>
                                <w:sz w:val="72"/>
                              </w:rPr>
                            </w:pPr>
                            <w:r>
                              <w:rPr>
                                <w:color w:val="8A7A67"/>
                                <w:sz w:val="72"/>
                              </w:rPr>
                              <w:t>Planning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FA11E" id="_x0000_s1027" type="#_x0000_t202" style="position:absolute;left:0;text-align:left;margin-left:155.75pt;margin-top:185.5pt;width:301pt;height:10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" stroked="f">
                <v:textbox>
                  <w:txbxContent>
                    <w:p w14:paraId="353D2F8B" w14:textId="77777777" w:rsidR="001D161D" w:rsidRPr="005B7783" w:rsidRDefault="001D161D" w:rsidP="005B7783">
                      <w:pPr>
                        <w:spacing w:after="0" w:line="240" w:lineRule="auto"/>
                        <w:jc w:val="center"/>
                        <w:rPr>
                          <w:color w:val="8A7A67"/>
                          <w:sz w:val="72"/>
                        </w:rPr>
                      </w:pPr>
                      <w:r w:rsidRPr="005B7783">
                        <w:rPr>
                          <w:color w:val="8A7A67"/>
                          <w:sz w:val="72"/>
                        </w:rPr>
                        <w:t>CDBG-MIT</w:t>
                      </w:r>
                    </w:p>
                    <w:p w14:paraId="0755BD11" w14:textId="7459C322" w:rsidR="001D161D" w:rsidRPr="005B7783" w:rsidRDefault="00835A0C" w:rsidP="005B7783">
                      <w:pPr>
                        <w:spacing w:after="0" w:line="240" w:lineRule="auto"/>
                        <w:jc w:val="center"/>
                        <w:rPr>
                          <w:color w:val="8A7A67"/>
                          <w:sz w:val="72"/>
                        </w:rPr>
                      </w:pPr>
                      <w:r>
                        <w:rPr>
                          <w:color w:val="8A7A67"/>
                          <w:sz w:val="72"/>
                        </w:rPr>
                        <w:t>Planning Manual</w:t>
                      </w:r>
                    </w:p>
                  </w:txbxContent>
                </v:textbox>
                <w10:wrap type="square" anchorx="page"/>
              </v:shape>
            </w:pict>
          </mc:Fallback>
        </mc:AlternateContent>
      </w:r>
      <w:r w:rsidR="000F56E6">
        <w:rPr>
          <w:rFonts w:ascii="Arial" w:hAnsi="Arial" w:cs="Arial"/>
          <w:noProof/>
        </w:rPr>
        <mc:AlternateContent>
          <mc:Choice Requires="wps">
            <w:drawing>
              <wp:anchor distT="0" distB="0" distL="114300" distR="114300" simplePos="0" relativeHeight="251695104" behindDoc="0" locked="0" layoutInCell="1" allowOverlap="1" wp14:anchorId="161A3AC9" wp14:editId="4CEA3649">
                <wp:simplePos x="0" y="0"/>
                <wp:positionH relativeFrom="margin">
                  <wp:posOffset>783590</wp:posOffset>
                </wp:positionH>
                <wp:positionV relativeFrom="margin">
                  <wp:posOffset>1576070</wp:posOffset>
                </wp:positionV>
                <wp:extent cx="4389120" cy="3474720"/>
                <wp:effectExtent l="19050" t="19050" r="11430" b="1143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9120" cy="3474720"/>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7586A" id="Rectangle 142" o:spid="_x0000_s1026" style="position:absolute;margin-left:61.7pt;margin-top:124.1pt;width:345.6pt;height:27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" filled="f" strokecolor="#92d050" strokeweight="3pt">
                <v:path arrowok="t"/>
                <w10:wrap anchorx="margin" anchory="margin"/>
              </v:rect>
            </w:pict>
          </mc:Fallback>
        </mc:AlternateContent>
      </w:r>
      <w:r w:rsidR="00FA4F90" w:rsidRPr="00B84F70">
        <w:rPr>
          <w:rFonts w:ascii="Arial" w:hAnsi="Arial" w:cs="Arial"/>
        </w:rPr>
        <w:br w:type="page"/>
      </w:r>
    </w:p>
    <w:p w14:paraId="2F75CDEF" w14:textId="77777777" w:rsidR="00F14868" w:rsidRDefault="00F14868" w:rsidP="001C791A">
      <w:pPr>
        <w:rPr>
          <w:rFonts w:ascii="Corbel Light" w:hAnsi="Corbel Light" w:cs="Arial"/>
          <w:sz w:val="52"/>
        </w:rPr>
      </w:pPr>
      <w:r w:rsidRPr="0046248D">
        <w:rPr>
          <w:rFonts w:ascii="Corbel Light" w:hAnsi="Corbel Light" w:cs="Arial"/>
          <w:sz w:val="52"/>
        </w:rPr>
        <w:lastRenderedPageBreak/>
        <w:t>Table of Contents</w:t>
      </w:r>
    </w:p>
    <w:p w14:paraId="42DCEEB7" w14:textId="12F86E3C" w:rsidR="00361818" w:rsidRPr="00361818" w:rsidRDefault="00390E9C">
      <w:pPr>
        <w:pStyle w:val="TOC1"/>
        <w:tabs>
          <w:tab w:val="right" w:leader="dot" w:pos="9370"/>
        </w:tabs>
        <w:rPr>
          <w:rFonts w:eastAsiaTheme="minorEastAsia" w:cstheme="minorBidi"/>
          <w:b w:val="0"/>
          <w:bCs w:val="0"/>
          <w:i w:val="0"/>
          <w:iCs w:val="0"/>
          <w:noProof/>
          <w:sz w:val="22"/>
          <w:szCs w:val="22"/>
        </w:rPr>
      </w:pPr>
      <w:r w:rsidRPr="00361818">
        <w:rPr>
          <w:rFonts w:ascii="Calibri" w:hAnsi="Calibri"/>
          <w:b w:val="0"/>
          <w:bCs w:val="0"/>
          <w:i w:val="0"/>
          <w:iCs w:val="0"/>
          <w:sz w:val="22"/>
          <w:szCs w:val="22"/>
        </w:rPr>
        <w:fldChar w:fldCharType="begin"/>
      </w:r>
      <w:r w:rsidRPr="00361818">
        <w:rPr>
          <w:rFonts w:ascii="Calibri" w:hAnsi="Calibri"/>
          <w:b w:val="0"/>
          <w:bCs w:val="0"/>
          <w:i w:val="0"/>
          <w:iCs w:val="0"/>
          <w:sz w:val="22"/>
          <w:szCs w:val="22"/>
        </w:rPr>
        <w:instrText xml:space="preserve"> TOC \o "1-2" \h \z \u </w:instrText>
      </w:r>
      <w:r w:rsidRPr="00361818">
        <w:rPr>
          <w:rFonts w:ascii="Calibri" w:hAnsi="Calibri"/>
          <w:b w:val="0"/>
          <w:bCs w:val="0"/>
          <w:i w:val="0"/>
          <w:iCs w:val="0"/>
          <w:sz w:val="22"/>
          <w:szCs w:val="22"/>
        </w:rPr>
        <w:fldChar w:fldCharType="separate"/>
      </w:r>
      <w:hyperlink w:anchor="_Toc54626417" w:history="1">
        <w:r w:rsidR="00361818" w:rsidRPr="00361818">
          <w:rPr>
            <w:rStyle w:val="Hyperlink"/>
            <w:b w:val="0"/>
            <w:noProof/>
          </w:rPr>
          <w:t>Manual Edits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_Toc54626417 \h </w:instrText>
        </w:r>
        <w:r w:rsidR="00361818" w:rsidRPr="00361818">
          <w:rPr>
            <w:b w:val="0"/>
            <w:noProof/>
            <w:webHidden/>
          </w:rPr>
        </w:r>
        <w:r w:rsidR="00361818" w:rsidRPr="00361818">
          <w:rPr>
            <w:b w:val="0"/>
            <w:noProof/>
            <w:webHidden/>
          </w:rPr>
          <w:fldChar w:fldCharType="separate"/>
        </w:r>
        <w:r w:rsidR="00361818" w:rsidRPr="00361818">
          <w:rPr>
            <w:b w:val="0"/>
            <w:noProof/>
            <w:webHidden/>
          </w:rPr>
          <w:t>3</w:t>
        </w:r>
        <w:r w:rsidR="00361818" w:rsidRPr="00361818">
          <w:rPr>
            <w:b w:val="0"/>
            <w:noProof/>
            <w:webHidden/>
          </w:rPr>
          <w:fldChar w:fldCharType="end"/>
        </w:r>
      </w:hyperlink>
    </w:p>
    <w:p w14:paraId="30BEAD56" w14:textId="472A833C"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18" w:history="1">
        <w:r w:rsidR="00361818" w:rsidRPr="00361818">
          <w:rPr>
            <w:rStyle w:val="Hyperlink"/>
            <w:b w:val="0"/>
            <w:noProof/>
          </w:rPr>
          <w:t>Introduction</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_Toc54626418 \h </w:instrText>
        </w:r>
        <w:r w:rsidR="00361818" w:rsidRPr="00361818">
          <w:rPr>
            <w:b w:val="0"/>
            <w:noProof/>
            <w:webHidden/>
          </w:rPr>
        </w:r>
        <w:r w:rsidR="00361818" w:rsidRPr="00361818">
          <w:rPr>
            <w:b w:val="0"/>
            <w:noProof/>
            <w:webHidden/>
          </w:rPr>
          <w:fldChar w:fldCharType="separate"/>
        </w:r>
        <w:r w:rsidR="00361818" w:rsidRPr="00361818">
          <w:rPr>
            <w:b w:val="0"/>
            <w:noProof/>
            <w:webHidden/>
          </w:rPr>
          <w:t>3</w:t>
        </w:r>
        <w:r w:rsidR="00361818" w:rsidRPr="00361818">
          <w:rPr>
            <w:b w:val="0"/>
            <w:noProof/>
            <w:webHidden/>
          </w:rPr>
          <w:fldChar w:fldCharType="end"/>
        </w:r>
      </w:hyperlink>
    </w:p>
    <w:p w14:paraId="1E0C8154" w14:textId="21A57F12"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19" w:history="1">
        <w:r w:rsidR="00361818" w:rsidRPr="00361818">
          <w:rPr>
            <w:rStyle w:val="Hyperlink"/>
            <w:b w:val="0"/>
            <w:noProof/>
          </w:rPr>
          <w:t>Overview of CDBG-MIT Funding</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_Toc54626419 \h </w:instrText>
        </w:r>
        <w:r w:rsidR="00361818" w:rsidRPr="00361818">
          <w:rPr>
            <w:b w:val="0"/>
            <w:noProof/>
            <w:webHidden/>
          </w:rPr>
        </w:r>
        <w:r w:rsidR="00361818" w:rsidRPr="00361818">
          <w:rPr>
            <w:b w:val="0"/>
            <w:noProof/>
            <w:webHidden/>
          </w:rPr>
          <w:fldChar w:fldCharType="separate"/>
        </w:r>
        <w:r w:rsidR="00361818" w:rsidRPr="00361818">
          <w:rPr>
            <w:b w:val="0"/>
            <w:noProof/>
            <w:webHidden/>
          </w:rPr>
          <w:t>3</w:t>
        </w:r>
        <w:r w:rsidR="00361818" w:rsidRPr="00361818">
          <w:rPr>
            <w:b w:val="0"/>
            <w:noProof/>
            <w:webHidden/>
          </w:rPr>
          <w:fldChar w:fldCharType="end"/>
        </w:r>
      </w:hyperlink>
    </w:p>
    <w:p w14:paraId="60CA391F" w14:textId="3A669B94"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0" w:history="1">
        <w:r w:rsidR="00361818" w:rsidRPr="00361818">
          <w:rPr>
            <w:rStyle w:val="Hyperlink"/>
            <w:b w:val="0"/>
            <w:noProof/>
          </w:rPr>
          <w:t>Technical Assistance</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_Toc54626420 \h </w:instrText>
        </w:r>
        <w:r w:rsidR="00361818" w:rsidRPr="00361818">
          <w:rPr>
            <w:b w:val="0"/>
            <w:noProof/>
            <w:webHidden/>
          </w:rPr>
        </w:r>
        <w:r w:rsidR="00361818" w:rsidRPr="00361818">
          <w:rPr>
            <w:b w:val="0"/>
            <w:noProof/>
            <w:webHidden/>
          </w:rPr>
          <w:fldChar w:fldCharType="separate"/>
        </w:r>
        <w:r w:rsidR="00361818" w:rsidRPr="00361818">
          <w:rPr>
            <w:b w:val="0"/>
            <w:noProof/>
            <w:webHidden/>
          </w:rPr>
          <w:t>3</w:t>
        </w:r>
        <w:r w:rsidR="00361818" w:rsidRPr="00361818">
          <w:rPr>
            <w:b w:val="0"/>
            <w:noProof/>
            <w:webHidden/>
          </w:rPr>
          <w:fldChar w:fldCharType="end"/>
        </w:r>
      </w:hyperlink>
    </w:p>
    <w:p w14:paraId="48FE50A6" w14:textId="0B702EE5"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1" w:history="1">
        <w:r w:rsidR="00361818" w:rsidRPr="00361818">
          <w:rPr>
            <w:rStyle w:val="Hyperlink"/>
            <w:b w:val="0"/>
            <w:noProof/>
          </w:rPr>
          <w:t>What is Disaster Planning?</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_Toc54626421 \h </w:instrText>
        </w:r>
        <w:r w:rsidR="00361818" w:rsidRPr="00361818">
          <w:rPr>
            <w:b w:val="0"/>
            <w:noProof/>
            <w:webHidden/>
          </w:rPr>
        </w:r>
        <w:r w:rsidR="00361818" w:rsidRPr="00361818">
          <w:rPr>
            <w:b w:val="0"/>
            <w:noProof/>
            <w:webHidden/>
          </w:rPr>
          <w:fldChar w:fldCharType="separate"/>
        </w:r>
        <w:r w:rsidR="00361818" w:rsidRPr="00361818">
          <w:rPr>
            <w:b w:val="0"/>
            <w:noProof/>
            <w:webHidden/>
          </w:rPr>
          <w:t>4</w:t>
        </w:r>
        <w:r w:rsidR="00361818" w:rsidRPr="00361818">
          <w:rPr>
            <w:b w:val="0"/>
            <w:noProof/>
            <w:webHidden/>
          </w:rPr>
          <w:fldChar w:fldCharType="end"/>
        </w:r>
      </w:hyperlink>
    </w:p>
    <w:p w14:paraId="5F68C9D8" w14:textId="2412D70D"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2" w:history="1">
        <w:r w:rsidR="00361818" w:rsidRPr="00361818">
          <w:rPr>
            <w:rStyle w:val="Hyperlink"/>
            <w:b w:val="0"/>
            <w:noProof/>
          </w:rPr>
          <w:t>Eligibility Requirements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_Toc54626422 \h </w:instrText>
        </w:r>
        <w:r w:rsidR="00361818" w:rsidRPr="00361818">
          <w:rPr>
            <w:b w:val="0"/>
            <w:noProof/>
            <w:webHidden/>
          </w:rPr>
        </w:r>
        <w:r w:rsidR="00361818" w:rsidRPr="00361818">
          <w:rPr>
            <w:b w:val="0"/>
            <w:noProof/>
            <w:webHidden/>
          </w:rPr>
          <w:fldChar w:fldCharType="separate"/>
        </w:r>
        <w:r w:rsidR="00361818" w:rsidRPr="00361818">
          <w:rPr>
            <w:b w:val="0"/>
            <w:noProof/>
            <w:webHidden/>
          </w:rPr>
          <w:t>4</w:t>
        </w:r>
        <w:r w:rsidR="00361818" w:rsidRPr="00361818">
          <w:rPr>
            <w:b w:val="0"/>
            <w:noProof/>
            <w:webHidden/>
          </w:rPr>
          <w:fldChar w:fldCharType="end"/>
        </w:r>
      </w:hyperlink>
    </w:p>
    <w:p w14:paraId="52143FA1" w14:textId="5AB85876"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3" w:history="1">
        <w:r w:rsidR="00361818" w:rsidRPr="00361818">
          <w:rPr>
            <w:rStyle w:val="Hyperlink"/>
            <w:b w:val="0"/>
            <w:noProof/>
          </w:rPr>
          <w:t>Common Mitigation Planning Activities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_Toc54626423 \h </w:instrText>
        </w:r>
        <w:r w:rsidR="00361818" w:rsidRPr="00361818">
          <w:rPr>
            <w:b w:val="0"/>
            <w:noProof/>
            <w:webHidden/>
          </w:rPr>
        </w:r>
        <w:r w:rsidR="00361818" w:rsidRPr="00361818">
          <w:rPr>
            <w:b w:val="0"/>
            <w:noProof/>
            <w:webHidden/>
          </w:rPr>
          <w:fldChar w:fldCharType="separate"/>
        </w:r>
        <w:r w:rsidR="00361818" w:rsidRPr="00361818">
          <w:rPr>
            <w:b w:val="0"/>
            <w:noProof/>
            <w:webHidden/>
          </w:rPr>
          <w:t>4</w:t>
        </w:r>
        <w:r w:rsidR="00361818" w:rsidRPr="00361818">
          <w:rPr>
            <w:b w:val="0"/>
            <w:noProof/>
            <w:webHidden/>
          </w:rPr>
          <w:fldChar w:fldCharType="end"/>
        </w:r>
      </w:hyperlink>
    </w:p>
    <w:p w14:paraId="6DD9ED5C" w14:textId="413CF99E"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4" w:history="1">
        <w:r w:rsidR="00361818" w:rsidRPr="00361818">
          <w:rPr>
            <w:rStyle w:val="Hyperlink"/>
            <w:b w:val="0"/>
            <w:noProof/>
          </w:rPr>
          <w:t>Ineligible Activities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_Toc54626424 \h </w:instrText>
        </w:r>
        <w:r w:rsidR="00361818" w:rsidRPr="00361818">
          <w:rPr>
            <w:b w:val="0"/>
            <w:noProof/>
            <w:webHidden/>
          </w:rPr>
        </w:r>
        <w:r w:rsidR="00361818" w:rsidRPr="00361818">
          <w:rPr>
            <w:b w:val="0"/>
            <w:noProof/>
            <w:webHidden/>
          </w:rPr>
          <w:fldChar w:fldCharType="separate"/>
        </w:r>
        <w:r w:rsidR="00361818" w:rsidRPr="00361818">
          <w:rPr>
            <w:b w:val="0"/>
            <w:noProof/>
            <w:webHidden/>
          </w:rPr>
          <w:t>5</w:t>
        </w:r>
        <w:r w:rsidR="00361818" w:rsidRPr="00361818">
          <w:rPr>
            <w:b w:val="0"/>
            <w:noProof/>
            <w:webHidden/>
          </w:rPr>
          <w:fldChar w:fldCharType="end"/>
        </w:r>
      </w:hyperlink>
    </w:p>
    <w:p w14:paraId="5C73D583" w14:textId="267F96E4"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5" w:history="1">
        <w:r w:rsidR="00361818" w:rsidRPr="00361818">
          <w:rPr>
            <w:rStyle w:val="Hyperlink"/>
            <w:b w:val="0"/>
            <w:noProof/>
          </w:rPr>
          <w:t>Activity Limits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_Toc54626425 \h </w:instrText>
        </w:r>
        <w:r w:rsidR="00361818" w:rsidRPr="00361818">
          <w:rPr>
            <w:b w:val="0"/>
            <w:noProof/>
            <w:webHidden/>
          </w:rPr>
        </w:r>
        <w:r w:rsidR="00361818" w:rsidRPr="00361818">
          <w:rPr>
            <w:b w:val="0"/>
            <w:noProof/>
            <w:webHidden/>
          </w:rPr>
          <w:fldChar w:fldCharType="separate"/>
        </w:r>
        <w:r w:rsidR="00361818" w:rsidRPr="00361818">
          <w:rPr>
            <w:b w:val="0"/>
            <w:noProof/>
            <w:webHidden/>
          </w:rPr>
          <w:t>5</w:t>
        </w:r>
        <w:r w:rsidR="00361818" w:rsidRPr="00361818">
          <w:rPr>
            <w:b w:val="0"/>
            <w:noProof/>
            <w:webHidden/>
          </w:rPr>
          <w:fldChar w:fldCharType="end"/>
        </w:r>
      </w:hyperlink>
    </w:p>
    <w:p w14:paraId="62D2DC6D" w14:textId="6278DD00"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6" w:history="1">
        <w:r w:rsidR="00361818" w:rsidRPr="00361818">
          <w:rPr>
            <w:rStyle w:val="Hyperlink"/>
            <w:b w:val="0"/>
            <w:noProof/>
          </w:rPr>
          <w:t>Period of Performance</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_Toc54626426 \h </w:instrText>
        </w:r>
        <w:r w:rsidR="00361818" w:rsidRPr="00361818">
          <w:rPr>
            <w:b w:val="0"/>
            <w:noProof/>
            <w:webHidden/>
          </w:rPr>
        </w:r>
        <w:r w:rsidR="00361818" w:rsidRPr="00361818">
          <w:rPr>
            <w:b w:val="0"/>
            <w:noProof/>
            <w:webHidden/>
          </w:rPr>
          <w:fldChar w:fldCharType="separate"/>
        </w:r>
        <w:r w:rsidR="00361818" w:rsidRPr="00361818">
          <w:rPr>
            <w:b w:val="0"/>
            <w:noProof/>
            <w:webHidden/>
          </w:rPr>
          <w:t>5</w:t>
        </w:r>
        <w:r w:rsidR="00361818" w:rsidRPr="00361818">
          <w:rPr>
            <w:b w:val="0"/>
            <w:noProof/>
            <w:webHidden/>
          </w:rPr>
          <w:fldChar w:fldCharType="end"/>
        </w:r>
      </w:hyperlink>
    </w:p>
    <w:p w14:paraId="4E5F39A2" w14:textId="00214E95"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7" w:history="1">
        <w:r w:rsidR="00361818" w:rsidRPr="00361818">
          <w:rPr>
            <w:rStyle w:val="Hyperlink"/>
            <w:b w:val="0"/>
            <w:noProof/>
          </w:rPr>
          <w:t>Promoting an Inclusive and Participatory Planning Process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_Toc54626427 \h </w:instrText>
        </w:r>
        <w:r w:rsidR="00361818" w:rsidRPr="00361818">
          <w:rPr>
            <w:b w:val="0"/>
            <w:noProof/>
            <w:webHidden/>
          </w:rPr>
        </w:r>
        <w:r w:rsidR="00361818" w:rsidRPr="00361818">
          <w:rPr>
            <w:b w:val="0"/>
            <w:noProof/>
            <w:webHidden/>
          </w:rPr>
          <w:fldChar w:fldCharType="separate"/>
        </w:r>
        <w:r w:rsidR="00361818" w:rsidRPr="00361818">
          <w:rPr>
            <w:b w:val="0"/>
            <w:noProof/>
            <w:webHidden/>
          </w:rPr>
          <w:t>5</w:t>
        </w:r>
        <w:r w:rsidR="00361818" w:rsidRPr="00361818">
          <w:rPr>
            <w:b w:val="0"/>
            <w:noProof/>
            <w:webHidden/>
          </w:rPr>
          <w:fldChar w:fldCharType="end"/>
        </w:r>
      </w:hyperlink>
    </w:p>
    <w:p w14:paraId="3632D53E" w14:textId="1371C6BF"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8" w:history="1">
        <w:r w:rsidR="00361818" w:rsidRPr="00361818">
          <w:rPr>
            <w:rStyle w:val="Hyperlink"/>
            <w:b w:val="0"/>
            <w:noProof/>
          </w:rPr>
          <w:t>Duplication of Benefits (DOB)</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_Toc54626428 \h </w:instrText>
        </w:r>
        <w:r w:rsidR="00361818" w:rsidRPr="00361818">
          <w:rPr>
            <w:b w:val="0"/>
            <w:noProof/>
            <w:webHidden/>
          </w:rPr>
        </w:r>
        <w:r w:rsidR="00361818" w:rsidRPr="00361818">
          <w:rPr>
            <w:b w:val="0"/>
            <w:noProof/>
            <w:webHidden/>
          </w:rPr>
          <w:fldChar w:fldCharType="separate"/>
        </w:r>
        <w:r w:rsidR="00361818" w:rsidRPr="00361818">
          <w:rPr>
            <w:b w:val="0"/>
            <w:noProof/>
            <w:webHidden/>
          </w:rPr>
          <w:t>5</w:t>
        </w:r>
        <w:r w:rsidR="00361818" w:rsidRPr="00361818">
          <w:rPr>
            <w:b w:val="0"/>
            <w:noProof/>
            <w:webHidden/>
          </w:rPr>
          <w:fldChar w:fldCharType="end"/>
        </w:r>
      </w:hyperlink>
    </w:p>
    <w:p w14:paraId="572B79BF" w14:textId="7F24D59F"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29" w:history="1">
        <w:r w:rsidR="00361818" w:rsidRPr="00361818">
          <w:rPr>
            <w:rStyle w:val="Hyperlink"/>
            <w:b w:val="0"/>
            <w:noProof/>
          </w:rPr>
          <w:t>National Objectives</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_Toc54626429 \h </w:instrText>
        </w:r>
        <w:r w:rsidR="00361818" w:rsidRPr="00361818">
          <w:rPr>
            <w:b w:val="0"/>
            <w:noProof/>
            <w:webHidden/>
          </w:rPr>
        </w:r>
        <w:r w:rsidR="00361818" w:rsidRPr="00361818">
          <w:rPr>
            <w:b w:val="0"/>
            <w:noProof/>
            <w:webHidden/>
          </w:rPr>
          <w:fldChar w:fldCharType="separate"/>
        </w:r>
        <w:r w:rsidR="00361818" w:rsidRPr="00361818">
          <w:rPr>
            <w:b w:val="0"/>
            <w:noProof/>
            <w:webHidden/>
          </w:rPr>
          <w:t>6</w:t>
        </w:r>
        <w:r w:rsidR="00361818" w:rsidRPr="00361818">
          <w:rPr>
            <w:b w:val="0"/>
            <w:noProof/>
            <w:webHidden/>
          </w:rPr>
          <w:fldChar w:fldCharType="end"/>
        </w:r>
      </w:hyperlink>
    </w:p>
    <w:p w14:paraId="39EA8681" w14:textId="044471A9"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30" w:history="1">
        <w:r w:rsidR="00361818" w:rsidRPr="00361818">
          <w:rPr>
            <w:rStyle w:val="Hyperlink"/>
            <w:b w:val="0"/>
            <w:noProof/>
          </w:rPr>
          <w:t>Environmental Review Requirement</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_Toc54626430 \h </w:instrText>
        </w:r>
        <w:r w:rsidR="00361818" w:rsidRPr="00361818">
          <w:rPr>
            <w:b w:val="0"/>
            <w:noProof/>
            <w:webHidden/>
          </w:rPr>
        </w:r>
        <w:r w:rsidR="00361818" w:rsidRPr="00361818">
          <w:rPr>
            <w:b w:val="0"/>
            <w:noProof/>
            <w:webHidden/>
          </w:rPr>
          <w:fldChar w:fldCharType="separate"/>
        </w:r>
        <w:r w:rsidR="00361818" w:rsidRPr="00361818">
          <w:rPr>
            <w:b w:val="0"/>
            <w:noProof/>
            <w:webHidden/>
          </w:rPr>
          <w:t>6</w:t>
        </w:r>
        <w:r w:rsidR="00361818" w:rsidRPr="00361818">
          <w:rPr>
            <w:b w:val="0"/>
            <w:noProof/>
            <w:webHidden/>
          </w:rPr>
          <w:fldChar w:fldCharType="end"/>
        </w:r>
      </w:hyperlink>
    </w:p>
    <w:p w14:paraId="7536CED6" w14:textId="477DC79A" w:rsidR="00361818" w:rsidRPr="00361818" w:rsidRDefault="001E4D5D">
      <w:pPr>
        <w:pStyle w:val="TOC1"/>
        <w:tabs>
          <w:tab w:val="right" w:leader="dot" w:pos="9370"/>
        </w:tabs>
        <w:rPr>
          <w:rFonts w:eastAsiaTheme="minorEastAsia" w:cstheme="minorBidi"/>
          <w:b w:val="0"/>
          <w:bCs w:val="0"/>
          <w:i w:val="0"/>
          <w:iCs w:val="0"/>
          <w:noProof/>
          <w:sz w:val="22"/>
          <w:szCs w:val="22"/>
        </w:rPr>
      </w:pPr>
      <w:hyperlink w:anchor="_Toc54626431" w:history="1">
        <w:r w:rsidR="00361818" w:rsidRPr="00361818">
          <w:rPr>
            <w:rStyle w:val="Hyperlink"/>
            <w:b w:val="0"/>
            <w:noProof/>
          </w:rPr>
          <w:t>How to Apply</w:t>
        </w:r>
        <w:r w:rsidR="00361818" w:rsidRPr="00361818">
          <w:rPr>
            <w:b w:val="0"/>
            <w:noProof/>
            <w:webHidden/>
          </w:rPr>
          <w:tab/>
        </w:r>
        <w:r w:rsidR="00361818" w:rsidRPr="00361818">
          <w:rPr>
            <w:b w:val="0"/>
            <w:noProof/>
            <w:webHidden/>
          </w:rPr>
          <w:fldChar w:fldCharType="begin"/>
        </w:r>
        <w:r w:rsidR="00361818" w:rsidRPr="00361818">
          <w:rPr>
            <w:b w:val="0"/>
            <w:noProof/>
            <w:webHidden/>
          </w:rPr>
          <w:instrText xml:space="preserve"> PAGEREF _Toc54626431 \h </w:instrText>
        </w:r>
        <w:r w:rsidR="00361818" w:rsidRPr="00361818">
          <w:rPr>
            <w:b w:val="0"/>
            <w:noProof/>
            <w:webHidden/>
          </w:rPr>
        </w:r>
        <w:r w:rsidR="00361818" w:rsidRPr="00361818">
          <w:rPr>
            <w:b w:val="0"/>
            <w:noProof/>
            <w:webHidden/>
          </w:rPr>
          <w:fldChar w:fldCharType="separate"/>
        </w:r>
        <w:r w:rsidR="00361818" w:rsidRPr="00361818">
          <w:rPr>
            <w:b w:val="0"/>
            <w:noProof/>
            <w:webHidden/>
          </w:rPr>
          <w:t>6</w:t>
        </w:r>
        <w:r w:rsidR="00361818" w:rsidRPr="00361818">
          <w:rPr>
            <w:b w:val="0"/>
            <w:noProof/>
            <w:webHidden/>
          </w:rPr>
          <w:fldChar w:fldCharType="end"/>
        </w:r>
      </w:hyperlink>
    </w:p>
    <w:p w14:paraId="1F84D96F" w14:textId="6ECCD38E" w:rsidR="00D405DF" w:rsidRPr="00361818" w:rsidRDefault="00390E9C" w:rsidP="00642A39">
      <w:pPr>
        <w:spacing w:after="60" w:line="240" w:lineRule="auto"/>
        <w:rPr>
          <w:rFonts w:cstheme="minorHAnsi"/>
        </w:rPr>
      </w:pPr>
      <w:r w:rsidRPr="00361818">
        <w:rPr>
          <w:rFonts w:ascii="Calibri" w:hAnsi="Calibri" w:cstheme="minorHAnsi"/>
          <w:bCs/>
          <w:i/>
          <w:iCs/>
        </w:rPr>
        <w:fldChar w:fldCharType="end"/>
      </w:r>
    </w:p>
    <w:p w14:paraId="4696451A" w14:textId="67D5C07E" w:rsidR="00F14868" w:rsidRDefault="00F14868">
      <w:pPr>
        <w:rPr>
          <w:rFonts w:ascii="Arial" w:hAnsi="Arial" w:cs="Arial"/>
        </w:rPr>
      </w:pPr>
    </w:p>
    <w:p w14:paraId="0E468AD4" w14:textId="4AC8224E" w:rsidR="00A35C35" w:rsidRDefault="00A35C35">
      <w:pPr>
        <w:rPr>
          <w:rFonts w:ascii="Arial" w:hAnsi="Arial" w:cs="Arial"/>
        </w:rPr>
      </w:pPr>
    </w:p>
    <w:p w14:paraId="14DDDF10" w14:textId="6A697FFB" w:rsidR="00EB7037" w:rsidRDefault="00EB7037">
      <w:pPr>
        <w:rPr>
          <w:rFonts w:ascii="Arial" w:hAnsi="Arial" w:cs="Arial"/>
        </w:rPr>
      </w:pPr>
    </w:p>
    <w:p w14:paraId="3FF59F7A" w14:textId="04E17420" w:rsidR="00EB7037" w:rsidRDefault="00EB7037">
      <w:pPr>
        <w:rPr>
          <w:rFonts w:ascii="Arial" w:hAnsi="Arial" w:cs="Arial"/>
        </w:rPr>
      </w:pPr>
    </w:p>
    <w:p w14:paraId="40ABAA19" w14:textId="01C5EA99" w:rsidR="00EB7037" w:rsidRDefault="00EB7037">
      <w:pPr>
        <w:rPr>
          <w:rFonts w:ascii="Arial" w:hAnsi="Arial" w:cs="Arial"/>
        </w:rPr>
      </w:pPr>
    </w:p>
    <w:p w14:paraId="3E2C1743" w14:textId="6428DAE8" w:rsidR="00EB7037" w:rsidRDefault="00EB7037">
      <w:pPr>
        <w:rPr>
          <w:rFonts w:ascii="Arial" w:hAnsi="Arial" w:cs="Arial"/>
        </w:rPr>
      </w:pPr>
    </w:p>
    <w:p w14:paraId="5FA76FF1" w14:textId="5625CF30" w:rsidR="00EB7037" w:rsidRDefault="00EB7037">
      <w:pPr>
        <w:rPr>
          <w:rFonts w:ascii="Arial" w:hAnsi="Arial" w:cs="Arial"/>
        </w:rPr>
      </w:pPr>
    </w:p>
    <w:p w14:paraId="038A4EC4" w14:textId="6BFC5F03" w:rsidR="00EB7037" w:rsidRDefault="00EB7037">
      <w:pPr>
        <w:rPr>
          <w:rFonts w:ascii="Arial" w:hAnsi="Arial" w:cs="Arial"/>
        </w:rPr>
      </w:pPr>
    </w:p>
    <w:p w14:paraId="4BD5DD91" w14:textId="2B7DAA0B" w:rsidR="00EB7037" w:rsidRDefault="00EB7037">
      <w:pPr>
        <w:rPr>
          <w:rFonts w:ascii="Arial" w:hAnsi="Arial" w:cs="Arial"/>
        </w:rPr>
      </w:pPr>
    </w:p>
    <w:p w14:paraId="0EF13F5E" w14:textId="77777777" w:rsidR="00EB7037" w:rsidRDefault="00EB7037">
      <w:pPr>
        <w:rPr>
          <w:rFonts w:ascii="Arial" w:hAnsi="Arial" w:cs="Arial"/>
        </w:rPr>
      </w:pPr>
    </w:p>
    <w:p w14:paraId="60B9EC42" w14:textId="372575C7" w:rsidR="002455DA" w:rsidRDefault="00835A0C" w:rsidP="005F3EB0">
      <w:pPr>
        <w:pStyle w:val="Heading1"/>
        <w:spacing w:before="0" w:after="60"/>
        <w:rPr>
          <w:rFonts w:eastAsiaTheme="minorEastAsia"/>
        </w:rPr>
      </w:pPr>
      <w:bookmarkStart w:id="0" w:name="_Toc54626417"/>
      <w:r>
        <w:rPr>
          <w:rFonts w:eastAsiaTheme="minorEastAsia"/>
        </w:rPr>
        <w:lastRenderedPageBreak/>
        <w:t xml:space="preserve">Manual </w:t>
      </w:r>
      <w:r w:rsidR="002455DA">
        <w:rPr>
          <w:rFonts w:eastAsiaTheme="minorEastAsia"/>
        </w:rPr>
        <w:t>Edits</w:t>
      </w:r>
      <w:bookmarkEnd w:id="0"/>
    </w:p>
    <w:p w14:paraId="76E09419" w14:textId="55104593" w:rsidR="002455DA" w:rsidRDefault="002455DA" w:rsidP="005F3EB0">
      <w:pPr>
        <w:spacing w:after="120"/>
        <w:jc w:val="both"/>
      </w:pPr>
      <w:r>
        <w:t>DCA reserves the right to edit this manual when necessary. DCA will mark all changes and will label the version of the Manual. All versions of the manual will be posted on</w:t>
      </w:r>
      <w:r w:rsidR="00EB7037">
        <w:t xml:space="preserve"> the DCA website</w:t>
      </w:r>
      <w:r>
        <w:t xml:space="preserve">. DCA will use the following formatting to mark all changes: </w:t>
      </w:r>
    </w:p>
    <w:p w14:paraId="51252D90" w14:textId="77777777" w:rsidR="002455DA" w:rsidRDefault="002455DA" w:rsidP="005F3EB0">
      <w:pPr>
        <w:spacing w:after="120"/>
      </w:pPr>
      <w:r w:rsidRPr="002455DA">
        <w:t xml:space="preserve">Additions: </w:t>
      </w:r>
      <w:r w:rsidRPr="002455DA">
        <w:rPr>
          <w:color w:val="FF0000"/>
          <w:u w:val="single"/>
        </w:rPr>
        <w:t>Font color red, underline</w:t>
      </w:r>
      <w:r w:rsidRPr="002455DA">
        <w:rPr>
          <w:color w:val="FF0000"/>
        </w:rPr>
        <w:t xml:space="preserve"> </w:t>
      </w:r>
    </w:p>
    <w:p w14:paraId="042FFC84" w14:textId="518AB3EB" w:rsidR="002455DA" w:rsidRDefault="002455DA" w:rsidP="005F3EB0">
      <w:pPr>
        <w:spacing w:after="120"/>
      </w:pPr>
      <w:r w:rsidRPr="002455DA">
        <w:t xml:space="preserve">Deletions: </w:t>
      </w:r>
      <w:r w:rsidRPr="002455DA">
        <w:rPr>
          <w:strike/>
          <w:color w:val="FF0000"/>
        </w:rPr>
        <w:t>Font color red, strike-through text</w:t>
      </w:r>
    </w:p>
    <w:p w14:paraId="665BDD19" w14:textId="2AA407FF" w:rsidR="001C791A" w:rsidRPr="00F05C5D" w:rsidRDefault="001C791A" w:rsidP="005F3EB0">
      <w:pPr>
        <w:pStyle w:val="Heading1"/>
        <w:spacing w:before="0" w:after="120"/>
        <w:rPr>
          <w:rFonts w:eastAsiaTheme="minorEastAsia"/>
        </w:rPr>
      </w:pPr>
      <w:bookmarkStart w:id="1" w:name="_Toc54626418"/>
      <w:r w:rsidRPr="00F05C5D">
        <w:rPr>
          <w:rFonts w:eastAsiaTheme="minorEastAsia"/>
        </w:rPr>
        <w:t>I</w:t>
      </w:r>
      <w:r w:rsidR="00264A9C">
        <w:rPr>
          <w:rFonts w:eastAsiaTheme="minorEastAsia"/>
        </w:rPr>
        <w:t>ntroduction</w:t>
      </w:r>
      <w:bookmarkEnd w:id="1"/>
    </w:p>
    <w:p w14:paraId="7E01DF02" w14:textId="57E8F7C3" w:rsidR="001C791A" w:rsidRPr="00A16AB8" w:rsidRDefault="00EB7037" w:rsidP="005F3EB0">
      <w:pPr>
        <w:widowControl w:val="0"/>
        <w:kinsoku w:val="0"/>
        <w:overflowPunct w:val="0"/>
        <w:autoSpaceDE w:val="0"/>
        <w:autoSpaceDN w:val="0"/>
        <w:adjustRightInd w:val="0"/>
        <w:spacing w:after="120"/>
        <w:ind w:right="216"/>
        <w:jc w:val="both"/>
        <w:rPr>
          <w:rFonts w:eastAsiaTheme="minorEastAsia" w:cstheme="minorHAnsi"/>
        </w:rPr>
      </w:pPr>
      <w:r>
        <w:rPr>
          <w:rFonts w:eastAsiaTheme="minorEastAsia" w:cstheme="minorHAnsi"/>
        </w:rPr>
        <w:t>The Department of Community Affairs (DCA) created this Planning</w:t>
      </w:r>
      <w:r w:rsidR="001C791A" w:rsidRPr="00A16AB8">
        <w:rPr>
          <w:rFonts w:eastAsiaTheme="minorEastAsia" w:cstheme="minorHAnsi"/>
        </w:rPr>
        <w:t xml:space="preserve"> Manual</w:t>
      </w:r>
      <w:r>
        <w:rPr>
          <w:rFonts w:eastAsiaTheme="minorEastAsia" w:cstheme="minorHAnsi"/>
        </w:rPr>
        <w:t xml:space="preserve"> to communicate the process for requesting planning funds and to detail program requirements. This Manual </w:t>
      </w:r>
      <w:r w:rsidRPr="00A16AB8">
        <w:rPr>
          <w:rFonts w:eastAsiaTheme="minorEastAsia" w:cstheme="minorHAnsi"/>
        </w:rPr>
        <w:t>represents</w:t>
      </w:r>
      <w:r w:rsidR="001C791A" w:rsidRPr="00A16AB8">
        <w:rPr>
          <w:rFonts w:eastAsiaTheme="minorEastAsia" w:cstheme="minorHAnsi"/>
        </w:rPr>
        <w:t xml:space="preserve"> one of </w:t>
      </w:r>
      <w:r>
        <w:rPr>
          <w:rFonts w:eastAsiaTheme="minorEastAsia" w:cstheme="minorHAnsi"/>
        </w:rPr>
        <w:t xml:space="preserve">the </w:t>
      </w:r>
      <w:r w:rsidR="001C791A" w:rsidRPr="00A16AB8">
        <w:rPr>
          <w:rFonts w:eastAsiaTheme="minorEastAsia" w:cstheme="minorHAnsi"/>
        </w:rPr>
        <w:t>elements by which the Department addresses its administrative responsibilities for the Community Development Block Grant</w:t>
      </w:r>
      <w:r>
        <w:rPr>
          <w:rFonts w:eastAsiaTheme="minorEastAsia" w:cstheme="minorHAnsi"/>
        </w:rPr>
        <w:t xml:space="preserve"> Disaster Recovery (CDBG-DR) and Mitigation (CDBG-</w:t>
      </w:r>
      <w:r w:rsidR="001C791A" w:rsidRPr="00A16AB8">
        <w:rPr>
          <w:rFonts w:eastAsiaTheme="minorEastAsia" w:cstheme="minorHAnsi"/>
        </w:rPr>
        <w:t>MIT) funding. Every effort</w:t>
      </w:r>
      <w:r w:rsidR="001C791A" w:rsidRPr="00A16AB8">
        <w:rPr>
          <w:rFonts w:eastAsiaTheme="minorEastAsia" w:cstheme="minorHAnsi"/>
          <w:spacing w:val="-12"/>
        </w:rPr>
        <w:t xml:space="preserve"> </w:t>
      </w:r>
      <w:r w:rsidR="001C791A" w:rsidRPr="00A16AB8">
        <w:rPr>
          <w:rFonts w:eastAsiaTheme="minorEastAsia" w:cstheme="minorHAnsi"/>
        </w:rPr>
        <w:t>has</w:t>
      </w:r>
      <w:r w:rsidR="001C791A" w:rsidRPr="00A16AB8">
        <w:rPr>
          <w:rFonts w:eastAsiaTheme="minorEastAsia" w:cstheme="minorHAnsi"/>
          <w:spacing w:val="-13"/>
        </w:rPr>
        <w:t xml:space="preserve"> </w:t>
      </w:r>
      <w:r w:rsidR="001C791A" w:rsidRPr="00A16AB8">
        <w:rPr>
          <w:rFonts w:eastAsiaTheme="minorEastAsia" w:cstheme="minorHAnsi"/>
        </w:rPr>
        <w:t>been</w:t>
      </w:r>
      <w:r w:rsidR="001C791A" w:rsidRPr="00A16AB8">
        <w:rPr>
          <w:rFonts w:eastAsiaTheme="minorEastAsia" w:cstheme="minorHAnsi"/>
          <w:spacing w:val="-16"/>
        </w:rPr>
        <w:t xml:space="preserve"> </w:t>
      </w:r>
      <w:r w:rsidR="001C791A" w:rsidRPr="00A16AB8">
        <w:rPr>
          <w:rFonts w:eastAsiaTheme="minorEastAsia" w:cstheme="minorHAnsi"/>
        </w:rPr>
        <w:t>made</w:t>
      </w:r>
      <w:r w:rsidR="001C791A" w:rsidRPr="00A16AB8">
        <w:rPr>
          <w:rFonts w:eastAsiaTheme="minorEastAsia" w:cstheme="minorHAnsi"/>
          <w:spacing w:val="-13"/>
        </w:rPr>
        <w:t xml:space="preserve"> </w:t>
      </w:r>
      <w:r w:rsidR="001C791A" w:rsidRPr="00A16AB8">
        <w:rPr>
          <w:rFonts w:eastAsiaTheme="minorEastAsia" w:cstheme="minorHAnsi"/>
        </w:rPr>
        <w:t>to</w:t>
      </w:r>
      <w:r w:rsidR="001C791A" w:rsidRPr="00A16AB8">
        <w:rPr>
          <w:rFonts w:eastAsiaTheme="minorEastAsia" w:cstheme="minorHAnsi"/>
          <w:spacing w:val="-14"/>
        </w:rPr>
        <w:t xml:space="preserve"> </w:t>
      </w:r>
      <w:r w:rsidR="001C791A" w:rsidRPr="00A16AB8">
        <w:rPr>
          <w:rFonts w:eastAsiaTheme="minorEastAsia" w:cstheme="minorHAnsi"/>
        </w:rPr>
        <w:t>balance</w:t>
      </w:r>
      <w:r w:rsidR="001C791A" w:rsidRPr="00A16AB8">
        <w:rPr>
          <w:rFonts w:eastAsiaTheme="minorEastAsia" w:cstheme="minorHAnsi"/>
          <w:spacing w:val="-11"/>
        </w:rPr>
        <w:t xml:space="preserve"> </w:t>
      </w:r>
      <w:r w:rsidR="001C791A" w:rsidRPr="00A16AB8">
        <w:rPr>
          <w:rFonts w:eastAsiaTheme="minorEastAsia" w:cstheme="minorHAnsi"/>
        </w:rPr>
        <w:t>the</w:t>
      </w:r>
      <w:r w:rsidR="001C791A" w:rsidRPr="00A16AB8">
        <w:rPr>
          <w:rFonts w:eastAsiaTheme="minorEastAsia" w:cstheme="minorHAnsi"/>
          <w:spacing w:val="-14"/>
        </w:rPr>
        <w:t xml:space="preserve"> </w:t>
      </w:r>
      <w:r w:rsidR="001C791A" w:rsidRPr="00A16AB8">
        <w:rPr>
          <w:rFonts w:eastAsiaTheme="minorEastAsia" w:cstheme="minorHAnsi"/>
        </w:rPr>
        <w:t>need</w:t>
      </w:r>
      <w:r w:rsidR="001C791A" w:rsidRPr="00A16AB8">
        <w:rPr>
          <w:rFonts w:eastAsiaTheme="minorEastAsia" w:cstheme="minorHAnsi"/>
          <w:spacing w:val="-15"/>
        </w:rPr>
        <w:t xml:space="preserve"> </w:t>
      </w:r>
      <w:r w:rsidR="001C791A" w:rsidRPr="00A16AB8">
        <w:rPr>
          <w:rFonts w:eastAsiaTheme="minorEastAsia" w:cstheme="minorHAnsi"/>
        </w:rPr>
        <w:t>for</w:t>
      </w:r>
      <w:r w:rsidR="001C791A" w:rsidRPr="00A16AB8">
        <w:rPr>
          <w:rFonts w:eastAsiaTheme="minorEastAsia" w:cstheme="minorHAnsi"/>
          <w:spacing w:val="-12"/>
        </w:rPr>
        <w:t xml:space="preserve"> </w:t>
      </w:r>
      <w:r w:rsidR="001C791A" w:rsidRPr="00A16AB8">
        <w:rPr>
          <w:rFonts w:eastAsiaTheme="minorEastAsia" w:cstheme="minorHAnsi"/>
        </w:rPr>
        <w:t>sufficient</w:t>
      </w:r>
      <w:r w:rsidR="001C791A" w:rsidRPr="00A16AB8">
        <w:rPr>
          <w:rFonts w:eastAsiaTheme="minorEastAsia" w:cstheme="minorHAnsi"/>
          <w:spacing w:val="-10"/>
        </w:rPr>
        <w:t xml:space="preserve"> </w:t>
      </w:r>
      <w:r w:rsidR="001C791A" w:rsidRPr="00A16AB8">
        <w:rPr>
          <w:rFonts w:eastAsiaTheme="minorEastAsia" w:cstheme="minorHAnsi"/>
        </w:rPr>
        <w:t>information</w:t>
      </w:r>
      <w:r w:rsidR="001C791A" w:rsidRPr="00A16AB8">
        <w:rPr>
          <w:rFonts w:eastAsiaTheme="minorEastAsia" w:cstheme="minorHAnsi"/>
          <w:spacing w:val="-13"/>
        </w:rPr>
        <w:t xml:space="preserve"> </w:t>
      </w:r>
      <w:r w:rsidR="001C791A" w:rsidRPr="00A16AB8">
        <w:rPr>
          <w:rFonts w:eastAsiaTheme="minorEastAsia" w:cstheme="minorHAnsi"/>
        </w:rPr>
        <w:t>upon</w:t>
      </w:r>
      <w:r w:rsidR="001C791A" w:rsidRPr="00A16AB8">
        <w:rPr>
          <w:rFonts w:eastAsiaTheme="minorEastAsia" w:cstheme="minorHAnsi"/>
          <w:spacing w:val="-14"/>
        </w:rPr>
        <w:t xml:space="preserve"> </w:t>
      </w:r>
      <w:r w:rsidR="001C791A" w:rsidRPr="00A16AB8">
        <w:rPr>
          <w:rFonts w:eastAsiaTheme="minorEastAsia" w:cstheme="minorHAnsi"/>
        </w:rPr>
        <w:t>which</w:t>
      </w:r>
      <w:r w:rsidR="001C791A" w:rsidRPr="00A16AB8">
        <w:rPr>
          <w:rFonts w:eastAsiaTheme="minorEastAsia" w:cstheme="minorHAnsi"/>
          <w:spacing w:val="-14"/>
        </w:rPr>
        <w:t xml:space="preserve"> </w:t>
      </w:r>
      <w:r w:rsidR="001C791A" w:rsidRPr="00A16AB8">
        <w:rPr>
          <w:rFonts w:eastAsiaTheme="minorEastAsia" w:cstheme="minorHAnsi"/>
        </w:rPr>
        <w:t>to</w:t>
      </w:r>
      <w:r w:rsidR="001C791A" w:rsidRPr="00A16AB8">
        <w:rPr>
          <w:rFonts w:eastAsiaTheme="minorEastAsia" w:cstheme="minorHAnsi"/>
          <w:spacing w:val="-14"/>
        </w:rPr>
        <w:t xml:space="preserve"> </w:t>
      </w:r>
      <w:r w:rsidR="001C791A" w:rsidRPr="00A16AB8">
        <w:rPr>
          <w:rFonts w:eastAsiaTheme="minorEastAsia" w:cstheme="minorHAnsi"/>
        </w:rPr>
        <w:t>make</w:t>
      </w:r>
      <w:r w:rsidR="001C791A" w:rsidRPr="00A16AB8">
        <w:rPr>
          <w:rFonts w:eastAsiaTheme="minorEastAsia" w:cstheme="minorHAnsi"/>
          <w:spacing w:val="-15"/>
        </w:rPr>
        <w:t xml:space="preserve"> </w:t>
      </w:r>
      <w:r w:rsidR="001C791A" w:rsidRPr="00A16AB8">
        <w:rPr>
          <w:rFonts w:eastAsiaTheme="minorEastAsia" w:cstheme="minorHAnsi"/>
        </w:rPr>
        <w:t>rational</w:t>
      </w:r>
      <w:r w:rsidR="001C791A" w:rsidRPr="00A16AB8">
        <w:rPr>
          <w:rFonts w:eastAsiaTheme="minorEastAsia" w:cstheme="minorHAnsi"/>
          <w:spacing w:val="-14"/>
        </w:rPr>
        <w:t xml:space="preserve"> </w:t>
      </w:r>
      <w:r w:rsidR="001C791A" w:rsidRPr="00A16AB8">
        <w:rPr>
          <w:rFonts w:eastAsiaTheme="minorEastAsia" w:cstheme="minorHAnsi"/>
        </w:rPr>
        <w:t>decisions and</w:t>
      </w:r>
      <w:r w:rsidR="001C791A" w:rsidRPr="00A16AB8">
        <w:rPr>
          <w:rFonts w:eastAsiaTheme="minorEastAsia" w:cstheme="minorHAnsi"/>
          <w:spacing w:val="-5"/>
        </w:rPr>
        <w:t xml:space="preserve"> </w:t>
      </w:r>
      <w:r w:rsidR="001C791A" w:rsidRPr="00A16AB8">
        <w:rPr>
          <w:rFonts w:eastAsiaTheme="minorEastAsia" w:cstheme="minorHAnsi"/>
        </w:rPr>
        <w:t>to</w:t>
      </w:r>
      <w:r w:rsidR="001C791A" w:rsidRPr="00A16AB8">
        <w:rPr>
          <w:rFonts w:eastAsiaTheme="minorEastAsia" w:cstheme="minorHAnsi"/>
          <w:spacing w:val="-5"/>
        </w:rPr>
        <w:t xml:space="preserve"> </w:t>
      </w:r>
      <w:r w:rsidR="001C791A" w:rsidRPr="00A16AB8">
        <w:rPr>
          <w:rFonts w:eastAsiaTheme="minorEastAsia" w:cstheme="minorHAnsi"/>
        </w:rPr>
        <w:t>ensure</w:t>
      </w:r>
      <w:r w:rsidR="001C791A" w:rsidRPr="00A16AB8">
        <w:rPr>
          <w:rFonts w:eastAsiaTheme="minorEastAsia" w:cstheme="minorHAnsi"/>
          <w:spacing w:val="-4"/>
        </w:rPr>
        <w:t xml:space="preserve"> </w:t>
      </w:r>
      <w:r w:rsidR="001C791A" w:rsidRPr="00A16AB8">
        <w:rPr>
          <w:rFonts w:eastAsiaTheme="minorEastAsia" w:cstheme="minorHAnsi"/>
        </w:rPr>
        <w:t>compliance with Federal law with the desire to eliminate all unnecessary paperwork and reduce the administrative burden on local governments.</w:t>
      </w:r>
    </w:p>
    <w:p w14:paraId="1C0BDC54" w14:textId="399DA4D9" w:rsidR="008D21E7" w:rsidRDefault="008D21E7" w:rsidP="005F3EB0">
      <w:pPr>
        <w:widowControl w:val="0"/>
        <w:kinsoku w:val="0"/>
        <w:overflowPunct w:val="0"/>
        <w:autoSpaceDE w:val="0"/>
        <w:autoSpaceDN w:val="0"/>
        <w:adjustRightInd w:val="0"/>
        <w:spacing w:after="120"/>
        <w:ind w:right="217"/>
        <w:jc w:val="both"/>
      </w:pPr>
      <w:r>
        <w:t xml:space="preserve">Applicants are responsible for understanding the contents of the entire manual. </w:t>
      </w:r>
    </w:p>
    <w:p w14:paraId="0E1048A7" w14:textId="77777777" w:rsidR="001C791A" w:rsidRPr="004171C9" w:rsidRDefault="001C791A" w:rsidP="005F3EB0">
      <w:pPr>
        <w:pStyle w:val="Heading1"/>
        <w:spacing w:after="120"/>
        <w:rPr>
          <w:rFonts w:eastAsiaTheme="minorEastAsia"/>
        </w:rPr>
      </w:pPr>
      <w:bookmarkStart w:id="2" w:name="_Toc54626419"/>
      <w:r w:rsidRPr="004171C9">
        <w:rPr>
          <w:rFonts w:eastAsiaTheme="minorEastAsia"/>
        </w:rPr>
        <w:t xml:space="preserve">Overview of </w:t>
      </w:r>
      <w:r>
        <w:rPr>
          <w:rFonts w:eastAsiaTheme="minorEastAsia"/>
        </w:rPr>
        <w:t>CDBG-MIT</w:t>
      </w:r>
      <w:r w:rsidRPr="004171C9">
        <w:rPr>
          <w:rFonts w:eastAsiaTheme="minorEastAsia"/>
        </w:rPr>
        <w:t xml:space="preserve"> Funding</w:t>
      </w:r>
      <w:bookmarkEnd w:id="2"/>
    </w:p>
    <w:p w14:paraId="13F9A059" w14:textId="35256FEC" w:rsidR="00B40AB8" w:rsidRDefault="001C791A" w:rsidP="005F3EB0">
      <w:pPr>
        <w:widowControl w:val="0"/>
        <w:kinsoku w:val="0"/>
        <w:overflowPunct w:val="0"/>
        <w:autoSpaceDE w:val="0"/>
        <w:autoSpaceDN w:val="0"/>
        <w:adjustRightInd w:val="0"/>
        <w:spacing w:after="120"/>
        <w:ind w:right="216"/>
        <w:jc w:val="both"/>
        <w:rPr>
          <w:rFonts w:eastAsiaTheme="minorEastAsia" w:cstheme="minorHAnsi"/>
        </w:rPr>
      </w:pPr>
      <w:r w:rsidRPr="00A16AB8">
        <w:rPr>
          <w:rFonts w:eastAsiaTheme="minorEastAsia" w:cstheme="minorHAnsi"/>
        </w:rPr>
        <w:t>On February 9, 2018, the Department of Housing and Urban Development (HUD) appropriated $26,961,000 in CDBG-MIT Funds to the State of Georgia in response to two tornadoes occurring in January 2017 (</w:t>
      </w:r>
      <w:r w:rsidR="00EF60F0">
        <w:rPr>
          <w:rFonts w:eastAsiaTheme="minorEastAsia" w:cstheme="minorHAnsi"/>
        </w:rPr>
        <w:t xml:space="preserve">FEMA Disaster Number </w:t>
      </w:r>
      <w:r w:rsidRPr="00A16AB8">
        <w:rPr>
          <w:rFonts w:eastAsiaTheme="minorEastAsia" w:cstheme="minorHAnsi"/>
        </w:rPr>
        <w:t xml:space="preserve">DR-4294 and DR-4297) and Hurricane Irma (DR-4338). </w:t>
      </w:r>
      <w:r w:rsidR="00B40AB8">
        <w:rPr>
          <w:rFonts w:eastAsiaTheme="minorEastAsia" w:cstheme="minorHAnsi"/>
        </w:rPr>
        <w:t>Of t</w:t>
      </w:r>
      <w:r w:rsidRPr="00A16AB8">
        <w:rPr>
          <w:rFonts w:eastAsiaTheme="minorEastAsia" w:cstheme="minorHAnsi"/>
        </w:rPr>
        <w:t>hese funds</w:t>
      </w:r>
      <w:r w:rsidR="00B40AB8">
        <w:rPr>
          <w:rFonts w:eastAsiaTheme="minorEastAsia" w:cstheme="minorHAnsi"/>
        </w:rPr>
        <w:t>, $4,044,150 has been reserved</w:t>
      </w:r>
      <w:r w:rsidRPr="00A16AB8">
        <w:rPr>
          <w:rFonts w:eastAsiaTheme="minorEastAsia" w:cstheme="minorHAnsi"/>
        </w:rPr>
        <w:t xml:space="preserve"> </w:t>
      </w:r>
      <w:r w:rsidR="00EF60F0">
        <w:rPr>
          <w:rFonts w:eastAsiaTheme="minorEastAsia" w:cstheme="minorHAnsi"/>
        </w:rPr>
        <w:t xml:space="preserve">for use </w:t>
      </w:r>
      <w:r w:rsidR="00B40AB8">
        <w:rPr>
          <w:rFonts w:eastAsiaTheme="minorEastAsia" w:cstheme="minorHAnsi"/>
        </w:rPr>
        <w:t xml:space="preserve">by DCA </w:t>
      </w:r>
      <w:r w:rsidR="00EF60F0">
        <w:rPr>
          <w:rFonts w:eastAsiaTheme="minorEastAsia" w:cstheme="minorHAnsi"/>
        </w:rPr>
        <w:t xml:space="preserve">and </w:t>
      </w:r>
      <w:r w:rsidR="00B40AB8">
        <w:rPr>
          <w:rFonts w:eastAsiaTheme="minorEastAsia" w:cstheme="minorHAnsi"/>
        </w:rPr>
        <w:t xml:space="preserve">to be </w:t>
      </w:r>
      <w:r w:rsidRPr="00A16AB8">
        <w:rPr>
          <w:rFonts w:eastAsiaTheme="minorEastAsia" w:cstheme="minorHAnsi"/>
        </w:rPr>
        <w:t xml:space="preserve">used for mitigation </w:t>
      </w:r>
      <w:r w:rsidR="00EF60F0">
        <w:rPr>
          <w:rFonts w:eastAsiaTheme="minorEastAsia" w:cstheme="minorHAnsi"/>
        </w:rPr>
        <w:t xml:space="preserve">planning activities </w:t>
      </w:r>
      <w:r w:rsidRPr="00A16AB8">
        <w:rPr>
          <w:rFonts w:eastAsiaTheme="minorEastAsia" w:cstheme="minorHAnsi"/>
        </w:rPr>
        <w:t>within the fifteen counties declared eligible for FEMA’s Individual and</w:t>
      </w:r>
      <w:r w:rsidR="00B40AB8">
        <w:rPr>
          <w:rFonts w:eastAsiaTheme="minorEastAsia" w:cstheme="minorHAnsi"/>
        </w:rPr>
        <w:t xml:space="preserve"> Public Assistance (IA and PA). </w:t>
      </w:r>
      <w:r w:rsidR="00EF60F0">
        <w:rPr>
          <w:rFonts w:eastAsiaTheme="minorEastAsia" w:cstheme="minorHAnsi"/>
        </w:rPr>
        <w:t>Planning funds are intended to</w:t>
      </w:r>
      <w:r w:rsidR="00B40AB8">
        <w:rPr>
          <w:rFonts w:eastAsiaTheme="minorEastAsia" w:cstheme="minorHAnsi"/>
        </w:rPr>
        <w:t xml:space="preserve"> be used on sound, sustainable long-term recovery planning informed by a pre-and post-disaster evaluation of hazard risks. </w:t>
      </w:r>
    </w:p>
    <w:p w14:paraId="596A7614" w14:textId="2BC69DA8" w:rsidR="00A16AB8" w:rsidRDefault="001C791A" w:rsidP="005F3EB0">
      <w:pPr>
        <w:widowControl w:val="0"/>
        <w:kinsoku w:val="0"/>
        <w:overflowPunct w:val="0"/>
        <w:autoSpaceDE w:val="0"/>
        <w:autoSpaceDN w:val="0"/>
        <w:adjustRightInd w:val="0"/>
        <w:spacing w:after="120"/>
        <w:ind w:right="216"/>
        <w:jc w:val="both"/>
        <w:rPr>
          <w:rFonts w:eastAsiaTheme="minorEastAsia" w:cstheme="minorHAnsi"/>
        </w:rPr>
      </w:pPr>
      <w:r w:rsidRPr="00A16AB8">
        <w:rPr>
          <w:rFonts w:eastAsiaTheme="minorEastAsia" w:cstheme="minorHAnsi"/>
        </w:rPr>
        <w:t xml:space="preserve">Federal Register Notice 84 FR 45838 </w:t>
      </w:r>
      <w:r w:rsidR="00A16AB8" w:rsidRPr="00A16AB8">
        <w:rPr>
          <w:rFonts w:eastAsiaTheme="minorEastAsia" w:cstheme="minorHAnsi"/>
        </w:rPr>
        <w:t xml:space="preserve">primarily </w:t>
      </w:r>
      <w:r w:rsidRPr="00A16AB8">
        <w:rPr>
          <w:rFonts w:eastAsiaTheme="minorEastAsia" w:cstheme="minorHAnsi"/>
        </w:rPr>
        <w:t>governs the use of these funds</w:t>
      </w:r>
      <w:r w:rsidR="008F15FC">
        <w:rPr>
          <w:rFonts w:eastAsiaTheme="minorEastAsia" w:cstheme="minorHAnsi"/>
        </w:rPr>
        <w:t xml:space="preserve"> along with preceding Federal Register Notices,</w:t>
      </w:r>
      <w:r w:rsidR="0091242A">
        <w:rPr>
          <w:rFonts w:eastAsiaTheme="minorEastAsia" w:cstheme="minorHAnsi"/>
        </w:rPr>
        <w:t xml:space="preserve"> Public Law 115-123, </w:t>
      </w:r>
      <w:r w:rsidR="008F15FC">
        <w:rPr>
          <w:rFonts w:eastAsiaTheme="minorEastAsia" w:cstheme="minorHAnsi"/>
        </w:rPr>
        <w:t xml:space="preserve">and the State of Georgia’s Mitigation Action Plan. </w:t>
      </w:r>
      <w:r w:rsidR="00A16AB8" w:rsidRPr="00A16AB8">
        <w:rPr>
          <w:rFonts w:eastAsiaTheme="minorEastAsia" w:cstheme="minorHAnsi"/>
        </w:rPr>
        <w:t xml:space="preserve"> </w:t>
      </w:r>
      <w:r w:rsidR="008F15FC">
        <w:rPr>
          <w:rFonts w:eastAsiaTheme="minorEastAsia" w:cstheme="minorHAnsi"/>
        </w:rPr>
        <w:t>The official Method of Distribution is outlined in the</w:t>
      </w:r>
      <w:r w:rsidR="005F3EB0">
        <w:rPr>
          <w:rFonts w:eastAsiaTheme="minorEastAsia" w:cstheme="minorHAnsi"/>
        </w:rPr>
        <w:t xml:space="preserve"> State of Georgia’s</w:t>
      </w:r>
      <w:r w:rsidR="008F15FC">
        <w:rPr>
          <w:rFonts w:eastAsiaTheme="minorEastAsia" w:cstheme="minorHAnsi"/>
        </w:rPr>
        <w:t xml:space="preserve"> Mitigation Action Plan.  </w:t>
      </w:r>
    </w:p>
    <w:p w14:paraId="19D7DFFB" w14:textId="0A2F68C0" w:rsidR="0034092F" w:rsidRDefault="0034092F" w:rsidP="005F3EB0">
      <w:pPr>
        <w:pStyle w:val="Heading1"/>
        <w:spacing w:after="120"/>
      </w:pPr>
      <w:bookmarkStart w:id="3" w:name="_Toc54626420"/>
      <w:r>
        <w:t>Technical Assistance</w:t>
      </w:r>
      <w:bookmarkEnd w:id="3"/>
      <w:r>
        <w:t xml:space="preserve"> </w:t>
      </w:r>
    </w:p>
    <w:p w14:paraId="03427FF8" w14:textId="065CBBD7" w:rsidR="0034092F" w:rsidRDefault="00912E62" w:rsidP="005F3EB0">
      <w:pPr>
        <w:jc w:val="both"/>
      </w:pPr>
      <w:r>
        <w:t>Interested parties</w:t>
      </w:r>
      <w:r w:rsidR="001D161D">
        <w:t xml:space="preserve"> are encouraged to contact DCA if </w:t>
      </w:r>
      <w:r w:rsidR="0034092F">
        <w:t>question</w:t>
      </w:r>
      <w:r w:rsidR="001D161D">
        <w:t xml:space="preserve">s exist regarding </w:t>
      </w:r>
      <w:r w:rsidR="006045E8">
        <w:t xml:space="preserve">the </w:t>
      </w:r>
      <w:r w:rsidR="0034092F">
        <w:t>eligibility of</w:t>
      </w:r>
      <w:r>
        <w:t xml:space="preserve"> planning activities or the need for technical assistance in developing a viable</w:t>
      </w:r>
      <w:r w:rsidR="00335CB7">
        <w:t xml:space="preserve"> planning activit</w:t>
      </w:r>
      <w:r w:rsidR="004B38DC">
        <w:t>y</w:t>
      </w:r>
      <w:r w:rsidR="00335CB7">
        <w:t xml:space="preserve">. </w:t>
      </w:r>
      <w:r>
        <w:t>Contact i</w:t>
      </w:r>
      <w:r w:rsidR="00A35C35">
        <w:t>n</w:t>
      </w:r>
      <w:r w:rsidR="0034092F">
        <w:t xml:space="preserve">formation is provided </w:t>
      </w:r>
      <w:r w:rsidR="004B38DC">
        <w:t xml:space="preserve">on the following page: </w:t>
      </w:r>
      <w:r w:rsidR="0034092F">
        <w:t xml:space="preserve"> </w:t>
      </w:r>
    </w:p>
    <w:p w14:paraId="29340E48" w14:textId="2333C816" w:rsidR="0034092F" w:rsidRPr="00C96891" w:rsidRDefault="0034092F" w:rsidP="005F3EB0">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pacing w:after="0"/>
      </w:pPr>
      <w:r>
        <w:t xml:space="preserve">  </w:t>
      </w:r>
      <w:r w:rsidR="00723DAD">
        <w:t>Nick Mulkey</w:t>
      </w:r>
      <w:r w:rsidRPr="00C96891">
        <w:br/>
      </w:r>
      <w:r>
        <w:t xml:space="preserve">  </w:t>
      </w:r>
      <w:r w:rsidRPr="00C96891">
        <w:t xml:space="preserve">CDBG-DR </w:t>
      </w:r>
      <w:r w:rsidR="00723DAD">
        <w:t>Analyst</w:t>
      </w:r>
      <w:r w:rsidRPr="00C96891">
        <w:br/>
      </w:r>
      <w:r>
        <w:t xml:space="preserve">  </w:t>
      </w:r>
      <w:r w:rsidRPr="00C96891">
        <w:t>Georgia Department of Community Affairs</w:t>
      </w:r>
      <w:r w:rsidRPr="00C96891">
        <w:br/>
      </w:r>
      <w:r>
        <w:t xml:space="preserve">  </w:t>
      </w:r>
      <w:r w:rsidR="00E67ECB">
        <w:t>470-</w:t>
      </w:r>
      <w:r w:rsidR="00475A6B">
        <w:t>572-7473</w:t>
      </w:r>
    </w:p>
    <w:p w14:paraId="60D3C072" w14:textId="6AAD4380" w:rsidR="00912E62" w:rsidRDefault="0034092F" w:rsidP="005F3EB0">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pacing w:after="0"/>
        <w:rPr>
          <w:sz w:val="20"/>
          <w:szCs w:val="20"/>
        </w:rPr>
      </w:pPr>
      <w:r>
        <w:t xml:space="preserve">  </w:t>
      </w:r>
      <w:r w:rsidR="00475A6B">
        <w:t>Nick.mulkey@dca.ga.gov</w:t>
      </w:r>
      <w:hyperlink r:id="rId13" w:history="1"/>
    </w:p>
    <w:p w14:paraId="25D6A6B7" w14:textId="77777777" w:rsidR="0027203C" w:rsidRPr="00D31BB6" w:rsidRDefault="0027203C" w:rsidP="0027203C">
      <w:pPr>
        <w:pStyle w:val="Heading1"/>
        <w:spacing w:after="120" w:line="276" w:lineRule="auto"/>
        <w:rPr>
          <w:rFonts w:eastAsiaTheme="minorEastAsia"/>
        </w:rPr>
      </w:pPr>
      <w:bookmarkStart w:id="4" w:name="_Toc54626421"/>
      <w:r w:rsidRPr="00D31BB6">
        <w:rPr>
          <w:rFonts w:eastAsiaTheme="minorEastAsia"/>
        </w:rPr>
        <w:lastRenderedPageBreak/>
        <w:t xml:space="preserve">What is </w:t>
      </w:r>
      <w:r>
        <w:rPr>
          <w:rFonts w:eastAsiaTheme="minorEastAsia"/>
        </w:rPr>
        <w:t xml:space="preserve">Disaster </w:t>
      </w:r>
      <w:r w:rsidRPr="00D31BB6">
        <w:rPr>
          <w:rFonts w:eastAsiaTheme="minorEastAsia"/>
        </w:rPr>
        <w:t>Planning?</w:t>
      </w:r>
      <w:bookmarkEnd w:id="4"/>
      <w:r w:rsidRPr="00D31BB6">
        <w:rPr>
          <w:rFonts w:eastAsiaTheme="minorEastAsia"/>
        </w:rPr>
        <w:t xml:space="preserve"> </w:t>
      </w:r>
    </w:p>
    <w:p w14:paraId="36C677D9" w14:textId="20C309CB" w:rsidR="0027203C" w:rsidRDefault="0027203C" w:rsidP="0027203C">
      <w:pPr>
        <w:widowControl w:val="0"/>
        <w:kinsoku w:val="0"/>
        <w:overflowPunct w:val="0"/>
        <w:autoSpaceDE w:val="0"/>
        <w:autoSpaceDN w:val="0"/>
        <w:adjustRightInd w:val="0"/>
        <w:spacing w:after="120" w:line="276" w:lineRule="auto"/>
        <w:ind w:right="-70"/>
        <w:jc w:val="both"/>
      </w:pPr>
      <w:r w:rsidRPr="0027203C">
        <w:t>Disaster planning is the process by which agencies or local governments collaborate with community residents, businesses, and/or neighboring communities to identify actions and projects necessary for holistic recovery and to build resilience for all populations. DCA encourages organizations interested in planning funds to be creative, forward-thinking, and bring requests that embody mitigation objectives. In the end, the goal is to create a well-reasoned public document which lays out community findings and visions for future success, as well as specific identified issues, solutions,</w:t>
      </w:r>
      <w:r w:rsidR="00361818">
        <w:t xml:space="preserve"> high impact projects for</w:t>
      </w:r>
      <w:r w:rsidRPr="0027203C">
        <w:t xml:space="preserve"> implementation, and funding strategies.</w:t>
      </w:r>
      <w:r w:rsidR="00361818">
        <w:t xml:space="preserve"> DCA hopes to empower local communities and partner agencies to build a foundation for continuous coordination and data driven outcomes. </w:t>
      </w:r>
    </w:p>
    <w:p w14:paraId="78D59672" w14:textId="524E7DFF" w:rsidR="000D507A" w:rsidRPr="00390E9C" w:rsidRDefault="000D507A" w:rsidP="00912E62">
      <w:pPr>
        <w:pStyle w:val="Heading1"/>
        <w:spacing w:after="120"/>
        <w:rPr>
          <w:rFonts w:eastAsiaTheme="minorEastAsia"/>
        </w:rPr>
      </w:pPr>
      <w:bookmarkStart w:id="5" w:name="_Toc54626422"/>
      <w:r w:rsidRPr="00390E9C">
        <w:rPr>
          <w:rFonts w:eastAsiaTheme="minorEastAsia"/>
        </w:rPr>
        <w:t>Eligib</w:t>
      </w:r>
      <w:r w:rsidR="003C4631">
        <w:rPr>
          <w:rFonts w:eastAsiaTheme="minorEastAsia"/>
        </w:rPr>
        <w:t>ility Requirements</w:t>
      </w:r>
      <w:bookmarkEnd w:id="5"/>
    </w:p>
    <w:p w14:paraId="616425AE" w14:textId="51659CF2" w:rsidR="00361818" w:rsidRDefault="000D507A" w:rsidP="00361818">
      <w:pPr>
        <w:spacing w:line="269" w:lineRule="auto"/>
        <w:jc w:val="both"/>
      </w:pPr>
      <w:r>
        <w:t xml:space="preserve">Each </w:t>
      </w:r>
      <w:r w:rsidR="00AD588B">
        <w:t xml:space="preserve">planning </w:t>
      </w:r>
      <w:r w:rsidR="00361818">
        <w:t>activity must b</w:t>
      </w:r>
      <w:r>
        <w:t>e CDBG eligible (or allowed via a waiver)</w:t>
      </w:r>
      <w:r w:rsidR="00361818">
        <w:t>. Additionally, the following counties and the jurisdictions within are eligible to apply for assistance: Berrien, Camden, Charlton, Chatham, Coffee, Cook, Crisp, Dougherty, Glynn, Liberty, McIntosh, Thomas, Turner, Wilcox, and Worth.</w:t>
      </w:r>
    </w:p>
    <w:p w14:paraId="37659DB8" w14:textId="3F643D54" w:rsidR="0005571B" w:rsidRDefault="009712A4" w:rsidP="009712A4">
      <w:pPr>
        <w:pStyle w:val="Heading1"/>
      </w:pPr>
      <w:bookmarkStart w:id="6" w:name="_Toc54626423"/>
      <w:r>
        <w:t>Common Mitigation Planning Activities</w:t>
      </w:r>
      <w:bookmarkEnd w:id="6"/>
    </w:p>
    <w:p w14:paraId="03919CF5" w14:textId="37B47515" w:rsidR="00361818" w:rsidRPr="00361818" w:rsidRDefault="00361818" w:rsidP="00361818">
      <w:pPr>
        <w:jc w:val="both"/>
      </w:pPr>
      <w:r>
        <w:t xml:space="preserve">The following items are common Mitigation planning activities intended to foster creative planning ideas. This list is not all-inclusive. </w:t>
      </w:r>
    </w:p>
    <w:p w14:paraId="57FF392D" w14:textId="625031B7" w:rsidR="00181085" w:rsidRDefault="00181085" w:rsidP="00181085">
      <w:pPr>
        <w:pStyle w:val="ListParagraph"/>
        <w:numPr>
          <w:ilvl w:val="0"/>
          <w:numId w:val="34"/>
        </w:numPr>
        <w:spacing w:line="269" w:lineRule="auto"/>
        <w:jc w:val="both"/>
      </w:pPr>
      <w:r>
        <w:t>The development and implementation of modern and resilient building codes consistent with an identified model or standard, such as ASCE 24</w:t>
      </w:r>
      <w:r w:rsidR="00E65D1A">
        <w:t xml:space="preserve"> (</w:t>
      </w:r>
      <w:hyperlink r:id="rId14" w:history="1">
        <w:r w:rsidR="00E65D1A" w:rsidRPr="008F2097">
          <w:rPr>
            <w:rStyle w:val="Hyperlink"/>
          </w:rPr>
          <w:t>https://ascelibrary.org/doi/book/10.1061/asce24</w:t>
        </w:r>
      </w:hyperlink>
      <w:r w:rsidR="00E65D1A">
        <w:t>)</w:t>
      </w:r>
      <w:r>
        <w:t xml:space="preserve"> and ASCE 7</w:t>
      </w:r>
      <w:r w:rsidR="00E65D1A">
        <w:t xml:space="preserve"> (</w:t>
      </w:r>
      <w:hyperlink r:id="rId15" w:history="1">
        <w:r w:rsidR="00E65688" w:rsidRPr="008F2097">
          <w:rPr>
            <w:rStyle w:val="Hyperlink"/>
          </w:rPr>
          <w:t>https://www.asce.org/asce-7/</w:t>
        </w:r>
      </w:hyperlink>
      <w:r w:rsidR="00E65688">
        <w:t>)</w:t>
      </w:r>
      <w:r>
        <w:t xml:space="preserve"> as may be applicable, </w:t>
      </w:r>
      <w:r w:rsidR="005D2F01">
        <w:t>to</w:t>
      </w:r>
      <w:r>
        <w:t xml:space="preserve"> mitigate against current and future hazards</w:t>
      </w:r>
      <w:r w:rsidR="007D251B">
        <w:t>.</w:t>
      </w:r>
    </w:p>
    <w:p w14:paraId="3625CC1C" w14:textId="707EA580" w:rsidR="00181085" w:rsidRDefault="00181085" w:rsidP="00181085">
      <w:pPr>
        <w:pStyle w:val="ListParagraph"/>
        <w:numPr>
          <w:ilvl w:val="0"/>
          <w:numId w:val="34"/>
        </w:numPr>
        <w:spacing w:line="269" w:lineRule="auto"/>
        <w:jc w:val="both"/>
      </w:pPr>
      <w:r>
        <w:t>The development and implementation of land use plans to address natural hazards identified in the grante</w:t>
      </w:r>
      <w:r w:rsidR="007D251B">
        <w:t>e’s Mitigation Needs Assessment.</w:t>
      </w:r>
    </w:p>
    <w:p w14:paraId="15251642" w14:textId="0E153752" w:rsidR="00181085" w:rsidRDefault="00181085" w:rsidP="00181085">
      <w:pPr>
        <w:pStyle w:val="ListParagraph"/>
        <w:numPr>
          <w:ilvl w:val="0"/>
          <w:numId w:val="34"/>
        </w:numPr>
        <w:spacing w:line="269" w:lineRule="auto"/>
        <w:jc w:val="both"/>
      </w:pPr>
      <w:r>
        <w:t>U</w:t>
      </w:r>
      <w:r w:rsidR="00AD588B">
        <w:t xml:space="preserve">pgrading mapping, data, and other capabilities to better understand evolving disaster risks. </w:t>
      </w:r>
    </w:p>
    <w:p w14:paraId="5EF80DB1" w14:textId="131EA582" w:rsidR="007D251B" w:rsidRDefault="007D251B" w:rsidP="00181085">
      <w:pPr>
        <w:pStyle w:val="ListParagraph"/>
        <w:numPr>
          <w:ilvl w:val="0"/>
          <w:numId w:val="34"/>
        </w:numPr>
        <w:spacing w:line="269" w:lineRule="auto"/>
        <w:jc w:val="both"/>
      </w:pPr>
      <w:r>
        <w:t>Enhancing and updating real property registration and land information systems.</w:t>
      </w:r>
    </w:p>
    <w:p w14:paraId="7BF35A48" w14:textId="4828E206" w:rsidR="00181085" w:rsidRDefault="00181085" w:rsidP="00181085">
      <w:pPr>
        <w:pStyle w:val="ListParagraph"/>
        <w:numPr>
          <w:ilvl w:val="0"/>
          <w:numId w:val="34"/>
        </w:numPr>
        <w:spacing w:line="269" w:lineRule="auto"/>
        <w:jc w:val="both"/>
      </w:pPr>
      <w:r>
        <w:t>Planning and public service activities necessary to reduce flood insurance premiums in the NFIP voluntary Community Rating System’s (CRS) incentive program.</w:t>
      </w:r>
    </w:p>
    <w:p w14:paraId="6373E09C" w14:textId="3A747300" w:rsidR="00B65C79" w:rsidRDefault="00B65C79" w:rsidP="00181085">
      <w:pPr>
        <w:pStyle w:val="ListParagraph"/>
        <w:numPr>
          <w:ilvl w:val="0"/>
          <w:numId w:val="34"/>
        </w:numPr>
        <w:spacing w:line="269" w:lineRule="auto"/>
        <w:jc w:val="both"/>
      </w:pPr>
      <w:r>
        <w:t>Grantees may also partner with agency staff responsible for community floodplain management activities to participate in the National Flood Insurance Program’s (NFIP) Community Rating System (CRS), which is a voluntary incentive program that recognizes floodplain management activities that exceed minimum NFIP requirements. Exceeding these requirements can result in discounted flood insurance premium rates which reflect a community’s reduced flood risk.</w:t>
      </w:r>
    </w:p>
    <w:p w14:paraId="2E1470A1" w14:textId="2D2FBB6B" w:rsidR="00181085" w:rsidRDefault="00343F26" w:rsidP="009432C7">
      <w:pPr>
        <w:pStyle w:val="ListParagraph"/>
        <w:numPr>
          <w:ilvl w:val="0"/>
          <w:numId w:val="34"/>
        </w:numPr>
        <w:spacing w:line="269" w:lineRule="auto"/>
        <w:jc w:val="both"/>
      </w:pPr>
      <w:r w:rsidRPr="00343F26">
        <w:t>Resilience Planning</w:t>
      </w:r>
      <w:r>
        <w:t xml:space="preserve"> – i</w:t>
      </w:r>
      <w:r w:rsidRPr="00343F26">
        <w:t>dentif</w:t>
      </w:r>
      <w:r>
        <w:t xml:space="preserve">ying </w:t>
      </w:r>
      <w:r w:rsidRPr="00343F26">
        <w:t>places where new housing w</w:t>
      </w:r>
      <w:r>
        <w:t xml:space="preserve">ould </w:t>
      </w:r>
      <w:r w:rsidRPr="00343F26">
        <w:t xml:space="preserve">be safer from storms and floods, but where people will still be connected to transportation, schools, grocery stores and houses of worship. </w:t>
      </w:r>
    </w:p>
    <w:p w14:paraId="0157636E" w14:textId="5DA96C17" w:rsidR="00E8190F" w:rsidRDefault="00E8190F" w:rsidP="000D507A">
      <w:pPr>
        <w:spacing w:line="269" w:lineRule="auto"/>
        <w:jc w:val="both"/>
      </w:pPr>
      <w:r>
        <w:t xml:space="preserve">For more information related to eligibility of planning activities, please refer to 24 CFR </w:t>
      </w:r>
      <w:r w:rsidRPr="0005571B">
        <w:t>570.205</w:t>
      </w:r>
      <w:r>
        <w:t>.</w:t>
      </w:r>
      <w:r w:rsidR="007D251B">
        <w:t xml:space="preserve"> While the list at 24 CFR 570.205 is comprehensive, CDBG-MIT planning activities must have a mitigation focus. </w:t>
      </w:r>
    </w:p>
    <w:p w14:paraId="453F227E" w14:textId="77777777" w:rsidR="007B0343" w:rsidRPr="00F73A22" w:rsidRDefault="007B0343" w:rsidP="007B0343">
      <w:pPr>
        <w:pStyle w:val="Heading1"/>
        <w:spacing w:after="120"/>
        <w:rPr>
          <w:rFonts w:eastAsiaTheme="minorEastAsia"/>
        </w:rPr>
      </w:pPr>
      <w:bookmarkStart w:id="7" w:name="_Toc54626424"/>
      <w:r w:rsidRPr="00F73A22">
        <w:rPr>
          <w:rFonts w:eastAsiaTheme="minorEastAsia"/>
        </w:rPr>
        <w:lastRenderedPageBreak/>
        <w:t>Ineligible Activities</w:t>
      </w:r>
      <w:bookmarkEnd w:id="7"/>
    </w:p>
    <w:p w14:paraId="221B20EE" w14:textId="77777777" w:rsidR="007B0343" w:rsidRPr="00A60C30" w:rsidRDefault="007B0343" w:rsidP="007B0343">
      <w:pPr>
        <w:spacing w:line="269" w:lineRule="auto"/>
        <w:jc w:val="both"/>
      </w:pPr>
      <w:r w:rsidRPr="00A60C30">
        <w:t xml:space="preserve">The following activities are not considered eligible for funding or reimbursement:  </w:t>
      </w:r>
    </w:p>
    <w:p w14:paraId="05CB11A6" w14:textId="77777777" w:rsidR="007B0343" w:rsidRPr="00A60C30" w:rsidRDefault="007B0343" w:rsidP="007B0343">
      <w:pPr>
        <w:pStyle w:val="ListParagraph"/>
        <w:numPr>
          <w:ilvl w:val="0"/>
          <w:numId w:val="37"/>
        </w:numPr>
        <w:spacing w:line="269" w:lineRule="auto"/>
        <w:jc w:val="both"/>
      </w:pPr>
      <w:r w:rsidRPr="00A60C30">
        <w:t xml:space="preserve">Engineering, architectural, and design costs related to a specific project such as detailed engineering specifications and working drawings. </w:t>
      </w:r>
    </w:p>
    <w:p w14:paraId="5A70AFD8" w14:textId="77777777" w:rsidR="007B0343" w:rsidRPr="00A60C30" w:rsidRDefault="007B0343" w:rsidP="007B0343">
      <w:pPr>
        <w:pStyle w:val="ListParagraph"/>
        <w:numPr>
          <w:ilvl w:val="0"/>
          <w:numId w:val="37"/>
        </w:numPr>
        <w:spacing w:line="269" w:lineRule="auto"/>
        <w:jc w:val="both"/>
      </w:pPr>
      <w:r w:rsidRPr="00A60C30">
        <w:t xml:space="preserve">Construction or any costs of implementation of projects or plans. </w:t>
      </w:r>
    </w:p>
    <w:p w14:paraId="3016E78F" w14:textId="77777777" w:rsidR="007B0343" w:rsidRPr="00A60C30" w:rsidRDefault="007B0343" w:rsidP="007B0343">
      <w:pPr>
        <w:pStyle w:val="ListParagraph"/>
        <w:numPr>
          <w:ilvl w:val="0"/>
          <w:numId w:val="37"/>
        </w:numPr>
        <w:spacing w:line="269" w:lineRule="auto"/>
        <w:jc w:val="both"/>
      </w:pPr>
      <w:r w:rsidRPr="00A60C30">
        <w:t xml:space="preserve">Costs not associated with the development of plans or other planning activities </w:t>
      </w:r>
    </w:p>
    <w:p w14:paraId="79BE169D" w14:textId="77777777" w:rsidR="007B0343" w:rsidRDefault="007B0343" w:rsidP="007B0343">
      <w:pPr>
        <w:pStyle w:val="ListParagraph"/>
        <w:numPr>
          <w:ilvl w:val="0"/>
          <w:numId w:val="37"/>
        </w:numPr>
        <w:spacing w:line="269" w:lineRule="auto"/>
        <w:jc w:val="both"/>
      </w:pPr>
      <w:r>
        <w:t>Any activity not authorized under the State of Georgia’s Action Plan, CDBG, CDBG-DR, or CDBG-MIT statute and/or regulations, as noted in the applicable Federal Register Notices, is ineligible to be assisted with CDBG-MIT Funds.</w:t>
      </w:r>
    </w:p>
    <w:p w14:paraId="0B425D29" w14:textId="1716EC6B" w:rsidR="00292AEA" w:rsidRDefault="000D507A" w:rsidP="00077F81">
      <w:pPr>
        <w:pStyle w:val="Heading1"/>
        <w:spacing w:after="120"/>
        <w:rPr>
          <w:rFonts w:eastAsiaTheme="minorEastAsia"/>
        </w:rPr>
      </w:pPr>
      <w:bookmarkStart w:id="8" w:name="_Toc54626425"/>
      <w:r w:rsidRPr="00F73A22">
        <w:rPr>
          <w:rFonts w:eastAsiaTheme="minorEastAsia"/>
        </w:rPr>
        <w:t>Activity Limits</w:t>
      </w:r>
      <w:bookmarkEnd w:id="8"/>
    </w:p>
    <w:p w14:paraId="65787DAA" w14:textId="2BE8C6D4" w:rsidR="00077F81" w:rsidRPr="00077F81" w:rsidRDefault="00077F81" w:rsidP="00077F81">
      <w:r>
        <w:t xml:space="preserve">Given the disaster planning needs vary greatly by community, DCA does not have a limit on the amount of funds a community can request. However, DCA will complete an assessment to determine if the costs are reasonable. </w:t>
      </w:r>
    </w:p>
    <w:p w14:paraId="3C1C42C2" w14:textId="77777777" w:rsidR="000D507A" w:rsidRPr="00F73A22" w:rsidRDefault="000D507A" w:rsidP="00A35C35">
      <w:pPr>
        <w:pStyle w:val="Heading1"/>
        <w:spacing w:after="120" w:line="264" w:lineRule="auto"/>
        <w:rPr>
          <w:rFonts w:eastAsiaTheme="minorEastAsia"/>
        </w:rPr>
      </w:pPr>
      <w:bookmarkStart w:id="9" w:name="_Toc54626426"/>
      <w:r w:rsidRPr="00F73A22">
        <w:rPr>
          <w:rFonts w:eastAsiaTheme="minorEastAsia"/>
        </w:rPr>
        <w:t>Period of Performance</w:t>
      </w:r>
      <w:bookmarkEnd w:id="9"/>
    </w:p>
    <w:p w14:paraId="2339ECFC" w14:textId="15D9E737" w:rsidR="000D507A" w:rsidRDefault="00EB7037" w:rsidP="00A35C35">
      <w:pPr>
        <w:spacing w:after="120" w:line="264" w:lineRule="auto"/>
        <w:jc w:val="both"/>
      </w:pPr>
      <w:r w:rsidRPr="007B0343">
        <w:t>All planning-specific activit</w:t>
      </w:r>
      <w:r w:rsidR="007B0343" w:rsidRPr="007B0343">
        <w:t>ies must be concluded within twelve (12</w:t>
      </w:r>
      <w:r w:rsidRPr="007B0343">
        <w:t>) months of start dates. All program activities, including closeout, must be concluded within eighteen (18) months of start dates.</w:t>
      </w:r>
      <w:r w:rsidR="000D507A">
        <w:t xml:space="preserve"> </w:t>
      </w:r>
      <w:r w:rsidR="007B0343">
        <w:t>The applicant is advised to consult with DCA prior to application submission if difficulties meeting this requirement are anticipated.</w:t>
      </w:r>
    </w:p>
    <w:p w14:paraId="744AF7B1" w14:textId="77777777" w:rsidR="00361818" w:rsidRDefault="00361818" w:rsidP="00361818">
      <w:pPr>
        <w:pStyle w:val="Heading1"/>
      </w:pPr>
      <w:bookmarkStart w:id="10" w:name="_Toc54626427"/>
      <w:r>
        <w:t>Promoting an Inclusive and Participatory Planning Process</w:t>
      </w:r>
      <w:bookmarkEnd w:id="10"/>
    </w:p>
    <w:p w14:paraId="7B0D3523" w14:textId="77777777" w:rsidR="00361818" w:rsidRPr="008F07E6" w:rsidRDefault="00361818" w:rsidP="00361818">
      <w:pPr>
        <w:spacing w:line="269" w:lineRule="auto"/>
        <w:jc w:val="both"/>
      </w:pPr>
      <w:r>
        <w:t xml:space="preserve">Where possible, applicants are encouraged to involve residents within the communities to participate in the planning process. </w:t>
      </w:r>
      <w:r w:rsidRPr="008F07E6">
        <w:t xml:space="preserve">The goal of the CDBG-MIT Planning Program is to develop resiliency plans that not only protect life and property from future hazards, but more fundamentally promote an inclusive and participatory recovery process, that enables all residents to realize the benefits of revitalized communities. </w:t>
      </w:r>
    </w:p>
    <w:p w14:paraId="5F1C16CB" w14:textId="77777777" w:rsidR="000D507A" w:rsidRDefault="000D507A" w:rsidP="000D507A">
      <w:pPr>
        <w:pStyle w:val="Heading1"/>
      </w:pPr>
      <w:bookmarkStart w:id="11" w:name="_Toc54626428"/>
      <w:r>
        <w:t>Duplication of Benefits (DOB)</w:t>
      </w:r>
      <w:bookmarkEnd w:id="11"/>
    </w:p>
    <w:p w14:paraId="5B679CC9" w14:textId="77777777" w:rsidR="004E5860" w:rsidRDefault="00D41685" w:rsidP="004E5860">
      <w:r>
        <w:t>Federal law prohibits any person, business concern, or other entity from receiving Federal financial assistance for any part of a loss to which he or she has already received financial assistance through any other program, insurance, or funding source.</w:t>
      </w:r>
      <w:r w:rsidR="004E5860">
        <w:t xml:space="preserve"> Additionally, CDBG-MIT funds are considered funds of last resort. If a project is partially or fully funded, CDBG-MIT funds are prohibited from replacing the funds that have already been dedicated to the project. </w:t>
      </w:r>
    </w:p>
    <w:p w14:paraId="53A35EB5" w14:textId="739B2AFD" w:rsidR="000D507A" w:rsidRDefault="000D507A" w:rsidP="000D507A">
      <w:pPr>
        <w:spacing w:line="269" w:lineRule="auto"/>
        <w:jc w:val="both"/>
      </w:pPr>
      <w:r>
        <w:t xml:space="preserve">Many federal and state agencies are involved in responding to </w:t>
      </w:r>
      <w:r w:rsidR="00384B3C">
        <w:t>Presidentially declared</w:t>
      </w:r>
      <w:r>
        <w:t xml:space="preserve"> disasters under the Stafford Act. Applicants should be aware that the Supplemental Appropriations Act authorizing CDBG-DR and/or CDBG-MIT funding may include restrictions on using those program funds to </w:t>
      </w:r>
      <w:proofErr w:type="gramStart"/>
      <w:r>
        <w:t>provide assistance</w:t>
      </w:r>
      <w:proofErr w:type="gramEnd"/>
      <w:r>
        <w:t xml:space="preserve"> when insurance providers or other federal or state agencies have already funded all or a portion of a disaster relief activity. Certain Supplemental Appropriations Acts also include restrictions against use of those program funds as a matching requirement, share or contribution for any other federal program. </w:t>
      </w:r>
    </w:p>
    <w:p w14:paraId="3D753459" w14:textId="7B3DE334" w:rsidR="000D507A" w:rsidRPr="00883E22" w:rsidRDefault="000D507A" w:rsidP="000D507A">
      <w:pPr>
        <w:spacing w:line="269" w:lineRule="auto"/>
        <w:jc w:val="both"/>
      </w:pPr>
      <w:r>
        <w:lastRenderedPageBreak/>
        <w:t xml:space="preserve">The Stafford Act contains eligibility requirements for applicants who have received prior disaster funding based upon </w:t>
      </w:r>
      <w:r w:rsidR="00384B3C">
        <w:t>whether</w:t>
      </w:r>
      <w:r>
        <w:t xml:space="preserve"> they </w:t>
      </w:r>
      <w:proofErr w:type="gramStart"/>
      <w:r>
        <w:t>are in compliance with</w:t>
      </w:r>
      <w:proofErr w:type="gramEnd"/>
      <w:r>
        <w:t xml:space="preserve"> requirements associated with receipt of those funds. Where applicable, applicants must </w:t>
      </w:r>
      <w:proofErr w:type="gramStart"/>
      <w:r>
        <w:t>be in compliance with</w:t>
      </w:r>
      <w:proofErr w:type="gramEnd"/>
      <w:r>
        <w:t xml:space="preserve"> these restrictions or individual funding will be denied. If you have any questions on use, compliance, determining and/or calculating duplication of benefits, please contact DCA. </w:t>
      </w:r>
    </w:p>
    <w:p w14:paraId="68B90521" w14:textId="3799486F" w:rsidR="00714C62" w:rsidRDefault="00714C62" w:rsidP="00634582">
      <w:pPr>
        <w:pStyle w:val="Heading1"/>
        <w:spacing w:before="0" w:after="120" w:line="254" w:lineRule="auto"/>
      </w:pPr>
      <w:bookmarkStart w:id="12" w:name="_Toc49861873"/>
      <w:bookmarkStart w:id="13" w:name="_Toc54626429"/>
      <w:r>
        <w:t>National Objectives</w:t>
      </w:r>
      <w:bookmarkEnd w:id="12"/>
      <w:bookmarkEnd w:id="13"/>
    </w:p>
    <w:p w14:paraId="71A5F58E" w14:textId="0E76BD93" w:rsidR="00D31BB6" w:rsidRDefault="00D31BB6" w:rsidP="00634582">
      <w:pPr>
        <w:spacing w:line="254" w:lineRule="auto"/>
        <w:jc w:val="both"/>
      </w:pPr>
      <w:r>
        <w:t>Funds being used for planning activities for the development of community plans are part of the 20% planning and administrative cap of CDBG-DR funds as according to 24 C.F.R. §570.483(f). Funds with this designation are not required to meet a national objective.</w:t>
      </w:r>
    </w:p>
    <w:p w14:paraId="62DE973E" w14:textId="23ABDE26" w:rsidR="00F43ED7" w:rsidRDefault="00F43ED7" w:rsidP="00634582">
      <w:pPr>
        <w:pStyle w:val="Heading1"/>
        <w:spacing w:line="254" w:lineRule="auto"/>
      </w:pPr>
      <w:bookmarkStart w:id="14" w:name="_Toc54626430"/>
      <w:r>
        <w:t>Environmental Review Requirement</w:t>
      </w:r>
      <w:bookmarkEnd w:id="14"/>
    </w:p>
    <w:p w14:paraId="08E16C10" w14:textId="60A39B58" w:rsidR="00F43ED7" w:rsidRDefault="00F43ED7" w:rsidP="00634582">
      <w:pPr>
        <w:spacing w:line="254" w:lineRule="auto"/>
        <w:jc w:val="both"/>
      </w:pPr>
      <w:r>
        <w:t>There are many federal and state environmental protection laws and regulations to consider when planning and implementing CDBG-MIT funded projects. It is important to note that compliance is often required for all funding sources, public and private, and for all components of the entire project. Applicants must comply with the National Environmental Policies Act of 1969 (NEPA) and HUD regulations implementing NEPA titled “Environmental Review Procedures for Entities Assuming HUD Environmental Responsibilities” (24 CFR Part 58).</w:t>
      </w:r>
    </w:p>
    <w:p w14:paraId="7F8B78B9" w14:textId="13E0C0EE" w:rsidR="00F43ED7" w:rsidRDefault="00F43ED7" w:rsidP="00634582">
      <w:pPr>
        <w:spacing w:line="254" w:lineRule="auto"/>
        <w:jc w:val="both"/>
      </w:pPr>
      <w:r>
        <w:t>All CDBG-MIT projects must take certain actions to comply with this reg</w:t>
      </w:r>
      <w:r w:rsidR="007660AE">
        <w:t xml:space="preserve">ulation before committing funds. </w:t>
      </w:r>
      <w:r>
        <w:t xml:space="preserve"> This generally includes the completion of an</w:t>
      </w:r>
      <w:r w:rsidR="007660AE">
        <w:t xml:space="preserve"> “Environmental Review for Activity/Project that is Exempt</w:t>
      </w:r>
      <w:r w:rsidR="00FF7C6C">
        <w:t xml:space="preserve"> </w:t>
      </w:r>
      <w:r w:rsidR="00E0635B">
        <w:t>or Categorically Excluded Not Subject to Section 58.5</w:t>
      </w:r>
      <w:r w:rsidR="007660AE">
        <w:t xml:space="preserve">” form to </w:t>
      </w:r>
      <w:r>
        <w:t>document ac</w:t>
      </w:r>
      <w:r w:rsidR="007660AE">
        <w:t xml:space="preserve">tions taken to comply with </w:t>
      </w:r>
      <w:r>
        <w:t xml:space="preserve">environmental laws. </w:t>
      </w:r>
    </w:p>
    <w:p w14:paraId="35DA21F6" w14:textId="2AD39AF3" w:rsidR="00F43ED7" w:rsidRDefault="00F43ED7" w:rsidP="00634582">
      <w:pPr>
        <w:spacing w:line="254" w:lineRule="auto"/>
        <w:jc w:val="both"/>
      </w:pPr>
      <w:r>
        <w:t xml:space="preserve">A copy of the </w:t>
      </w:r>
      <w:r w:rsidR="007660AE">
        <w:t xml:space="preserve">form </w:t>
      </w:r>
      <w:r>
        <w:t xml:space="preserve">can be found via the following web link: </w:t>
      </w:r>
    </w:p>
    <w:p w14:paraId="465366A2" w14:textId="5E37A1EF" w:rsidR="007660AE" w:rsidRDefault="001E4D5D" w:rsidP="00634582">
      <w:pPr>
        <w:spacing w:line="254" w:lineRule="auto"/>
        <w:contextualSpacing/>
        <w:jc w:val="both"/>
      </w:pPr>
      <w:hyperlink r:id="rId16" w:history="1">
        <w:r w:rsidR="007660AE" w:rsidRPr="004A2A56">
          <w:rPr>
            <w:rStyle w:val="Hyperlink"/>
          </w:rPr>
          <w:t>https://www.hud.gov/sites/dfiles/CPD/documents/Part-58-Exempt-CENST.pdf</w:t>
        </w:r>
      </w:hyperlink>
    </w:p>
    <w:p w14:paraId="2C1F67F7" w14:textId="7F35C9D1" w:rsidR="007660AE" w:rsidRPr="00361818" w:rsidRDefault="007660AE" w:rsidP="00634582">
      <w:pPr>
        <w:pStyle w:val="Heading1"/>
        <w:pBdr>
          <w:top w:val="inset" w:sz="12" w:space="1" w:color="7F7F7F" w:themeColor="text1" w:themeTint="80"/>
          <w:bottom w:val="outset" w:sz="12" w:space="1" w:color="7F7F7F" w:themeColor="text1" w:themeTint="80"/>
        </w:pBdr>
        <w:spacing w:line="254" w:lineRule="auto"/>
        <w:jc w:val="center"/>
        <w:rPr>
          <w:sz w:val="40"/>
        </w:rPr>
      </w:pPr>
      <w:bookmarkStart w:id="15" w:name="_Toc54626431"/>
      <w:r w:rsidRPr="00361818">
        <w:rPr>
          <w:sz w:val="40"/>
        </w:rPr>
        <w:t>How to Apply</w:t>
      </w:r>
      <w:bookmarkEnd w:id="15"/>
    </w:p>
    <w:p w14:paraId="4BE43430" w14:textId="77777777" w:rsidR="007660AE" w:rsidRPr="00381717" w:rsidRDefault="007660AE" w:rsidP="00634582">
      <w:pPr>
        <w:pStyle w:val="ListParagraph"/>
        <w:numPr>
          <w:ilvl w:val="0"/>
          <w:numId w:val="36"/>
        </w:numPr>
        <w:spacing w:before="160" w:line="254" w:lineRule="auto"/>
        <w:jc w:val="both"/>
      </w:pPr>
      <w:r w:rsidRPr="008F07E6">
        <w:t xml:space="preserve">Interested parties must submit a narrative detailing the </w:t>
      </w:r>
      <w:r w:rsidRPr="00381717">
        <w:t xml:space="preserve">following: </w:t>
      </w:r>
    </w:p>
    <w:p w14:paraId="0CB2FDE4" w14:textId="56338728" w:rsidR="007660AE" w:rsidRPr="00381717" w:rsidRDefault="007660AE" w:rsidP="00634582">
      <w:pPr>
        <w:pStyle w:val="ListParagraph"/>
        <w:numPr>
          <w:ilvl w:val="0"/>
          <w:numId w:val="35"/>
        </w:numPr>
        <w:spacing w:line="254" w:lineRule="auto"/>
        <w:jc w:val="both"/>
      </w:pPr>
      <w:r w:rsidRPr="00381717">
        <w:t>Summary of the proposed planning activity</w:t>
      </w:r>
      <w:r w:rsidR="00361818">
        <w:t xml:space="preserve"> and the plan that will be created if the project is selected for funding. </w:t>
      </w:r>
    </w:p>
    <w:p w14:paraId="49C2CF3F" w14:textId="77777777" w:rsidR="007660AE" w:rsidRPr="00381717" w:rsidRDefault="007660AE" w:rsidP="00634582">
      <w:pPr>
        <w:pStyle w:val="ListParagraph"/>
        <w:numPr>
          <w:ilvl w:val="0"/>
          <w:numId w:val="35"/>
        </w:numPr>
        <w:spacing w:line="254" w:lineRule="auto"/>
        <w:jc w:val="both"/>
      </w:pPr>
      <w:r w:rsidRPr="00381717">
        <w:t>Details of how the proposed planning activity will protect life and pr</w:t>
      </w:r>
      <w:r>
        <w:t>operty from future hazards</w:t>
      </w:r>
    </w:p>
    <w:p w14:paraId="51957F4C" w14:textId="608B75A9" w:rsidR="007660AE" w:rsidRPr="00381717" w:rsidRDefault="007660AE" w:rsidP="00634582">
      <w:pPr>
        <w:pStyle w:val="ListParagraph"/>
        <w:numPr>
          <w:ilvl w:val="0"/>
          <w:numId w:val="35"/>
        </w:numPr>
        <w:spacing w:line="254" w:lineRule="auto"/>
        <w:jc w:val="both"/>
      </w:pPr>
      <w:r w:rsidRPr="00381717">
        <w:t xml:space="preserve">An explanation of the implementation schedule. </w:t>
      </w:r>
      <w:r w:rsidR="00361818">
        <w:t xml:space="preserve">CDBG-Mitigation Planning Activities must result in a planning document that can be implemented. If awarded, DCA will monitor </w:t>
      </w:r>
      <w:r w:rsidR="00634582">
        <w:t xml:space="preserve">to determine if the implementation schedule is met. </w:t>
      </w:r>
    </w:p>
    <w:p w14:paraId="6F417786" w14:textId="77777777" w:rsidR="007660AE" w:rsidRDefault="007660AE" w:rsidP="00634582">
      <w:pPr>
        <w:pStyle w:val="ListParagraph"/>
        <w:numPr>
          <w:ilvl w:val="0"/>
          <w:numId w:val="35"/>
        </w:numPr>
        <w:spacing w:line="254" w:lineRule="auto"/>
        <w:jc w:val="both"/>
        <w:rPr>
          <w:b/>
        </w:rPr>
      </w:pPr>
      <w:r>
        <w:t>Projected Budget</w:t>
      </w:r>
    </w:p>
    <w:p w14:paraId="3D93459E" w14:textId="77777777" w:rsidR="007660AE" w:rsidRPr="0005571B" w:rsidRDefault="007660AE" w:rsidP="00634582">
      <w:pPr>
        <w:pStyle w:val="ListParagraph"/>
        <w:numPr>
          <w:ilvl w:val="0"/>
          <w:numId w:val="35"/>
        </w:numPr>
        <w:spacing w:line="254" w:lineRule="auto"/>
        <w:jc w:val="both"/>
      </w:pPr>
      <w:r>
        <w:t xml:space="preserve">Project Timeline - At a minimum, the expected dates for the following milestones must be included: Procurement, Begin Plan Development, Plan completed, initiate closeout. </w:t>
      </w:r>
    </w:p>
    <w:p w14:paraId="55E294A4" w14:textId="77777777" w:rsidR="007660AE" w:rsidRPr="007660AE" w:rsidRDefault="007660AE" w:rsidP="00634582">
      <w:pPr>
        <w:pStyle w:val="ListParagraph"/>
        <w:numPr>
          <w:ilvl w:val="0"/>
          <w:numId w:val="35"/>
        </w:numPr>
        <w:spacing w:line="254" w:lineRule="auto"/>
        <w:jc w:val="both"/>
      </w:pPr>
      <w:r w:rsidRPr="00381717">
        <w:t xml:space="preserve">Duplication of Benefits - </w:t>
      </w:r>
      <w:r w:rsidRPr="007660AE">
        <w:t>Applicants must indicate whether funds were received for similar purposes. See the DOB section of this guide for more information; and</w:t>
      </w:r>
    </w:p>
    <w:p w14:paraId="706D3409" w14:textId="46C787C3" w:rsidR="007660AE" w:rsidRPr="007660AE" w:rsidRDefault="007660AE" w:rsidP="00634582">
      <w:pPr>
        <w:pStyle w:val="ListParagraph"/>
        <w:numPr>
          <w:ilvl w:val="0"/>
          <w:numId w:val="35"/>
        </w:numPr>
        <w:spacing w:line="254" w:lineRule="auto"/>
        <w:jc w:val="both"/>
      </w:pPr>
      <w:r w:rsidRPr="007660AE">
        <w:t>Environmental Review Documentation</w:t>
      </w:r>
    </w:p>
    <w:p w14:paraId="4281D322" w14:textId="27346498" w:rsidR="007660AE" w:rsidRPr="00343F26" w:rsidRDefault="007660AE" w:rsidP="00634582">
      <w:pPr>
        <w:pStyle w:val="ListParagraph"/>
        <w:numPr>
          <w:ilvl w:val="0"/>
          <w:numId w:val="36"/>
        </w:numPr>
        <w:spacing w:before="160" w:line="254" w:lineRule="auto"/>
        <w:jc w:val="both"/>
      </w:pPr>
      <w:r w:rsidRPr="00343F26">
        <w:t>Review Process: DCA reviews each Application for eligibility</w:t>
      </w:r>
      <w:r w:rsidR="00634582">
        <w:t xml:space="preserve">, </w:t>
      </w:r>
      <w:r w:rsidRPr="00343F26">
        <w:t>completeness</w:t>
      </w:r>
      <w:r w:rsidR="00634582">
        <w:t>, and will score based on the scoring rubric on the following page</w:t>
      </w:r>
      <w:r w:rsidRPr="00343F26">
        <w:t xml:space="preserve">. </w:t>
      </w:r>
    </w:p>
    <w:p w14:paraId="52137205" w14:textId="4447BBE4" w:rsidR="007660AE" w:rsidRDefault="007660AE" w:rsidP="00634582">
      <w:pPr>
        <w:pStyle w:val="ListParagraph"/>
        <w:numPr>
          <w:ilvl w:val="0"/>
          <w:numId w:val="36"/>
        </w:numPr>
        <w:spacing w:before="160" w:line="254" w:lineRule="auto"/>
        <w:jc w:val="both"/>
      </w:pPr>
      <w:r w:rsidRPr="00343F26">
        <w:lastRenderedPageBreak/>
        <w:t>Award Process: Applicants with successful applications that are awarded funding receive an award letter which documents the next steps requir</w:t>
      </w:r>
      <w:r>
        <w:t>ed to accept and execute a Subrecipient</w:t>
      </w:r>
      <w:r w:rsidRPr="00343F26">
        <w:t xml:space="preserve"> Agreement (i.e. contract) with </w:t>
      </w:r>
      <w:r>
        <w:t>DCA</w:t>
      </w:r>
      <w:r w:rsidRPr="00343F26">
        <w:t>. Applicants that are not awarded funding will be contacted and notified with a written decision.</w:t>
      </w:r>
    </w:p>
    <w:p w14:paraId="63158A5C" w14:textId="215E18E8" w:rsidR="00D83C9E" w:rsidRPr="00D83C9E" w:rsidRDefault="007660AE" w:rsidP="00696522">
      <w:pPr>
        <w:pStyle w:val="ListParagraph"/>
        <w:numPr>
          <w:ilvl w:val="0"/>
          <w:numId w:val="36"/>
        </w:numPr>
        <w:spacing w:before="160" w:line="254" w:lineRule="auto"/>
        <w:jc w:val="both"/>
      </w:pPr>
      <w:r>
        <w:t xml:space="preserve">Procurement of vendor to complete planning activities. Procurement guidelines will be provided with the Subrecipient Agreement. </w:t>
      </w:r>
    </w:p>
    <w:sectPr w:rsidR="00D83C9E" w:rsidRPr="00D83C9E" w:rsidSect="0039442D">
      <w:pgSz w:w="12260" w:h="1586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A3A37" w14:textId="77777777" w:rsidR="004924B7" w:rsidRDefault="004924B7" w:rsidP="00E03474">
      <w:pPr>
        <w:spacing w:after="0" w:line="240" w:lineRule="auto"/>
      </w:pPr>
      <w:r>
        <w:separator/>
      </w:r>
    </w:p>
  </w:endnote>
  <w:endnote w:type="continuationSeparator" w:id="0">
    <w:p w14:paraId="65F8A65A" w14:textId="77777777" w:rsidR="004924B7" w:rsidRDefault="004924B7" w:rsidP="00E0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D2F39" w14:textId="77777777" w:rsidR="004924B7" w:rsidRDefault="004924B7" w:rsidP="00E03474">
      <w:pPr>
        <w:spacing w:after="0" w:line="240" w:lineRule="auto"/>
      </w:pPr>
      <w:r>
        <w:separator/>
      </w:r>
    </w:p>
  </w:footnote>
  <w:footnote w:type="continuationSeparator" w:id="0">
    <w:p w14:paraId="46645646" w14:textId="77777777" w:rsidR="004924B7" w:rsidRDefault="004924B7" w:rsidP="00E03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B0AC4"/>
    <w:multiLevelType w:val="hybridMultilevel"/>
    <w:tmpl w:val="720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601"/>
    <w:multiLevelType w:val="hybridMultilevel"/>
    <w:tmpl w:val="AFEA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4C7A"/>
    <w:multiLevelType w:val="hybridMultilevel"/>
    <w:tmpl w:val="682E10E6"/>
    <w:lvl w:ilvl="0" w:tplc="895E745A">
      <w:start w:val="1"/>
      <w:numFmt w:val="bullet"/>
      <w:lvlText w:val="o"/>
      <w:lvlJc w:val="left"/>
      <w:pPr>
        <w:ind w:left="720" w:hanging="360"/>
      </w:pPr>
      <w:rPr>
        <w:rFonts w:ascii="Courier New" w:hAnsi="Courier New"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F6E3D"/>
    <w:multiLevelType w:val="hybridMultilevel"/>
    <w:tmpl w:val="BE48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34319"/>
    <w:multiLevelType w:val="hybridMultilevel"/>
    <w:tmpl w:val="B7C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04C98"/>
    <w:multiLevelType w:val="hybridMultilevel"/>
    <w:tmpl w:val="59E2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262B4"/>
    <w:multiLevelType w:val="hybridMultilevel"/>
    <w:tmpl w:val="E27A1E64"/>
    <w:lvl w:ilvl="0" w:tplc="895E745A">
      <w:start w:val="1"/>
      <w:numFmt w:val="bullet"/>
      <w:lvlText w:val="o"/>
      <w:lvlJc w:val="left"/>
      <w:pPr>
        <w:ind w:left="720" w:hanging="360"/>
      </w:pPr>
      <w:rPr>
        <w:rFonts w:ascii="Courier New" w:hAnsi="Courier New"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A44F5"/>
    <w:multiLevelType w:val="hybridMultilevel"/>
    <w:tmpl w:val="7A9C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245D4"/>
    <w:multiLevelType w:val="hybridMultilevel"/>
    <w:tmpl w:val="2060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81843"/>
    <w:multiLevelType w:val="hybridMultilevel"/>
    <w:tmpl w:val="D664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F48DA"/>
    <w:multiLevelType w:val="hybridMultilevel"/>
    <w:tmpl w:val="142A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F0086"/>
    <w:multiLevelType w:val="hybridMultilevel"/>
    <w:tmpl w:val="6EAC5A36"/>
    <w:lvl w:ilvl="0" w:tplc="895E745A">
      <w:start w:val="1"/>
      <w:numFmt w:val="bullet"/>
      <w:lvlText w:val="o"/>
      <w:lvlJc w:val="left"/>
      <w:pPr>
        <w:ind w:left="720" w:hanging="360"/>
      </w:pPr>
      <w:rPr>
        <w:rFonts w:ascii="Courier New" w:hAnsi="Courier New"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64EDB"/>
    <w:multiLevelType w:val="hybridMultilevel"/>
    <w:tmpl w:val="D8E8BF1A"/>
    <w:lvl w:ilvl="0" w:tplc="A3AA3F4A">
      <w:start w:val="1"/>
      <w:numFmt w:val="bullet"/>
      <w:lvlText w:val=""/>
      <w:lvlJc w:val="left"/>
      <w:pPr>
        <w:ind w:left="720" w:hanging="360"/>
      </w:pPr>
      <w:rPr>
        <w:rFonts w:ascii="Symbol" w:hAnsi="Symbol"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F6A89"/>
    <w:multiLevelType w:val="hybridMultilevel"/>
    <w:tmpl w:val="9228846E"/>
    <w:lvl w:ilvl="0" w:tplc="895E745A">
      <w:start w:val="1"/>
      <w:numFmt w:val="bullet"/>
      <w:lvlText w:val="o"/>
      <w:lvlJc w:val="left"/>
      <w:pPr>
        <w:ind w:left="720" w:hanging="360"/>
      </w:pPr>
      <w:rPr>
        <w:rFonts w:ascii="Courier New" w:hAnsi="Courier New"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E7D6B"/>
    <w:multiLevelType w:val="hybridMultilevel"/>
    <w:tmpl w:val="960E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D7D72"/>
    <w:multiLevelType w:val="hybridMultilevel"/>
    <w:tmpl w:val="C0A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E7AF8"/>
    <w:multiLevelType w:val="hybridMultilevel"/>
    <w:tmpl w:val="81BA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A3698"/>
    <w:multiLevelType w:val="hybridMultilevel"/>
    <w:tmpl w:val="69C8A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E4253"/>
    <w:multiLevelType w:val="hybridMultilevel"/>
    <w:tmpl w:val="D0B4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0078C"/>
    <w:multiLevelType w:val="hybridMultilevel"/>
    <w:tmpl w:val="55E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22DDD"/>
    <w:multiLevelType w:val="hybridMultilevel"/>
    <w:tmpl w:val="8494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174CD"/>
    <w:multiLevelType w:val="hybridMultilevel"/>
    <w:tmpl w:val="DA06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6389E"/>
    <w:multiLevelType w:val="hybridMultilevel"/>
    <w:tmpl w:val="722C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6550F"/>
    <w:multiLevelType w:val="hybridMultilevel"/>
    <w:tmpl w:val="9B20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A6B68"/>
    <w:multiLevelType w:val="hybridMultilevel"/>
    <w:tmpl w:val="6F88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93498"/>
    <w:multiLevelType w:val="hybridMultilevel"/>
    <w:tmpl w:val="DEB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B5AE8"/>
    <w:multiLevelType w:val="hybridMultilevel"/>
    <w:tmpl w:val="7C1E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6F80"/>
    <w:multiLevelType w:val="hybridMultilevel"/>
    <w:tmpl w:val="918C09E2"/>
    <w:lvl w:ilvl="0" w:tplc="4C2A7C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5096F"/>
    <w:multiLevelType w:val="hybridMultilevel"/>
    <w:tmpl w:val="365E1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F0BA6"/>
    <w:multiLevelType w:val="hybridMultilevel"/>
    <w:tmpl w:val="3CF26338"/>
    <w:lvl w:ilvl="0" w:tplc="4F32C220">
      <w:start w:val="1"/>
      <w:numFmt w:val="bullet"/>
      <w:lvlText w:val=""/>
      <w:lvlJc w:val="left"/>
      <w:pPr>
        <w:ind w:left="720" w:hanging="360"/>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73BD7"/>
    <w:multiLevelType w:val="hybridMultilevel"/>
    <w:tmpl w:val="B58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A1F06"/>
    <w:multiLevelType w:val="hybridMultilevel"/>
    <w:tmpl w:val="B3B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B77A9"/>
    <w:multiLevelType w:val="hybridMultilevel"/>
    <w:tmpl w:val="CDF6DB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734AF8"/>
    <w:multiLevelType w:val="hybridMultilevel"/>
    <w:tmpl w:val="9008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10808"/>
    <w:multiLevelType w:val="hybridMultilevel"/>
    <w:tmpl w:val="A0545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54B1B"/>
    <w:multiLevelType w:val="hybridMultilevel"/>
    <w:tmpl w:val="3CD0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F5FCA"/>
    <w:multiLevelType w:val="hybridMultilevel"/>
    <w:tmpl w:val="0DC6A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0588E"/>
    <w:multiLevelType w:val="hybridMultilevel"/>
    <w:tmpl w:val="FF32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5"/>
  </w:num>
  <w:num w:numId="4">
    <w:abstractNumId w:val="4"/>
  </w:num>
  <w:num w:numId="5">
    <w:abstractNumId w:val="25"/>
  </w:num>
  <w:num w:numId="6">
    <w:abstractNumId w:val="36"/>
  </w:num>
  <w:num w:numId="7">
    <w:abstractNumId w:val="21"/>
  </w:num>
  <w:num w:numId="8">
    <w:abstractNumId w:val="31"/>
  </w:num>
  <w:num w:numId="9">
    <w:abstractNumId w:val="0"/>
  </w:num>
  <w:num w:numId="10">
    <w:abstractNumId w:val="15"/>
  </w:num>
  <w:num w:numId="11">
    <w:abstractNumId w:val="9"/>
  </w:num>
  <w:num w:numId="12">
    <w:abstractNumId w:val="8"/>
  </w:num>
  <w:num w:numId="13">
    <w:abstractNumId w:val="20"/>
  </w:num>
  <w:num w:numId="14">
    <w:abstractNumId w:val="1"/>
  </w:num>
  <w:num w:numId="15">
    <w:abstractNumId w:val="7"/>
  </w:num>
  <w:num w:numId="16">
    <w:abstractNumId w:val="24"/>
  </w:num>
  <w:num w:numId="17">
    <w:abstractNumId w:val="19"/>
  </w:num>
  <w:num w:numId="18">
    <w:abstractNumId w:val="30"/>
  </w:num>
  <w:num w:numId="19">
    <w:abstractNumId w:val="18"/>
  </w:num>
  <w:num w:numId="20">
    <w:abstractNumId w:val="14"/>
  </w:num>
  <w:num w:numId="21">
    <w:abstractNumId w:val="16"/>
  </w:num>
  <w:num w:numId="22">
    <w:abstractNumId w:val="10"/>
  </w:num>
  <w:num w:numId="23">
    <w:abstractNumId w:val="23"/>
  </w:num>
  <w:num w:numId="24">
    <w:abstractNumId w:val="37"/>
  </w:num>
  <w:num w:numId="25">
    <w:abstractNumId w:val="33"/>
  </w:num>
  <w:num w:numId="26">
    <w:abstractNumId w:val="17"/>
  </w:num>
  <w:num w:numId="27">
    <w:abstractNumId w:val="35"/>
  </w:num>
  <w:num w:numId="28">
    <w:abstractNumId w:val="3"/>
  </w:num>
  <w:num w:numId="29">
    <w:abstractNumId w:val="22"/>
  </w:num>
  <w:num w:numId="30">
    <w:abstractNumId w:val="27"/>
  </w:num>
  <w:num w:numId="31">
    <w:abstractNumId w:val="29"/>
  </w:num>
  <w:num w:numId="32">
    <w:abstractNumId w:val="12"/>
  </w:num>
  <w:num w:numId="33">
    <w:abstractNumId w:val="34"/>
  </w:num>
  <w:num w:numId="34">
    <w:abstractNumId w:val="2"/>
  </w:num>
  <w:num w:numId="35">
    <w:abstractNumId w:val="11"/>
  </w:num>
  <w:num w:numId="36">
    <w:abstractNumId w:val="32"/>
  </w:num>
  <w:num w:numId="37">
    <w:abstractNumId w:val="13"/>
  </w:num>
  <w:num w:numId="3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90"/>
    <w:rsid w:val="00005802"/>
    <w:rsid w:val="00005CCF"/>
    <w:rsid w:val="00024281"/>
    <w:rsid w:val="00025B26"/>
    <w:rsid w:val="00026A19"/>
    <w:rsid w:val="000274FE"/>
    <w:rsid w:val="00037B7E"/>
    <w:rsid w:val="0004711D"/>
    <w:rsid w:val="00051912"/>
    <w:rsid w:val="0005571B"/>
    <w:rsid w:val="00057A72"/>
    <w:rsid w:val="000633CA"/>
    <w:rsid w:val="00071542"/>
    <w:rsid w:val="00077F81"/>
    <w:rsid w:val="00081C5E"/>
    <w:rsid w:val="000973E3"/>
    <w:rsid w:val="000A4D4C"/>
    <w:rsid w:val="000C2DA9"/>
    <w:rsid w:val="000D1F5B"/>
    <w:rsid w:val="000D507A"/>
    <w:rsid w:val="000F04EB"/>
    <w:rsid w:val="000F4143"/>
    <w:rsid w:val="000F56E6"/>
    <w:rsid w:val="00111046"/>
    <w:rsid w:val="0011700B"/>
    <w:rsid w:val="001255C8"/>
    <w:rsid w:val="0012705C"/>
    <w:rsid w:val="00140ACC"/>
    <w:rsid w:val="00150336"/>
    <w:rsid w:val="00154298"/>
    <w:rsid w:val="00154652"/>
    <w:rsid w:val="00162E87"/>
    <w:rsid w:val="001634AE"/>
    <w:rsid w:val="001668E0"/>
    <w:rsid w:val="00167234"/>
    <w:rsid w:val="001730D2"/>
    <w:rsid w:val="00173E86"/>
    <w:rsid w:val="00181085"/>
    <w:rsid w:val="001B73C0"/>
    <w:rsid w:val="001C34B2"/>
    <w:rsid w:val="001C5F95"/>
    <w:rsid w:val="001C791A"/>
    <w:rsid w:val="001D161D"/>
    <w:rsid w:val="001D20AA"/>
    <w:rsid w:val="001E4D5D"/>
    <w:rsid w:val="001F4F68"/>
    <w:rsid w:val="0020756C"/>
    <w:rsid w:val="00210F07"/>
    <w:rsid w:val="00217270"/>
    <w:rsid w:val="00217B89"/>
    <w:rsid w:val="00232507"/>
    <w:rsid w:val="00234AD9"/>
    <w:rsid w:val="0024508B"/>
    <w:rsid w:val="002455DA"/>
    <w:rsid w:val="00264A9C"/>
    <w:rsid w:val="0027203C"/>
    <w:rsid w:val="00290C60"/>
    <w:rsid w:val="00292AEA"/>
    <w:rsid w:val="002A030C"/>
    <w:rsid w:val="002A4FC5"/>
    <w:rsid w:val="002A6641"/>
    <w:rsid w:val="002B2CF0"/>
    <w:rsid w:val="002B50AA"/>
    <w:rsid w:val="002D0587"/>
    <w:rsid w:val="002D24F2"/>
    <w:rsid w:val="002E015E"/>
    <w:rsid w:val="002E4BDA"/>
    <w:rsid w:val="002F292C"/>
    <w:rsid w:val="003041F1"/>
    <w:rsid w:val="003138E1"/>
    <w:rsid w:val="003149E1"/>
    <w:rsid w:val="0032118C"/>
    <w:rsid w:val="00323FA4"/>
    <w:rsid w:val="00335CB7"/>
    <w:rsid w:val="0034092F"/>
    <w:rsid w:val="003421ED"/>
    <w:rsid w:val="00343F26"/>
    <w:rsid w:val="00361818"/>
    <w:rsid w:val="00376A2D"/>
    <w:rsid w:val="00381717"/>
    <w:rsid w:val="00384B3C"/>
    <w:rsid w:val="00390E9C"/>
    <w:rsid w:val="0039442D"/>
    <w:rsid w:val="003A2047"/>
    <w:rsid w:val="003B67E1"/>
    <w:rsid w:val="003C4631"/>
    <w:rsid w:val="003D5E08"/>
    <w:rsid w:val="003E0CF0"/>
    <w:rsid w:val="003E1B8B"/>
    <w:rsid w:val="003F0EDA"/>
    <w:rsid w:val="003F2DC7"/>
    <w:rsid w:val="004013E3"/>
    <w:rsid w:val="0043333A"/>
    <w:rsid w:val="00445366"/>
    <w:rsid w:val="00446EF5"/>
    <w:rsid w:val="0045042D"/>
    <w:rsid w:val="004512BD"/>
    <w:rsid w:val="004554ED"/>
    <w:rsid w:val="0045634B"/>
    <w:rsid w:val="0046248D"/>
    <w:rsid w:val="00472ACF"/>
    <w:rsid w:val="00475A6B"/>
    <w:rsid w:val="00485396"/>
    <w:rsid w:val="00486127"/>
    <w:rsid w:val="004924B7"/>
    <w:rsid w:val="00495391"/>
    <w:rsid w:val="004B38DC"/>
    <w:rsid w:val="004B59E4"/>
    <w:rsid w:val="004C15FC"/>
    <w:rsid w:val="004D1D19"/>
    <w:rsid w:val="004D3C3D"/>
    <w:rsid w:val="004D77A1"/>
    <w:rsid w:val="004E00F5"/>
    <w:rsid w:val="004E5860"/>
    <w:rsid w:val="00520665"/>
    <w:rsid w:val="00526288"/>
    <w:rsid w:val="005313AD"/>
    <w:rsid w:val="0053516F"/>
    <w:rsid w:val="00557B4E"/>
    <w:rsid w:val="00557DF2"/>
    <w:rsid w:val="00557E01"/>
    <w:rsid w:val="0056048B"/>
    <w:rsid w:val="005636FF"/>
    <w:rsid w:val="00571740"/>
    <w:rsid w:val="00573A27"/>
    <w:rsid w:val="00573EE9"/>
    <w:rsid w:val="00577EAF"/>
    <w:rsid w:val="005804C6"/>
    <w:rsid w:val="005A458E"/>
    <w:rsid w:val="005A53CC"/>
    <w:rsid w:val="005B73DF"/>
    <w:rsid w:val="005B7783"/>
    <w:rsid w:val="005B77C9"/>
    <w:rsid w:val="005B7D30"/>
    <w:rsid w:val="005C4045"/>
    <w:rsid w:val="005D2F01"/>
    <w:rsid w:val="005D3C85"/>
    <w:rsid w:val="005F06B4"/>
    <w:rsid w:val="005F3EB0"/>
    <w:rsid w:val="006027E2"/>
    <w:rsid w:val="006045E8"/>
    <w:rsid w:val="00605783"/>
    <w:rsid w:val="006103CE"/>
    <w:rsid w:val="00611947"/>
    <w:rsid w:val="00617840"/>
    <w:rsid w:val="00621259"/>
    <w:rsid w:val="00622AC8"/>
    <w:rsid w:val="00625498"/>
    <w:rsid w:val="00625E81"/>
    <w:rsid w:val="00634582"/>
    <w:rsid w:val="00642A39"/>
    <w:rsid w:val="00646ED8"/>
    <w:rsid w:val="00671D14"/>
    <w:rsid w:val="0067466C"/>
    <w:rsid w:val="0067561C"/>
    <w:rsid w:val="006802C0"/>
    <w:rsid w:val="006A0045"/>
    <w:rsid w:val="006C3C68"/>
    <w:rsid w:val="006D4C68"/>
    <w:rsid w:val="006D74A6"/>
    <w:rsid w:val="006E7996"/>
    <w:rsid w:val="006F4ED3"/>
    <w:rsid w:val="00704687"/>
    <w:rsid w:val="00711191"/>
    <w:rsid w:val="007147B3"/>
    <w:rsid w:val="00714C62"/>
    <w:rsid w:val="00723DAD"/>
    <w:rsid w:val="007313AC"/>
    <w:rsid w:val="00736E9B"/>
    <w:rsid w:val="007532B8"/>
    <w:rsid w:val="00754493"/>
    <w:rsid w:val="00756120"/>
    <w:rsid w:val="007660AE"/>
    <w:rsid w:val="00794D61"/>
    <w:rsid w:val="00797B27"/>
    <w:rsid w:val="007B0343"/>
    <w:rsid w:val="007C471D"/>
    <w:rsid w:val="007D0AA8"/>
    <w:rsid w:val="007D251B"/>
    <w:rsid w:val="007D3401"/>
    <w:rsid w:val="007D3C58"/>
    <w:rsid w:val="007D6373"/>
    <w:rsid w:val="007E3934"/>
    <w:rsid w:val="007F3B29"/>
    <w:rsid w:val="0080434C"/>
    <w:rsid w:val="00804726"/>
    <w:rsid w:val="00817E6D"/>
    <w:rsid w:val="008238EE"/>
    <w:rsid w:val="00823CC6"/>
    <w:rsid w:val="00824D4B"/>
    <w:rsid w:val="00835A0C"/>
    <w:rsid w:val="00875663"/>
    <w:rsid w:val="008804D4"/>
    <w:rsid w:val="00883E22"/>
    <w:rsid w:val="00885637"/>
    <w:rsid w:val="00886398"/>
    <w:rsid w:val="008A6A9F"/>
    <w:rsid w:val="008B0E08"/>
    <w:rsid w:val="008B6680"/>
    <w:rsid w:val="008C3996"/>
    <w:rsid w:val="008C5243"/>
    <w:rsid w:val="008D21E7"/>
    <w:rsid w:val="008E24B4"/>
    <w:rsid w:val="008E50B6"/>
    <w:rsid w:val="008E689C"/>
    <w:rsid w:val="008F07E6"/>
    <w:rsid w:val="008F15FC"/>
    <w:rsid w:val="008F2097"/>
    <w:rsid w:val="00902CAF"/>
    <w:rsid w:val="00907B9D"/>
    <w:rsid w:val="0091242A"/>
    <w:rsid w:val="00912E62"/>
    <w:rsid w:val="00920D74"/>
    <w:rsid w:val="00931A3E"/>
    <w:rsid w:val="00934105"/>
    <w:rsid w:val="00943447"/>
    <w:rsid w:val="0095397C"/>
    <w:rsid w:val="009712A4"/>
    <w:rsid w:val="009744AB"/>
    <w:rsid w:val="00983192"/>
    <w:rsid w:val="0099350B"/>
    <w:rsid w:val="009A06C7"/>
    <w:rsid w:val="009B5519"/>
    <w:rsid w:val="009B6046"/>
    <w:rsid w:val="009C39F9"/>
    <w:rsid w:val="009C3FEC"/>
    <w:rsid w:val="009F7524"/>
    <w:rsid w:val="00A01FD3"/>
    <w:rsid w:val="00A04197"/>
    <w:rsid w:val="00A16AB8"/>
    <w:rsid w:val="00A24090"/>
    <w:rsid w:val="00A24A7D"/>
    <w:rsid w:val="00A33AB7"/>
    <w:rsid w:val="00A35C35"/>
    <w:rsid w:val="00A37524"/>
    <w:rsid w:val="00A4512C"/>
    <w:rsid w:val="00A53913"/>
    <w:rsid w:val="00A54A8F"/>
    <w:rsid w:val="00A60C30"/>
    <w:rsid w:val="00A642B3"/>
    <w:rsid w:val="00A65D9E"/>
    <w:rsid w:val="00A91920"/>
    <w:rsid w:val="00AA3007"/>
    <w:rsid w:val="00AB406C"/>
    <w:rsid w:val="00AC5755"/>
    <w:rsid w:val="00AD411A"/>
    <w:rsid w:val="00AD588B"/>
    <w:rsid w:val="00B129C1"/>
    <w:rsid w:val="00B176DA"/>
    <w:rsid w:val="00B17F44"/>
    <w:rsid w:val="00B40AB8"/>
    <w:rsid w:val="00B4166F"/>
    <w:rsid w:val="00B53E9F"/>
    <w:rsid w:val="00B630E3"/>
    <w:rsid w:val="00B65C79"/>
    <w:rsid w:val="00B730BF"/>
    <w:rsid w:val="00B84F70"/>
    <w:rsid w:val="00B942A9"/>
    <w:rsid w:val="00B94D45"/>
    <w:rsid w:val="00B973B0"/>
    <w:rsid w:val="00BA4025"/>
    <w:rsid w:val="00BB31A5"/>
    <w:rsid w:val="00BC251C"/>
    <w:rsid w:val="00BF3807"/>
    <w:rsid w:val="00C0039F"/>
    <w:rsid w:val="00C01980"/>
    <w:rsid w:val="00C022A9"/>
    <w:rsid w:val="00C11C5B"/>
    <w:rsid w:val="00C14A7A"/>
    <w:rsid w:val="00C15EF0"/>
    <w:rsid w:val="00C20359"/>
    <w:rsid w:val="00C40DE1"/>
    <w:rsid w:val="00C41180"/>
    <w:rsid w:val="00C42A6D"/>
    <w:rsid w:val="00C52652"/>
    <w:rsid w:val="00C61085"/>
    <w:rsid w:val="00C639BA"/>
    <w:rsid w:val="00C96891"/>
    <w:rsid w:val="00CA2252"/>
    <w:rsid w:val="00CB3D3A"/>
    <w:rsid w:val="00CE3745"/>
    <w:rsid w:val="00CF23AF"/>
    <w:rsid w:val="00D03B0C"/>
    <w:rsid w:val="00D10848"/>
    <w:rsid w:val="00D14CC2"/>
    <w:rsid w:val="00D171C5"/>
    <w:rsid w:val="00D213E4"/>
    <w:rsid w:val="00D31A01"/>
    <w:rsid w:val="00D31BB6"/>
    <w:rsid w:val="00D405DF"/>
    <w:rsid w:val="00D41685"/>
    <w:rsid w:val="00D44133"/>
    <w:rsid w:val="00D61C4B"/>
    <w:rsid w:val="00D639E7"/>
    <w:rsid w:val="00D65DAD"/>
    <w:rsid w:val="00D83C9E"/>
    <w:rsid w:val="00D85CE5"/>
    <w:rsid w:val="00D87A6F"/>
    <w:rsid w:val="00D9227B"/>
    <w:rsid w:val="00DB0320"/>
    <w:rsid w:val="00DB2624"/>
    <w:rsid w:val="00DB7289"/>
    <w:rsid w:val="00DC61BE"/>
    <w:rsid w:val="00DD0005"/>
    <w:rsid w:val="00DD4187"/>
    <w:rsid w:val="00DE0A1C"/>
    <w:rsid w:val="00DE1C80"/>
    <w:rsid w:val="00E03474"/>
    <w:rsid w:val="00E035DD"/>
    <w:rsid w:val="00E03783"/>
    <w:rsid w:val="00E0635B"/>
    <w:rsid w:val="00E100A7"/>
    <w:rsid w:val="00E10A49"/>
    <w:rsid w:val="00E10A96"/>
    <w:rsid w:val="00E26B7C"/>
    <w:rsid w:val="00E4102D"/>
    <w:rsid w:val="00E413AF"/>
    <w:rsid w:val="00E473BD"/>
    <w:rsid w:val="00E55A96"/>
    <w:rsid w:val="00E57EFC"/>
    <w:rsid w:val="00E6440D"/>
    <w:rsid w:val="00E65688"/>
    <w:rsid w:val="00E65D1A"/>
    <w:rsid w:val="00E67ECB"/>
    <w:rsid w:val="00E8190F"/>
    <w:rsid w:val="00E84D8D"/>
    <w:rsid w:val="00E921E2"/>
    <w:rsid w:val="00E94ACD"/>
    <w:rsid w:val="00E96CF2"/>
    <w:rsid w:val="00EB02B1"/>
    <w:rsid w:val="00EB0FE4"/>
    <w:rsid w:val="00EB5C0D"/>
    <w:rsid w:val="00EB7037"/>
    <w:rsid w:val="00EC374B"/>
    <w:rsid w:val="00EC3C8D"/>
    <w:rsid w:val="00ED666A"/>
    <w:rsid w:val="00EE5A36"/>
    <w:rsid w:val="00EF4B63"/>
    <w:rsid w:val="00EF60F0"/>
    <w:rsid w:val="00F01B3F"/>
    <w:rsid w:val="00F072AD"/>
    <w:rsid w:val="00F125C8"/>
    <w:rsid w:val="00F14868"/>
    <w:rsid w:val="00F168C1"/>
    <w:rsid w:val="00F2383E"/>
    <w:rsid w:val="00F27BCF"/>
    <w:rsid w:val="00F41B8E"/>
    <w:rsid w:val="00F43ED7"/>
    <w:rsid w:val="00F5267E"/>
    <w:rsid w:val="00F54FA9"/>
    <w:rsid w:val="00F73A22"/>
    <w:rsid w:val="00F9226D"/>
    <w:rsid w:val="00FA4F90"/>
    <w:rsid w:val="00FB758E"/>
    <w:rsid w:val="00FD689C"/>
    <w:rsid w:val="00FE76CB"/>
    <w:rsid w:val="00FF3EFA"/>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A33F4"/>
  <w15:chartTrackingRefBased/>
  <w15:docId w15:val="{EA7D0707-8DBE-4B31-B905-FD565466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68"/>
    <w:pPr>
      <w:keepNext/>
      <w:keepLines/>
      <w:spacing w:before="240" w:after="0"/>
      <w:outlineLvl w:val="0"/>
    </w:pPr>
    <w:rPr>
      <w:rFonts w:asciiTheme="majorHAnsi" w:eastAsiaTheme="majorEastAsia" w:hAnsiTheme="majorHAnsi" w:cstheme="majorBidi"/>
      <w:color w:val="92D050"/>
      <w:sz w:val="32"/>
      <w:szCs w:val="32"/>
    </w:rPr>
  </w:style>
  <w:style w:type="paragraph" w:styleId="Heading2">
    <w:name w:val="heading 2"/>
    <w:basedOn w:val="Normal"/>
    <w:next w:val="Normal"/>
    <w:link w:val="Heading2Char"/>
    <w:uiPriority w:val="9"/>
    <w:unhideWhenUsed/>
    <w:qFormat/>
    <w:rsid w:val="00D405DF"/>
    <w:pPr>
      <w:spacing w:after="0" w:line="240" w:lineRule="auto"/>
      <w:outlineLvl w:val="1"/>
    </w:pPr>
    <w:rPr>
      <w:rFonts w:cs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DE1"/>
    <w:pPr>
      <w:ind w:left="720"/>
      <w:contextualSpacing/>
    </w:pPr>
  </w:style>
  <w:style w:type="paragraph" w:styleId="BalloonText">
    <w:name w:val="Balloon Text"/>
    <w:basedOn w:val="Normal"/>
    <w:link w:val="BalloonTextChar"/>
    <w:uiPriority w:val="99"/>
    <w:semiHidden/>
    <w:unhideWhenUsed/>
    <w:rsid w:val="00B73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0BF"/>
    <w:rPr>
      <w:rFonts w:ascii="Segoe UI" w:hAnsi="Segoe UI" w:cs="Segoe UI"/>
      <w:sz w:val="18"/>
      <w:szCs w:val="18"/>
    </w:rPr>
  </w:style>
  <w:style w:type="paragraph" w:styleId="Header">
    <w:name w:val="header"/>
    <w:basedOn w:val="Normal"/>
    <w:link w:val="HeaderChar"/>
    <w:uiPriority w:val="99"/>
    <w:unhideWhenUsed/>
    <w:rsid w:val="00E03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474"/>
  </w:style>
  <w:style w:type="paragraph" w:styleId="Footer">
    <w:name w:val="footer"/>
    <w:basedOn w:val="Normal"/>
    <w:link w:val="FooterChar"/>
    <w:uiPriority w:val="99"/>
    <w:unhideWhenUsed/>
    <w:rsid w:val="00E03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474"/>
  </w:style>
  <w:style w:type="paragraph" w:styleId="NoSpacing">
    <w:name w:val="No Spacing"/>
    <w:link w:val="NoSpacingChar"/>
    <w:uiPriority w:val="1"/>
    <w:qFormat/>
    <w:rsid w:val="00154298"/>
    <w:pPr>
      <w:spacing w:after="0" w:line="240" w:lineRule="auto"/>
    </w:pPr>
  </w:style>
  <w:style w:type="character" w:customStyle="1" w:styleId="NoSpacingChar">
    <w:name w:val="No Spacing Char"/>
    <w:basedOn w:val="DefaultParagraphFont"/>
    <w:link w:val="NoSpacing"/>
    <w:uiPriority w:val="1"/>
    <w:rsid w:val="00BC251C"/>
  </w:style>
  <w:style w:type="paragraph" w:styleId="TOC1">
    <w:name w:val="toc 1"/>
    <w:basedOn w:val="Normal"/>
    <w:next w:val="Normal"/>
    <w:autoRedefine/>
    <w:uiPriority w:val="39"/>
    <w:unhideWhenUsed/>
    <w:rsid w:val="00F14868"/>
    <w:pPr>
      <w:spacing w:before="120" w:after="0"/>
    </w:pPr>
    <w:rPr>
      <w:rFonts w:cstheme="minorHAnsi"/>
      <w:b/>
      <w:bCs/>
      <w:i/>
      <w:iCs/>
      <w:sz w:val="24"/>
      <w:szCs w:val="24"/>
    </w:rPr>
  </w:style>
  <w:style w:type="paragraph" w:styleId="TOC2">
    <w:name w:val="toc 2"/>
    <w:basedOn w:val="Normal"/>
    <w:next w:val="Normal"/>
    <w:autoRedefine/>
    <w:uiPriority w:val="39"/>
    <w:unhideWhenUsed/>
    <w:rsid w:val="00F14868"/>
    <w:pPr>
      <w:spacing w:before="120" w:after="0"/>
      <w:ind w:left="220"/>
    </w:pPr>
    <w:rPr>
      <w:rFonts w:cstheme="minorHAnsi"/>
      <w:b/>
      <w:bCs/>
    </w:rPr>
  </w:style>
  <w:style w:type="paragraph" w:styleId="TOC3">
    <w:name w:val="toc 3"/>
    <w:basedOn w:val="Normal"/>
    <w:next w:val="Normal"/>
    <w:autoRedefine/>
    <w:uiPriority w:val="39"/>
    <w:unhideWhenUsed/>
    <w:rsid w:val="00F14868"/>
    <w:pPr>
      <w:spacing w:after="0"/>
      <w:ind w:left="440"/>
    </w:pPr>
    <w:rPr>
      <w:rFonts w:cstheme="minorHAnsi"/>
      <w:sz w:val="20"/>
      <w:szCs w:val="20"/>
    </w:rPr>
  </w:style>
  <w:style w:type="paragraph" w:styleId="TOC4">
    <w:name w:val="toc 4"/>
    <w:basedOn w:val="Normal"/>
    <w:next w:val="Normal"/>
    <w:autoRedefine/>
    <w:uiPriority w:val="39"/>
    <w:unhideWhenUsed/>
    <w:rsid w:val="00F14868"/>
    <w:pPr>
      <w:spacing w:after="0"/>
      <w:ind w:left="660"/>
    </w:pPr>
    <w:rPr>
      <w:rFonts w:cstheme="minorHAnsi"/>
      <w:sz w:val="20"/>
      <w:szCs w:val="20"/>
    </w:rPr>
  </w:style>
  <w:style w:type="paragraph" w:styleId="TOC5">
    <w:name w:val="toc 5"/>
    <w:basedOn w:val="Normal"/>
    <w:next w:val="Normal"/>
    <w:autoRedefine/>
    <w:uiPriority w:val="39"/>
    <w:unhideWhenUsed/>
    <w:rsid w:val="00F14868"/>
    <w:pPr>
      <w:spacing w:after="0"/>
      <w:ind w:left="880"/>
    </w:pPr>
    <w:rPr>
      <w:rFonts w:cstheme="minorHAnsi"/>
      <w:sz w:val="20"/>
      <w:szCs w:val="20"/>
    </w:rPr>
  </w:style>
  <w:style w:type="paragraph" w:styleId="TOC6">
    <w:name w:val="toc 6"/>
    <w:basedOn w:val="Normal"/>
    <w:next w:val="Normal"/>
    <w:autoRedefine/>
    <w:uiPriority w:val="39"/>
    <w:unhideWhenUsed/>
    <w:rsid w:val="00F14868"/>
    <w:pPr>
      <w:spacing w:after="0"/>
      <w:ind w:left="1100"/>
    </w:pPr>
    <w:rPr>
      <w:rFonts w:cstheme="minorHAnsi"/>
      <w:sz w:val="20"/>
      <w:szCs w:val="20"/>
    </w:rPr>
  </w:style>
  <w:style w:type="paragraph" w:styleId="TOC7">
    <w:name w:val="toc 7"/>
    <w:basedOn w:val="Normal"/>
    <w:next w:val="Normal"/>
    <w:autoRedefine/>
    <w:uiPriority w:val="39"/>
    <w:unhideWhenUsed/>
    <w:rsid w:val="00F14868"/>
    <w:pPr>
      <w:spacing w:after="0"/>
      <w:ind w:left="1320"/>
    </w:pPr>
    <w:rPr>
      <w:rFonts w:cstheme="minorHAnsi"/>
      <w:sz w:val="20"/>
      <w:szCs w:val="20"/>
    </w:rPr>
  </w:style>
  <w:style w:type="paragraph" w:styleId="TOC8">
    <w:name w:val="toc 8"/>
    <w:basedOn w:val="Normal"/>
    <w:next w:val="Normal"/>
    <w:autoRedefine/>
    <w:uiPriority w:val="39"/>
    <w:unhideWhenUsed/>
    <w:rsid w:val="00F14868"/>
    <w:pPr>
      <w:spacing w:after="0"/>
      <w:ind w:left="1540"/>
    </w:pPr>
    <w:rPr>
      <w:rFonts w:cstheme="minorHAnsi"/>
      <w:sz w:val="20"/>
      <w:szCs w:val="20"/>
    </w:rPr>
  </w:style>
  <w:style w:type="paragraph" w:styleId="TOC9">
    <w:name w:val="toc 9"/>
    <w:basedOn w:val="Normal"/>
    <w:next w:val="Normal"/>
    <w:autoRedefine/>
    <w:uiPriority w:val="39"/>
    <w:unhideWhenUsed/>
    <w:rsid w:val="00F14868"/>
    <w:pPr>
      <w:spacing w:after="0"/>
      <w:ind w:left="1760"/>
    </w:pPr>
    <w:rPr>
      <w:rFonts w:cstheme="minorHAnsi"/>
      <w:sz w:val="20"/>
      <w:szCs w:val="20"/>
    </w:rPr>
  </w:style>
  <w:style w:type="character" w:customStyle="1" w:styleId="Heading1Char">
    <w:name w:val="Heading 1 Char"/>
    <w:basedOn w:val="DefaultParagraphFont"/>
    <w:link w:val="Heading1"/>
    <w:uiPriority w:val="9"/>
    <w:rsid w:val="00F14868"/>
    <w:rPr>
      <w:rFonts w:asciiTheme="majorHAnsi" w:eastAsiaTheme="majorEastAsia" w:hAnsiTheme="majorHAnsi" w:cstheme="majorBidi"/>
      <w:color w:val="92D050"/>
      <w:sz w:val="32"/>
      <w:szCs w:val="32"/>
    </w:rPr>
  </w:style>
  <w:style w:type="character" w:styleId="Hyperlink">
    <w:name w:val="Hyperlink"/>
    <w:basedOn w:val="DefaultParagraphFont"/>
    <w:uiPriority w:val="99"/>
    <w:unhideWhenUsed/>
    <w:rsid w:val="00F14868"/>
    <w:rPr>
      <w:color w:val="0563C1" w:themeColor="hyperlink"/>
      <w:u w:val="single"/>
    </w:rPr>
  </w:style>
  <w:style w:type="table" w:styleId="TableGrid">
    <w:name w:val="Table Grid"/>
    <w:basedOn w:val="TableNormal"/>
    <w:uiPriority w:val="39"/>
    <w:rsid w:val="00F1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05DF"/>
    <w:rPr>
      <w:rFonts w:cstheme="minorHAnsi"/>
      <w:b/>
      <w:sz w:val="24"/>
    </w:rPr>
  </w:style>
  <w:style w:type="paragraph" w:styleId="BodyText">
    <w:name w:val="Body Text"/>
    <w:basedOn w:val="Normal"/>
    <w:link w:val="BodyTextChar"/>
    <w:uiPriority w:val="1"/>
    <w:qFormat/>
    <w:rsid w:val="00E6440D"/>
    <w:pPr>
      <w:widowControl w:val="0"/>
      <w:autoSpaceDE w:val="0"/>
      <w:autoSpaceDN w:val="0"/>
      <w:spacing w:after="0" w:line="240" w:lineRule="auto"/>
    </w:pPr>
    <w:rPr>
      <w:rFonts w:ascii="Tahoma" w:eastAsia="Tahoma" w:hAnsi="Tahoma" w:cs="Tahoma"/>
      <w:lang w:bidi="en-US"/>
    </w:rPr>
  </w:style>
  <w:style w:type="character" w:customStyle="1" w:styleId="BodyTextChar">
    <w:name w:val="Body Text Char"/>
    <w:basedOn w:val="DefaultParagraphFont"/>
    <w:link w:val="BodyText"/>
    <w:uiPriority w:val="1"/>
    <w:rsid w:val="00E6440D"/>
    <w:rPr>
      <w:rFonts w:ascii="Tahoma" w:eastAsia="Tahoma" w:hAnsi="Tahoma" w:cs="Tahoma"/>
      <w:lang w:bidi="en-US"/>
    </w:rPr>
  </w:style>
  <w:style w:type="paragraph" w:customStyle="1" w:styleId="TableParagraph">
    <w:name w:val="Table Paragraph"/>
    <w:basedOn w:val="Normal"/>
    <w:uiPriority w:val="1"/>
    <w:qFormat/>
    <w:rsid w:val="00E6440D"/>
    <w:pPr>
      <w:widowControl w:val="0"/>
      <w:autoSpaceDE w:val="0"/>
      <w:autoSpaceDN w:val="0"/>
      <w:spacing w:after="0" w:line="240" w:lineRule="auto"/>
    </w:pPr>
    <w:rPr>
      <w:rFonts w:ascii="Tahoma" w:eastAsia="Tahoma" w:hAnsi="Tahoma" w:cs="Tahoma"/>
      <w:lang w:bidi="en-US"/>
    </w:rPr>
  </w:style>
  <w:style w:type="character" w:styleId="FollowedHyperlink">
    <w:name w:val="FollowedHyperlink"/>
    <w:basedOn w:val="DefaultParagraphFont"/>
    <w:uiPriority w:val="99"/>
    <w:semiHidden/>
    <w:unhideWhenUsed/>
    <w:rsid w:val="0045634B"/>
    <w:rPr>
      <w:color w:val="954F72" w:themeColor="followedHyperlink"/>
      <w:u w:val="single"/>
    </w:rPr>
  </w:style>
  <w:style w:type="character" w:styleId="CommentReference">
    <w:name w:val="annotation reference"/>
    <w:basedOn w:val="DefaultParagraphFont"/>
    <w:uiPriority w:val="99"/>
    <w:semiHidden/>
    <w:unhideWhenUsed/>
    <w:rsid w:val="00526288"/>
    <w:rPr>
      <w:sz w:val="16"/>
      <w:szCs w:val="16"/>
    </w:rPr>
  </w:style>
  <w:style w:type="paragraph" w:styleId="CommentText">
    <w:name w:val="annotation text"/>
    <w:basedOn w:val="Normal"/>
    <w:link w:val="CommentTextChar"/>
    <w:uiPriority w:val="99"/>
    <w:semiHidden/>
    <w:unhideWhenUsed/>
    <w:rsid w:val="00526288"/>
    <w:pPr>
      <w:spacing w:line="240" w:lineRule="auto"/>
    </w:pPr>
    <w:rPr>
      <w:sz w:val="20"/>
      <w:szCs w:val="20"/>
    </w:rPr>
  </w:style>
  <w:style w:type="character" w:customStyle="1" w:styleId="CommentTextChar">
    <w:name w:val="Comment Text Char"/>
    <w:basedOn w:val="DefaultParagraphFont"/>
    <w:link w:val="CommentText"/>
    <w:uiPriority w:val="99"/>
    <w:semiHidden/>
    <w:rsid w:val="00526288"/>
    <w:rPr>
      <w:sz w:val="20"/>
      <w:szCs w:val="20"/>
    </w:rPr>
  </w:style>
  <w:style w:type="paragraph" w:styleId="CommentSubject">
    <w:name w:val="annotation subject"/>
    <w:basedOn w:val="CommentText"/>
    <w:next w:val="CommentText"/>
    <w:link w:val="CommentSubjectChar"/>
    <w:uiPriority w:val="99"/>
    <w:semiHidden/>
    <w:unhideWhenUsed/>
    <w:rsid w:val="00526288"/>
    <w:rPr>
      <w:b/>
      <w:bCs/>
    </w:rPr>
  </w:style>
  <w:style w:type="character" w:customStyle="1" w:styleId="CommentSubjectChar">
    <w:name w:val="Comment Subject Char"/>
    <w:basedOn w:val="CommentTextChar"/>
    <w:link w:val="CommentSubject"/>
    <w:uiPriority w:val="99"/>
    <w:semiHidden/>
    <w:rsid w:val="00526288"/>
    <w:rPr>
      <w:b/>
      <w:bCs/>
      <w:sz w:val="20"/>
      <w:szCs w:val="20"/>
    </w:rPr>
  </w:style>
  <w:style w:type="character" w:styleId="UnresolvedMention">
    <w:name w:val="Unresolved Mention"/>
    <w:basedOn w:val="DefaultParagraphFont"/>
    <w:uiPriority w:val="99"/>
    <w:semiHidden/>
    <w:unhideWhenUsed/>
    <w:rsid w:val="00475A6B"/>
    <w:rPr>
      <w:color w:val="605E5C"/>
      <w:shd w:val="clear" w:color="auto" w:fill="E1DFDD"/>
    </w:rPr>
  </w:style>
  <w:style w:type="paragraph" w:styleId="Revision">
    <w:name w:val="Revision"/>
    <w:hidden/>
    <w:uiPriority w:val="99"/>
    <w:semiHidden/>
    <w:rsid w:val="00CA2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90856">
      <w:bodyDiv w:val="1"/>
      <w:marLeft w:val="0"/>
      <w:marRight w:val="0"/>
      <w:marTop w:val="0"/>
      <w:marBottom w:val="0"/>
      <w:divBdr>
        <w:top w:val="none" w:sz="0" w:space="0" w:color="auto"/>
        <w:left w:val="none" w:sz="0" w:space="0" w:color="auto"/>
        <w:bottom w:val="none" w:sz="0" w:space="0" w:color="auto"/>
        <w:right w:val="none" w:sz="0" w:space="0" w:color="auto"/>
      </w:divBdr>
    </w:div>
    <w:div w:id="1079207682">
      <w:bodyDiv w:val="1"/>
      <w:marLeft w:val="0"/>
      <w:marRight w:val="0"/>
      <w:marTop w:val="0"/>
      <w:marBottom w:val="0"/>
      <w:divBdr>
        <w:top w:val="none" w:sz="0" w:space="0" w:color="auto"/>
        <w:left w:val="none" w:sz="0" w:space="0" w:color="auto"/>
        <w:bottom w:val="none" w:sz="0" w:space="0" w:color="auto"/>
        <w:right w:val="none" w:sz="0" w:space="0" w:color="auto"/>
      </w:divBdr>
    </w:div>
    <w:div w:id="1117797379">
      <w:bodyDiv w:val="1"/>
      <w:marLeft w:val="0"/>
      <w:marRight w:val="0"/>
      <w:marTop w:val="0"/>
      <w:marBottom w:val="0"/>
      <w:divBdr>
        <w:top w:val="none" w:sz="0" w:space="0" w:color="auto"/>
        <w:left w:val="none" w:sz="0" w:space="0" w:color="auto"/>
        <w:bottom w:val="none" w:sz="0" w:space="0" w:color="auto"/>
        <w:right w:val="none" w:sz="0" w:space="0" w:color="auto"/>
      </w:divBdr>
    </w:div>
    <w:div w:id="1475835896">
      <w:bodyDiv w:val="1"/>
      <w:marLeft w:val="0"/>
      <w:marRight w:val="0"/>
      <w:marTop w:val="0"/>
      <w:marBottom w:val="0"/>
      <w:divBdr>
        <w:top w:val="none" w:sz="0" w:space="0" w:color="auto"/>
        <w:left w:val="none" w:sz="0" w:space="0" w:color="auto"/>
        <w:bottom w:val="none" w:sz="0" w:space="0" w:color="auto"/>
        <w:right w:val="none" w:sz="0" w:space="0" w:color="auto"/>
      </w:divBdr>
    </w:div>
    <w:div w:id="1613247156">
      <w:bodyDiv w:val="1"/>
      <w:marLeft w:val="0"/>
      <w:marRight w:val="0"/>
      <w:marTop w:val="0"/>
      <w:marBottom w:val="0"/>
      <w:divBdr>
        <w:top w:val="none" w:sz="0" w:space="0" w:color="auto"/>
        <w:left w:val="none" w:sz="0" w:space="0" w:color="auto"/>
        <w:bottom w:val="none" w:sz="0" w:space="0" w:color="auto"/>
        <w:right w:val="none" w:sz="0" w:space="0" w:color="auto"/>
      </w:divBdr>
    </w:div>
    <w:div w:id="16150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d.gov/sites/dfiles/CPD/documents/Part-58-Exempt-CENS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ce.org/asce-7/"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celibrary.org/doi/book/10.1061/asce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Manual outlines the requirements for CDBG-MIT applicants.</Abstract>
  <CompanyAddress/>
  <CompanyPhone/>
  <CompanyFax/>
  <CompanyEmail>April 6, 2018</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42C2B0262FE04A820A6AD7CBA4421B" ma:contentTypeVersion="13" ma:contentTypeDescription="Create a new document." ma:contentTypeScope="" ma:versionID="9e548338eb13a75e30499b9f4e743ebe">
  <xsd:schema xmlns:xsd="http://www.w3.org/2001/XMLSchema" xmlns:xs="http://www.w3.org/2001/XMLSchema" xmlns:p="http://schemas.microsoft.com/office/2006/metadata/properties" xmlns:ns3="00ac109b-9c1d-4088-9f49-81433d61cfe1" xmlns:ns4="571d5086-4cbf-4d5c-92af-4c28b8f6d70e" targetNamespace="http://schemas.microsoft.com/office/2006/metadata/properties" ma:root="true" ma:fieldsID="7fa3002c66a82811a850619129ae868a" ns3:_="" ns4:_="">
    <xsd:import namespace="00ac109b-9c1d-4088-9f49-81433d61cfe1"/>
    <xsd:import namespace="571d5086-4cbf-4d5c-92af-4c28b8f6d7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c109b-9c1d-4088-9f49-81433d61c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5086-4cbf-4d5c-92af-4c28b8f6d7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221D2-D2BB-4DE6-9E69-0A148EBDBF42}">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00ac109b-9c1d-4088-9f49-81433d61cfe1"/>
    <ds:schemaRef ds:uri="571d5086-4cbf-4d5c-92af-4c28b8f6d70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19EF004-E98D-4805-8BDD-82EBC8532957}">
  <ds:schemaRefs>
    <ds:schemaRef ds:uri="http://schemas.microsoft.com/sharepoint/v3/contenttype/forms"/>
  </ds:schemaRefs>
</ds:datastoreItem>
</file>

<file path=customXml/itemProps4.xml><?xml version="1.0" encoding="utf-8"?>
<ds:datastoreItem xmlns:ds="http://schemas.openxmlformats.org/officeDocument/2006/customXml" ds:itemID="{E1743ABD-C0F0-4A82-9C0B-0757C5E8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c109b-9c1d-4088-9f49-81433d61cfe1"/>
    <ds:schemaRef ds:uri="571d5086-4cbf-4d5c-92af-4c28b8f6d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388DC0-70D0-4CAA-8D72-5758B2C9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CDBG-MIT Applicants’ Manual</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CDBG-MIT Applicants’ Manual</dc:title>
  <dc:subject>Field Rep Bible</dc:subject>
  <dc:creator>Crystal Gaillard</dc:creator>
  <cp:keywords/>
  <dc:description/>
  <cp:lastModifiedBy>Kathleen Tremblay</cp:lastModifiedBy>
  <cp:revision>2</cp:revision>
  <cp:lastPrinted>2018-03-07T11:54:00Z</cp:lastPrinted>
  <dcterms:created xsi:type="dcterms:W3CDTF">2020-12-09T17:56:00Z</dcterms:created>
  <dcterms:modified xsi:type="dcterms:W3CDTF">2020-12-09T17:56:00Z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0x0101006142C2B0262FE04A820A6AD7CBA4421B</vt:lpwstr>
  </property>
</Properties>
</file>